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A7C" w:rsidRPr="00BB2BCE" w:rsidRDefault="00FC0BA7" w:rsidP="00C374E9">
      <w:pPr>
        <w:rPr>
          <w:rFonts w:ascii="Segoe UI" w:hAnsi="Segoe UI" w:cs="Segoe UI"/>
          <w:b/>
          <w:sz w:val="28"/>
          <w:szCs w:val="28"/>
        </w:rPr>
      </w:pPr>
      <w:r>
        <w:rPr>
          <w:rFonts w:ascii="Segoe UI" w:hAnsi="Segoe UI" w:cs="Segoe UI"/>
          <w:b/>
          <w:sz w:val="16"/>
          <w:szCs w:val="16"/>
        </w:rPr>
        <w:t xml:space="preserve"> </w:t>
      </w:r>
      <w:bookmarkStart w:id="0" w:name="_MON_1563896753"/>
      <w:bookmarkEnd w:id="0"/>
      <w:r w:rsidR="001642C4" w:rsidRPr="00BB2BCE">
        <w:rPr>
          <w:rFonts w:ascii="Segoe UI" w:hAnsi="Segoe UI" w:cs="Segoe UI"/>
          <w:b/>
          <w:sz w:val="16"/>
          <w:szCs w:val="16"/>
        </w:rPr>
        <w:object w:dxaOrig="9841" w:dyaOrig="131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617.4pt" o:ole="">
            <v:imagedata r:id="rId9" o:title=""/>
          </v:shape>
          <o:OLEObject Type="Embed" ProgID="Word.Document.12" ShapeID="_x0000_i1025" DrawAspect="Content" ObjectID="_1569770370" r:id="rId10"/>
        </w:object>
      </w:r>
      <w:r w:rsidR="00441225">
        <w:rPr>
          <w:rFonts w:ascii="Segoe UI" w:hAnsi="Segoe UI" w:cs="Segoe UI"/>
          <w:b/>
          <w:sz w:val="16"/>
          <w:szCs w:val="16"/>
        </w:rPr>
        <w:t> </w:t>
      </w:r>
    </w:p>
    <w:p w:rsidR="007D5E09" w:rsidRPr="00BB2BCE" w:rsidRDefault="007D5E09" w:rsidP="009D26CF">
      <w:pPr>
        <w:jc w:val="center"/>
        <w:rPr>
          <w:rFonts w:ascii="Segoe UI" w:hAnsi="Segoe UI" w:cs="Segoe UI"/>
          <w:b/>
          <w:sz w:val="28"/>
          <w:szCs w:val="28"/>
        </w:rPr>
      </w:pPr>
    </w:p>
    <w:p w:rsidR="00B32C64" w:rsidRPr="00BB2BCE" w:rsidRDefault="00B32C64" w:rsidP="00B32C64">
      <w:pPr>
        <w:rPr>
          <w:rFonts w:ascii="Segoe UI" w:hAnsi="Segoe UI" w:cs="Segoe UI"/>
          <w:b/>
          <w:sz w:val="28"/>
          <w:szCs w:val="28"/>
        </w:rPr>
        <w:sectPr w:rsidR="00B32C64" w:rsidRPr="00BB2BCE" w:rsidSect="00B32C64">
          <w:footerReference w:type="default" r:id="rId11"/>
          <w:pgSz w:w="11906" w:h="16838"/>
          <w:pgMar w:top="1417" w:right="1417" w:bottom="1134" w:left="1417" w:header="708" w:footer="708" w:gutter="0"/>
          <w:pgNumType w:start="1"/>
          <w:cols w:space="708"/>
          <w:docGrid w:linePitch="360"/>
        </w:sectPr>
      </w:pPr>
    </w:p>
    <w:p w:rsidR="0068414F" w:rsidRPr="00BB2BCE" w:rsidRDefault="0068414F" w:rsidP="0068414F">
      <w:pPr>
        <w:pStyle w:val="Tabledesillustrations"/>
        <w:tabs>
          <w:tab w:val="right" w:leader="underscore" w:pos="9344"/>
        </w:tabs>
        <w:rPr>
          <w:rFonts w:ascii="Segoe UI" w:hAnsi="Segoe UI" w:cs="Segoe UI"/>
          <w:b/>
          <w:iCs w:val="0"/>
          <w:noProof/>
          <w:sz w:val="22"/>
          <w:szCs w:val="22"/>
        </w:rPr>
      </w:pPr>
      <w:r w:rsidRPr="00BB2BCE">
        <w:rPr>
          <w:rFonts w:ascii="Segoe UI" w:hAnsi="Segoe UI" w:cs="Segoe UI"/>
          <w:b/>
          <w:iCs w:val="0"/>
          <w:noProof/>
          <w:sz w:val="22"/>
          <w:szCs w:val="22"/>
        </w:rPr>
        <w:lastRenderedPageBreak/>
        <w:t>DEVELOPPEMENT DES SIGLES</w:t>
      </w:r>
    </w:p>
    <w:p w:rsidR="0068414F" w:rsidRPr="00BB2BCE" w:rsidRDefault="0068414F" w:rsidP="0068414F">
      <w:pPr>
        <w:pStyle w:val="Pieddepage"/>
        <w:tabs>
          <w:tab w:val="clear" w:pos="4536"/>
          <w:tab w:val="clear" w:pos="9072"/>
        </w:tabs>
        <w:rPr>
          <w:rFonts w:ascii="Segoe UI" w:hAnsi="Segoe UI" w:cs="Segoe UI"/>
        </w:rPr>
      </w:pPr>
    </w:p>
    <w:tbl>
      <w:tblPr>
        <w:tblW w:w="0" w:type="auto"/>
        <w:tblLook w:val="04A0" w:firstRow="1" w:lastRow="0" w:firstColumn="1" w:lastColumn="0" w:noHBand="0" w:noVBand="1"/>
      </w:tblPr>
      <w:tblGrid>
        <w:gridCol w:w="1111"/>
        <w:gridCol w:w="260"/>
        <w:gridCol w:w="7641"/>
      </w:tblGrid>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AFS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Acompte Forfaitaire Spécial</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CGI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Code Général des Impôts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CFPB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Contribution  Foncière des Propriétés Bâties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DGDDI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Direction Générale des Douanes et Droits Indirects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DGI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Direction Générale des Impôts </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DGTCP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Direction Générale du Trésor et de la Comptabilité Publique</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SCRP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Stratégie de Croissance pour la Réduction de la Pauvreté</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FNRB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Fonds National des Retraites du Bénin</w:t>
            </w:r>
          </w:p>
        </w:tc>
      </w:tr>
      <w:tr w:rsidR="00540FF8" w:rsidRPr="00BB2BCE" w:rsidTr="00472BAF">
        <w:tc>
          <w:tcPr>
            <w:tcW w:w="0" w:type="auto"/>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FR</w:t>
            </w:r>
          </w:p>
        </w:tc>
        <w:tc>
          <w:tcPr>
            <w:tcW w:w="0" w:type="auto"/>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Fonds Routier</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IPTS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Impôt Progressif sur Traitements et Salaires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IBNC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Impôt  sur les Bénéfices non Commerciaux</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IFU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Identifiant Fiscal Unique</w:t>
            </w:r>
          </w:p>
        </w:tc>
      </w:tr>
      <w:tr w:rsidR="00D96831" w:rsidRPr="00BB2BCE" w:rsidTr="00472BAF">
        <w:tc>
          <w:tcPr>
            <w:tcW w:w="0" w:type="auto"/>
          </w:tcPr>
          <w:p w:rsidR="00D96831" w:rsidRPr="00BB2BCE" w:rsidRDefault="00D96831"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IRPP</w:t>
            </w:r>
          </w:p>
        </w:tc>
        <w:tc>
          <w:tcPr>
            <w:tcW w:w="0" w:type="auto"/>
          </w:tcPr>
          <w:p w:rsidR="00D96831" w:rsidRPr="00BB2BCE" w:rsidRDefault="00D96831"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D96831" w:rsidRPr="00BB2BCE" w:rsidRDefault="00D96831"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Impôt sur les Revenus des Personnes Physiques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OMD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Objectifs du Millénaire pour le Développement</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OHADA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Organisation pour l’Harmonisation en Afrique du Droit des Affaires </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PIB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Produit Intérieur Brut</w:t>
            </w:r>
          </w:p>
        </w:tc>
      </w:tr>
      <w:tr w:rsidR="00540FF8" w:rsidRPr="00BB2BCE" w:rsidTr="00472BAF">
        <w:tc>
          <w:tcPr>
            <w:tcW w:w="0" w:type="auto"/>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PPTE</w:t>
            </w:r>
          </w:p>
        </w:tc>
        <w:tc>
          <w:tcPr>
            <w:tcW w:w="0" w:type="auto"/>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540FF8" w:rsidRPr="00BB2BCE" w:rsidRDefault="00540FF8"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Pays Pauvre Très Endetté</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RFU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Régime Foncier Urbain</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SICOPE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Système Intégré de Cotisation et des Pensions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SIGFiP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Système Intégré de Gestion des Finances Publiques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SIGMAP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Système Informatisé de Gestion des Marchés Publics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SIPIBE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Système Informatique de Préparation Intégrée du Budget de l’Etat</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SYDONIA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Système Douanier Automatisé</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TVA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Taxe sur la Valeur Ajoutée</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TUCA</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Taxe Unique sur les Contrats d’Assurance</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TUTR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 xml:space="preserve">Taxe Unique sur les Transports Routiers </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TAF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Taxe sur les Activités  Financières</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TDL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Taxe de Développement Local</w:t>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TPU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E162A6">
            <w:pPr>
              <w:pStyle w:val="Tabledesillustrations"/>
              <w:tabs>
                <w:tab w:val="left" w:pos="4764"/>
              </w:tabs>
              <w:spacing w:line="360" w:lineRule="auto"/>
              <w:rPr>
                <w:rFonts w:ascii="Segoe UI" w:hAnsi="Segoe UI" w:cs="Segoe UI"/>
                <w:i w:val="0"/>
                <w:iCs w:val="0"/>
                <w:noProof/>
              </w:rPr>
            </w:pPr>
            <w:r w:rsidRPr="00BB2BCE">
              <w:rPr>
                <w:rFonts w:ascii="Segoe UI" w:hAnsi="Segoe UI" w:cs="Segoe UI"/>
                <w:i w:val="0"/>
                <w:iCs w:val="0"/>
                <w:noProof/>
              </w:rPr>
              <w:t>Taxe Professionnelle Unique</w:t>
            </w:r>
            <w:r w:rsidR="00E162A6">
              <w:rPr>
                <w:rFonts w:ascii="Segoe UI" w:hAnsi="Segoe UI" w:cs="Segoe UI"/>
                <w:i w:val="0"/>
                <w:iCs w:val="0"/>
                <w:noProof/>
              </w:rPr>
              <w:tab/>
            </w:r>
          </w:p>
        </w:tc>
      </w:tr>
      <w:tr w:rsidR="003128FB" w:rsidRPr="00BB2BCE" w:rsidTr="00472BAF">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VPS </w:t>
            </w:r>
          </w:p>
        </w:tc>
        <w:tc>
          <w:tcPr>
            <w:tcW w:w="0" w:type="auto"/>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w:t>
            </w:r>
          </w:p>
        </w:tc>
        <w:tc>
          <w:tcPr>
            <w:tcW w:w="7641" w:type="dxa"/>
          </w:tcPr>
          <w:p w:rsidR="003128FB" w:rsidRPr="00BB2BCE" w:rsidRDefault="003128FB" w:rsidP="00472BAF">
            <w:pPr>
              <w:pStyle w:val="Tabledesillustrations"/>
              <w:spacing w:line="360" w:lineRule="auto"/>
              <w:rPr>
                <w:rFonts w:ascii="Segoe UI" w:hAnsi="Segoe UI" w:cs="Segoe UI"/>
                <w:i w:val="0"/>
                <w:iCs w:val="0"/>
                <w:noProof/>
              </w:rPr>
            </w:pPr>
            <w:r w:rsidRPr="00BB2BCE">
              <w:rPr>
                <w:rFonts w:ascii="Segoe UI" w:hAnsi="Segoe UI" w:cs="Segoe UI"/>
                <w:i w:val="0"/>
                <w:iCs w:val="0"/>
                <w:noProof/>
              </w:rPr>
              <w:t>Versement Patronal sur Salaires</w:t>
            </w:r>
          </w:p>
        </w:tc>
      </w:tr>
    </w:tbl>
    <w:p w:rsidR="0068414F" w:rsidRPr="00BB2BCE" w:rsidRDefault="0068414F" w:rsidP="0068414F">
      <w:pPr>
        <w:pStyle w:val="Pieddepage"/>
        <w:tabs>
          <w:tab w:val="clear" w:pos="4536"/>
          <w:tab w:val="clear" w:pos="9072"/>
        </w:tabs>
        <w:rPr>
          <w:rFonts w:ascii="Segoe UI" w:hAnsi="Segoe UI" w:cs="Segoe UI"/>
        </w:rPr>
      </w:pPr>
    </w:p>
    <w:p w:rsidR="0068414F" w:rsidRPr="00BB2BCE" w:rsidRDefault="0068414F" w:rsidP="0068414F">
      <w:pPr>
        <w:pStyle w:val="Pieddepage"/>
        <w:tabs>
          <w:tab w:val="clear" w:pos="4536"/>
          <w:tab w:val="clear" w:pos="9072"/>
        </w:tabs>
        <w:rPr>
          <w:rFonts w:ascii="Segoe UI" w:hAnsi="Segoe UI" w:cs="Segoe UI"/>
        </w:rPr>
      </w:pPr>
    </w:p>
    <w:p w:rsidR="0068414F" w:rsidRPr="00BB2BCE" w:rsidRDefault="0068414F" w:rsidP="0068414F">
      <w:pPr>
        <w:pStyle w:val="Pieddepage"/>
        <w:tabs>
          <w:tab w:val="clear" w:pos="4536"/>
          <w:tab w:val="clear" w:pos="9072"/>
        </w:tabs>
        <w:rPr>
          <w:rFonts w:ascii="Segoe UI" w:hAnsi="Segoe UI" w:cs="Segoe UI"/>
        </w:rPr>
      </w:pPr>
    </w:p>
    <w:p w:rsidR="007D5EA9" w:rsidRPr="00BB2BCE" w:rsidRDefault="007D5EA9" w:rsidP="00012586">
      <w:pPr>
        <w:pStyle w:val="En-ttedetabledesmatires"/>
        <w:rPr>
          <w:rFonts w:ascii="Segoe UI" w:hAnsi="Segoe UI" w:cs="Segoe UI"/>
        </w:rPr>
      </w:pPr>
      <w:r w:rsidRPr="00BB2BCE">
        <w:rPr>
          <w:rFonts w:ascii="Segoe UI" w:hAnsi="Segoe UI" w:cs="Segoe UI"/>
        </w:rPr>
        <w:lastRenderedPageBreak/>
        <w:t>Sommaire</w:t>
      </w:r>
    </w:p>
    <w:p w:rsidR="000C207C" w:rsidRDefault="007D5EA9">
      <w:pPr>
        <w:pStyle w:val="TM1"/>
        <w:rPr>
          <w:rFonts w:asciiTheme="minorHAnsi" w:eastAsiaTheme="minorEastAsia" w:hAnsiTheme="minorHAnsi" w:cstheme="minorBidi"/>
          <w:b w:val="0"/>
        </w:rPr>
      </w:pPr>
      <w:r w:rsidRPr="00BB2BCE">
        <w:rPr>
          <w:rFonts w:cs="Segoe UI"/>
        </w:rPr>
        <w:fldChar w:fldCharType="begin"/>
      </w:r>
      <w:r w:rsidRPr="00BB2BCE">
        <w:rPr>
          <w:rFonts w:cs="Segoe UI"/>
        </w:rPr>
        <w:instrText xml:space="preserve"> TOC \o "1-3" \h \z \u </w:instrText>
      </w:r>
      <w:r w:rsidRPr="00BB2BCE">
        <w:rPr>
          <w:rFonts w:cs="Segoe UI"/>
        </w:rPr>
        <w:fldChar w:fldCharType="separate"/>
      </w:r>
      <w:hyperlink w:anchor="_Toc496024994" w:history="1">
        <w:r w:rsidR="000C207C" w:rsidRPr="00E00014">
          <w:rPr>
            <w:rStyle w:val="Lienhypertexte"/>
            <w:rFonts w:cs="Segoe UI"/>
          </w:rPr>
          <w:t>RESUME EXECUTIF</w:t>
        </w:r>
        <w:r w:rsidR="000C207C">
          <w:rPr>
            <w:webHidden/>
          </w:rPr>
          <w:tab/>
        </w:r>
        <w:r w:rsidR="000C207C">
          <w:rPr>
            <w:webHidden/>
          </w:rPr>
          <w:fldChar w:fldCharType="begin"/>
        </w:r>
        <w:r w:rsidR="000C207C">
          <w:rPr>
            <w:webHidden/>
          </w:rPr>
          <w:instrText xml:space="preserve"> PAGEREF _Toc496024994 \h </w:instrText>
        </w:r>
        <w:r w:rsidR="000C207C">
          <w:rPr>
            <w:webHidden/>
          </w:rPr>
        </w:r>
        <w:r w:rsidR="000C207C">
          <w:rPr>
            <w:webHidden/>
          </w:rPr>
          <w:fldChar w:fldCharType="separate"/>
        </w:r>
        <w:r w:rsidR="000C207C">
          <w:rPr>
            <w:webHidden/>
          </w:rPr>
          <w:t>5</w:t>
        </w:r>
        <w:r w:rsidR="000C207C">
          <w:rPr>
            <w:webHidden/>
          </w:rPr>
          <w:fldChar w:fldCharType="end"/>
        </w:r>
      </w:hyperlink>
    </w:p>
    <w:p w:rsidR="000C207C" w:rsidRDefault="000C207C">
      <w:pPr>
        <w:pStyle w:val="TM1"/>
        <w:rPr>
          <w:rFonts w:asciiTheme="minorHAnsi" w:eastAsiaTheme="minorEastAsia" w:hAnsiTheme="minorHAnsi" w:cstheme="minorBidi"/>
          <w:b w:val="0"/>
        </w:rPr>
      </w:pPr>
      <w:hyperlink w:anchor="_Toc496024995" w:history="1">
        <w:r w:rsidRPr="00E00014">
          <w:rPr>
            <w:rStyle w:val="Lienhypertexte"/>
            <w:rFonts w:cs="Segoe UI"/>
          </w:rPr>
          <w:t>INTRODUCTION</w:t>
        </w:r>
        <w:r>
          <w:rPr>
            <w:webHidden/>
          </w:rPr>
          <w:tab/>
        </w:r>
        <w:r>
          <w:rPr>
            <w:webHidden/>
          </w:rPr>
          <w:fldChar w:fldCharType="begin"/>
        </w:r>
        <w:r>
          <w:rPr>
            <w:webHidden/>
          </w:rPr>
          <w:instrText xml:space="preserve"> PAGEREF _Toc496024995 \h </w:instrText>
        </w:r>
        <w:r>
          <w:rPr>
            <w:webHidden/>
          </w:rPr>
        </w:r>
        <w:r>
          <w:rPr>
            <w:webHidden/>
          </w:rPr>
          <w:fldChar w:fldCharType="separate"/>
        </w:r>
        <w:r>
          <w:rPr>
            <w:webHidden/>
          </w:rPr>
          <w:t>7</w:t>
        </w:r>
        <w:r>
          <w:rPr>
            <w:webHidden/>
          </w:rPr>
          <w:fldChar w:fldCharType="end"/>
        </w:r>
      </w:hyperlink>
    </w:p>
    <w:p w:rsidR="000C207C" w:rsidRDefault="000C207C">
      <w:pPr>
        <w:pStyle w:val="TM1"/>
        <w:rPr>
          <w:rFonts w:asciiTheme="minorHAnsi" w:eastAsiaTheme="minorEastAsia" w:hAnsiTheme="minorHAnsi" w:cstheme="minorBidi"/>
          <w:b w:val="0"/>
        </w:rPr>
      </w:pPr>
      <w:hyperlink w:anchor="_Toc496024996" w:history="1">
        <w:r w:rsidRPr="00E00014">
          <w:rPr>
            <w:rStyle w:val="Lienhypertexte"/>
          </w:rPr>
          <w:t>I-</w:t>
        </w:r>
        <w:r>
          <w:rPr>
            <w:rFonts w:asciiTheme="minorHAnsi" w:eastAsiaTheme="minorEastAsia" w:hAnsiTheme="minorHAnsi" w:cstheme="minorBidi"/>
            <w:b w:val="0"/>
          </w:rPr>
          <w:tab/>
        </w:r>
        <w:r w:rsidRPr="00E00014">
          <w:rPr>
            <w:rStyle w:val="Lienhypertexte"/>
            <w:rFonts w:cs="Segoe UI"/>
          </w:rPr>
          <w:t>SITUATION ECONOMIQUE A FIN JUIN 2017</w:t>
        </w:r>
        <w:r>
          <w:rPr>
            <w:webHidden/>
          </w:rPr>
          <w:tab/>
        </w:r>
        <w:r>
          <w:rPr>
            <w:webHidden/>
          </w:rPr>
          <w:fldChar w:fldCharType="begin"/>
        </w:r>
        <w:r>
          <w:rPr>
            <w:webHidden/>
          </w:rPr>
          <w:instrText xml:space="preserve"> PAGEREF _Toc496024996 \h </w:instrText>
        </w:r>
        <w:r>
          <w:rPr>
            <w:webHidden/>
          </w:rPr>
        </w:r>
        <w:r>
          <w:rPr>
            <w:webHidden/>
          </w:rPr>
          <w:fldChar w:fldCharType="separate"/>
        </w:r>
        <w:r>
          <w:rPr>
            <w:webHidden/>
          </w:rPr>
          <w:t>8</w:t>
        </w:r>
        <w:r>
          <w:rPr>
            <w:webHidden/>
          </w:rPr>
          <w:fldChar w:fldCharType="end"/>
        </w:r>
      </w:hyperlink>
    </w:p>
    <w:p w:rsidR="000C207C" w:rsidRDefault="000C207C">
      <w:pPr>
        <w:pStyle w:val="TM2"/>
        <w:tabs>
          <w:tab w:val="left" w:pos="880"/>
          <w:tab w:val="right" w:leader="dot" w:pos="9062"/>
        </w:tabs>
        <w:rPr>
          <w:rFonts w:asciiTheme="minorHAnsi" w:eastAsiaTheme="minorEastAsia" w:hAnsiTheme="minorHAnsi" w:cstheme="minorBidi"/>
          <w:noProof/>
        </w:rPr>
      </w:pPr>
      <w:hyperlink w:anchor="_Toc496024997" w:history="1">
        <w:r w:rsidRPr="00E00014">
          <w:rPr>
            <w:rStyle w:val="Lienhypertexte"/>
            <w:rFonts w:ascii="Segoe UI" w:hAnsi="Segoe UI"/>
            <w:noProof/>
          </w:rPr>
          <w:t>A-</w:t>
        </w:r>
        <w:r>
          <w:rPr>
            <w:rFonts w:asciiTheme="minorHAnsi" w:eastAsiaTheme="minorEastAsia" w:hAnsiTheme="minorHAnsi" w:cstheme="minorBidi"/>
            <w:noProof/>
          </w:rPr>
          <w:tab/>
        </w:r>
        <w:r w:rsidRPr="00E00014">
          <w:rPr>
            <w:rStyle w:val="Lienhypertexte"/>
            <w:rFonts w:ascii="Segoe UI" w:hAnsi="Segoe UI" w:cs="Segoe UI"/>
            <w:noProof/>
          </w:rPr>
          <w:t>Environnement économique international</w:t>
        </w:r>
        <w:r>
          <w:rPr>
            <w:noProof/>
            <w:webHidden/>
          </w:rPr>
          <w:tab/>
        </w:r>
        <w:r>
          <w:rPr>
            <w:noProof/>
            <w:webHidden/>
          </w:rPr>
          <w:fldChar w:fldCharType="begin"/>
        </w:r>
        <w:r>
          <w:rPr>
            <w:noProof/>
            <w:webHidden/>
          </w:rPr>
          <w:instrText xml:space="preserve"> PAGEREF _Toc496024997 \h </w:instrText>
        </w:r>
        <w:r>
          <w:rPr>
            <w:noProof/>
            <w:webHidden/>
          </w:rPr>
        </w:r>
        <w:r>
          <w:rPr>
            <w:noProof/>
            <w:webHidden/>
          </w:rPr>
          <w:fldChar w:fldCharType="separate"/>
        </w:r>
        <w:r>
          <w:rPr>
            <w:noProof/>
            <w:webHidden/>
          </w:rPr>
          <w:t>8</w:t>
        </w:r>
        <w:r>
          <w:rPr>
            <w:noProof/>
            <w:webHidden/>
          </w:rPr>
          <w:fldChar w:fldCharType="end"/>
        </w:r>
      </w:hyperlink>
    </w:p>
    <w:p w:rsidR="000C207C" w:rsidRDefault="000C207C">
      <w:pPr>
        <w:pStyle w:val="TM2"/>
        <w:tabs>
          <w:tab w:val="left" w:pos="660"/>
          <w:tab w:val="right" w:leader="dot" w:pos="9062"/>
        </w:tabs>
        <w:rPr>
          <w:rFonts w:asciiTheme="minorHAnsi" w:eastAsiaTheme="minorEastAsia" w:hAnsiTheme="minorHAnsi" w:cstheme="minorBidi"/>
          <w:noProof/>
        </w:rPr>
      </w:pPr>
      <w:hyperlink w:anchor="_Toc496024998" w:history="1">
        <w:r w:rsidRPr="00E00014">
          <w:rPr>
            <w:rStyle w:val="Lienhypertexte"/>
            <w:rFonts w:ascii="Segoe UI" w:hAnsi="Segoe UI"/>
            <w:noProof/>
          </w:rPr>
          <w:t>B-</w:t>
        </w:r>
        <w:r>
          <w:rPr>
            <w:rFonts w:asciiTheme="minorHAnsi" w:eastAsiaTheme="minorEastAsia" w:hAnsiTheme="minorHAnsi" w:cstheme="minorBidi"/>
            <w:noProof/>
          </w:rPr>
          <w:tab/>
        </w:r>
        <w:r w:rsidRPr="00E00014">
          <w:rPr>
            <w:rStyle w:val="Lienhypertexte"/>
            <w:rFonts w:ascii="Segoe UI" w:hAnsi="Segoe UI" w:cs="Segoe UI"/>
            <w:noProof/>
          </w:rPr>
          <w:t>Environnement national et perspectives</w:t>
        </w:r>
        <w:r>
          <w:rPr>
            <w:noProof/>
            <w:webHidden/>
          </w:rPr>
          <w:tab/>
        </w:r>
        <w:r>
          <w:rPr>
            <w:noProof/>
            <w:webHidden/>
          </w:rPr>
          <w:fldChar w:fldCharType="begin"/>
        </w:r>
        <w:r>
          <w:rPr>
            <w:noProof/>
            <w:webHidden/>
          </w:rPr>
          <w:instrText xml:space="preserve"> PAGEREF _Toc496024998 \h </w:instrText>
        </w:r>
        <w:r>
          <w:rPr>
            <w:noProof/>
            <w:webHidden/>
          </w:rPr>
        </w:r>
        <w:r>
          <w:rPr>
            <w:noProof/>
            <w:webHidden/>
          </w:rPr>
          <w:fldChar w:fldCharType="separate"/>
        </w:r>
        <w:r>
          <w:rPr>
            <w:noProof/>
            <w:webHidden/>
          </w:rPr>
          <w:t>8</w:t>
        </w:r>
        <w:r>
          <w:rPr>
            <w:noProof/>
            <w:webHidden/>
          </w:rPr>
          <w:fldChar w:fldCharType="end"/>
        </w:r>
      </w:hyperlink>
    </w:p>
    <w:p w:rsidR="000C207C" w:rsidRDefault="000C207C">
      <w:pPr>
        <w:pStyle w:val="TM1"/>
        <w:rPr>
          <w:rFonts w:asciiTheme="minorHAnsi" w:eastAsiaTheme="minorEastAsia" w:hAnsiTheme="minorHAnsi" w:cstheme="minorBidi"/>
          <w:b w:val="0"/>
        </w:rPr>
      </w:pPr>
      <w:hyperlink w:anchor="_Toc496024999" w:history="1">
        <w:r w:rsidRPr="00E00014">
          <w:rPr>
            <w:rStyle w:val="Lienhypertexte"/>
          </w:rPr>
          <w:t>II-</w:t>
        </w:r>
        <w:r>
          <w:rPr>
            <w:rFonts w:asciiTheme="minorHAnsi" w:eastAsiaTheme="minorEastAsia" w:hAnsiTheme="minorHAnsi" w:cstheme="minorBidi"/>
            <w:b w:val="0"/>
          </w:rPr>
          <w:tab/>
        </w:r>
        <w:r w:rsidRPr="00E00014">
          <w:rPr>
            <w:rStyle w:val="Lienhypertexte"/>
            <w:rFonts w:cs="Segoe UI"/>
          </w:rPr>
          <w:t>SITUATION D’EXECUTION DU BUDGET DE L’ETAT AU 3</w:t>
        </w:r>
        <w:r w:rsidRPr="00E00014">
          <w:rPr>
            <w:rStyle w:val="Lienhypertexte"/>
            <w:rFonts w:cs="Segoe UI"/>
            <w:lang w:eastAsia="x-none"/>
          </w:rPr>
          <w:t>O JUIN</w:t>
        </w:r>
        <w:r w:rsidRPr="00E00014">
          <w:rPr>
            <w:rStyle w:val="Lienhypertexte"/>
            <w:rFonts w:cs="Segoe UI"/>
          </w:rPr>
          <w:t xml:space="preserve"> 201</w:t>
        </w:r>
        <w:r w:rsidRPr="00E00014">
          <w:rPr>
            <w:rStyle w:val="Lienhypertexte"/>
            <w:rFonts w:cs="Segoe UI"/>
            <w:lang w:eastAsia="x-none"/>
          </w:rPr>
          <w:t>7</w:t>
        </w:r>
        <w:r>
          <w:rPr>
            <w:webHidden/>
          </w:rPr>
          <w:tab/>
        </w:r>
        <w:r>
          <w:rPr>
            <w:webHidden/>
          </w:rPr>
          <w:fldChar w:fldCharType="begin"/>
        </w:r>
        <w:r>
          <w:rPr>
            <w:webHidden/>
          </w:rPr>
          <w:instrText xml:space="preserve"> PAGEREF _Toc496024999 \h </w:instrText>
        </w:r>
        <w:r>
          <w:rPr>
            <w:webHidden/>
          </w:rPr>
        </w:r>
        <w:r>
          <w:rPr>
            <w:webHidden/>
          </w:rPr>
          <w:fldChar w:fldCharType="separate"/>
        </w:r>
        <w:r>
          <w:rPr>
            <w:webHidden/>
          </w:rPr>
          <w:t>11</w:t>
        </w:r>
        <w:r>
          <w:rPr>
            <w:webHidden/>
          </w:rPr>
          <w:fldChar w:fldCharType="end"/>
        </w:r>
      </w:hyperlink>
    </w:p>
    <w:p w:rsidR="000C207C" w:rsidRDefault="000C207C">
      <w:pPr>
        <w:pStyle w:val="TM2"/>
        <w:tabs>
          <w:tab w:val="left" w:pos="880"/>
          <w:tab w:val="right" w:leader="dot" w:pos="9062"/>
        </w:tabs>
        <w:rPr>
          <w:rFonts w:asciiTheme="minorHAnsi" w:eastAsiaTheme="minorEastAsia" w:hAnsiTheme="minorHAnsi" w:cstheme="minorBidi"/>
          <w:noProof/>
        </w:rPr>
      </w:pPr>
      <w:hyperlink w:anchor="_Toc496025000" w:history="1">
        <w:r w:rsidRPr="00E00014">
          <w:rPr>
            <w:rStyle w:val="Lienhypertexte"/>
            <w:rFonts w:ascii="Segoe UI" w:hAnsi="Segoe UI"/>
            <w:noProof/>
          </w:rPr>
          <w:t>A-</w:t>
        </w:r>
        <w:r>
          <w:rPr>
            <w:rFonts w:asciiTheme="minorHAnsi" w:eastAsiaTheme="minorEastAsia" w:hAnsiTheme="minorHAnsi" w:cstheme="minorBidi"/>
            <w:noProof/>
          </w:rPr>
          <w:tab/>
        </w:r>
        <w:r w:rsidRPr="00E00014">
          <w:rPr>
            <w:rStyle w:val="Lienhypertexte"/>
            <w:rFonts w:ascii="Segoe UI" w:hAnsi="Segoe UI" w:cs="Segoe UI"/>
            <w:noProof/>
          </w:rPr>
          <w:t>Recettes budgétaires</w:t>
        </w:r>
        <w:r>
          <w:rPr>
            <w:noProof/>
            <w:webHidden/>
          </w:rPr>
          <w:tab/>
        </w:r>
        <w:r>
          <w:rPr>
            <w:noProof/>
            <w:webHidden/>
          </w:rPr>
          <w:fldChar w:fldCharType="begin"/>
        </w:r>
        <w:r>
          <w:rPr>
            <w:noProof/>
            <w:webHidden/>
          </w:rPr>
          <w:instrText xml:space="preserve"> PAGEREF _Toc496025000 \h </w:instrText>
        </w:r>
        <w:r>
          <w:rPr>
            <w:noProof/>
            <w:webHidden/>
          </w:rPr>
        </w:r>
        <w:r>
          <w:rPr>
            <w:noProof/>
            <w:webHidden/>
          </w:rPr>
          <w:fldChar w:fldCharType="separate"/>
        </w:r>
        <w:r>
          <w:rPr>
            <w:noProof/>
            <w:webHidden/>
          </w:rPr>
          <w:t>11</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1" w:history="1">
        <w:r w:rsidRPr="00E00014">
          <w:rPr>
            <w:rStyle w:val="Lienhypertexte"/>
            <w:rFonts w:ascii="Segoe UI" w:hAnsi="Segoe UI" w:cs="Segoe UI"/>
            <w:noProof/>
          </w:rPr>
          <w:t>A-1 Recettes du budget général</w:t>
        </w:r>
        <w:r>
          <w:rPr>
            <w:noProof/>
            <w:webHidden/>
          </w:rPr>
          <w:tab/>
        </w:r>
        <w:r>
          <w:rPr>
            <w:noProof/>
            <w:webHidden/>
          </w:rPr>
          <w:fldChar w:fldCharType="begin"/>
        </w:r>
        <w:r>
          <w:rPr>
            <w:noProof/>
            <w:webHidden/>
          </w:rPr>
          <w:instrText xml:space="preserve"> PAGEREF _Toc496025001 \h </w:instrText>
        </w:r>
        <w:r>
          <w:rPr>
            <w:noProof/>
            <w:webHidden/>
          </w:rPr>
        </w:r>
        <w:r>
          <w:rPr>
            <w:noProof/>
            <w:webHidden/>
          </w:rPr>
          <w:fldChar w:fldCharType="separate"/>
        </w:r>
        <w:r>
          <w:rPr>
            <w:noProof/>
            <w:webHidden/>
          </w:rPr>
          <w:t>12</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2" w:history="1">
        <w:r w:rsidRPr="00E00014">
          <w:rPr>
            <w:rStyle w:val="Lienhypertexte"/>
            <w:rFonts w:ascii="Segoe UI" w:hAnsi="Segoe UI" w:cs="Segoe UI"/>
            <w:noProof/>
          </w:rPr>
          <w:t>A.2- Recettes de l’Agence Nationale du Domaine et du Foncier (ANDF)</w:t>
        </w:r>
        <w:r>
          <w:rPr>
            <w:noProof/>
            <w:webHidden/>
          </w:rPr>
          <w:tab/>
        </w:r>
        <w:r>
          <w:rPr>
            <w:noProof/>
            <w:webHidden/>
          </w:rPr>
          <w:fldChar w:fldCharType="begin"/>
        </w:r>
        <w:r>
          <w:rPr>
            <w:noProof/>
            <w:webHidden/>
          </w:rPr>
          <w:instrText xml:space="preserve"> PAGEREF _Toc496025002 \h </w:instrText>
        </w:r>
        <w:r>
          <w:rPr>
            <w:noProof/>
            <w:webHidden/>
          </w:rPr>
        </w:r>
        <w:r>
          <w:rPr>
            <w:noProof/>
            <w:webHidden/>
          </w:rPr>
          <w:fldChar w:fldCharType="separate"/>
        </w:r>
        <w:r>
          <w:rPr>
            <w:noProof/>
            <w:webHidden/>
          </w:rPr>
          <w:t>15</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3" w:history="1">
        <w:r w:rsidRPr="00E00014">
          <w:rPr>
            <w:rStyle w:val="Lienhypertexte"/>
            <w:rFonts w:ascii="Segoe UI" w:hAnsi="Segoe UI" w:cs="Segoe UI"/>
            <w:noProof/>
          </w:rPr>
          <w:t>A.3- Recettes du Fonds National des Retraites du Bénin (FNRB) et des autres organismes publics</w:t>
        </w:r>
        <w:r>
          <w:rPr>
            <w:noProof/>
            <w:webHidden/>
          </w:rPr>
          <w:tab/>
        </w:r>
        <w:r>
          <w:rPr>
            <w:noProof/>
            <w:webHidden/>
          </w:rPr>
          <w:fldChar w:fldCharType="begin"/>
        </w:r>
        <w:r>
          <w:rPr>
            <w:noProof/>
            <w:webHidden/>
          </w:rPr>
          <w:instrText xml:space="preserve"> PAGEREF _Toc496025003 \h </w:instrText>
        </w:r>
        <w:r>
          <w:rPr>
            <w:noProof/>
            <w:webHidden/>
          </w:rPr>
        </w:r>
        <w:r>
          <w:rPr>
            <w:noProof/>
            <w:webHidden/>
          </w:rPr>
          <w:fldChar w:fldCharType="separate"/>
        </w:r>
        <w:r>
          <w:rPr>
            <w:noProof/>
            <w:webHidden/>
          </w:rPr>
          <w:t>15</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4" w:history="1">
        <w:r w:rsidRPr="00E00014">
          <w:rPr>
            <w:rStyle w:val="Lienhypertexte"/>
            <w:rFonts w:ascii="Segoe UI" w:hAnsi="Segoe UI" w:cs="Segoe UI"/>
            <w:noProof/>
          </w:rPr>
          <w:t>A.4- Comptes d’Affectation Spéciale (CAS)</w:t>
        </w:r>
        <w:r>
          <w:rPr>
            <w:noProof/>
            <w:webHidden/>
          </w:rPr>
          <w:tab/>
        </w:r>
        <w:r>
          <w:rPr>
            <w:noProof/>
            <w:webHidden/>
          </w:rPr>
          <w:fldChar w:fldCharType="begin"/>
        </w:r>
        <w:r>
          <w:rPr>
            <w:noProof/>
            <w:webHidden/>
          </w:rPr>
          <w:instrText xml:space="preserve"> PAGEREF _Toc496025004 \h </w:instrText>
        </w:r>
        <w:r>
          <w:rPr>
            <w:noProof/>
            <w:webHidden/>
          </w:rPr>
        </w:r>
        <w:r>
          <w:rPr>
            <w:noProof/>
            <w:webHidden/>
          </w:rPr>
          <w:fldChar w:fldCharType="separate"/>
        </w:r>
        <w:r>
          <w:rPr>
            <w:noProof/>
            <w:webHidden/>
          </w:rPr>
          <w:t>16</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5" w:history="1">
        <w:r w:rsidRPr="00E00014">
          <w:rPr>
            <w:rStyle w:val="Lienhypertexte"/>
            <w:rFonts w:ascii="Segoe UI" w:hAnsi="Segoe UI" w:cs="Segoe UI"/>
            <w:noProof/>
          </w:rPr>
          <w:t>A.5- Autres recettes budgétaires</w:t>
        </w:r>
        <w:r>
          <w:rPr>
            <w:noProof/>
            <w:webHidden/>
          </w:rPr>
          <w:tab/>
        </w:r>
        <w:r>
          <w:rPr>
            <w:noProof/>
            <w:webHidden/>
          </w:rPr>
          <w:fldChar w:fldCharType="begin"/>
        </w:r>
        <w:r>
          <w:rPr>
            <w:noProof/>
            <w:webHidden/>
          </w:rPr>
          <w:instrText xml:space="preserve"> PAGEREF _Toc496025005 \h </w:instrText>
        </w:r>
        <w:r>
          <w:rPr>
            <w:noProof/>
            <w:webHidden/>
          </w:rPr>
        </w:r>
        <w:r>
          <w:rPr>
            <w:noProof/>
            <w:webHidden/>
          </w:rPr>
          <w:fldChar w:fldCharType="separate"/>
        </w:r>
        <w:r>
          <w:rPr>
            <w:noProof/>
            <w:webHidden/>
          </w:rPr>
          <w:t>17</w:t>
        </w:r>
        <w:r>
          <w:rPr>
            <w:noProof/>
            <w:webHidden/>
          </w:rPr>
          <w:fldChar w:fldCharType="end"/>
        </w:r>
      </w:hyperlink>
    </w:p>
    <w:p w:rsidR="000C207C" w:rsidRDefault="000C207C">
      <w:pPr>
        <w:pStyle w:val="TM2"/>
        <w:tabs>
          <w:tab w:val="left" w:pos="660"/>
          <w:tab w:val="right" w:leader="dot" w:pos="9062"/>
        </w:tabs>
        <w:rPr>
          <w:rFonts w:asciiTheme="minorHAnsi" w:eastAsiaTheme="minorEastAsia" w:hAnsiTheme="minorHAnsi" w:cstheme="minorBidi"/>
          <w:noProof/>
        </w:rPr>
      </w:pPr>
      <w:hyperlink w:anchor="_Toc496025006" w:history="1">
        <w:r w:rsidRPr="00E00014">
          <w:rPr>
            <w:rStyle w:val="Lienhypertexte"/>
            <w:rFonts w:ascii="Segoe UI" w:hAnsi="Segoe UI"/>
            <w:noProof/>
            <w:lang w:eastAsia="x-none"/>
          </w:rPr>
          <w:t>B-</w:t>
        </w:r>
        <w:r>
          <w:rPr>
            <w:rFonts w:asciiTheme="minorHAnsi" w:eastAsiaTheme="minorEastAsia" w:hAnsiTheme="minorHAnsi" w:cstheme="minorBidi"/>
            <w:noProof/>
          </w:rPr>
          <w:tab/>
        </w:r>
        <w:r w:rsidRPr="00E00014">
          <w:rPr>
            <w:rStyle w:val="Lienhypertexte"/>
            <w:rFonts w:ascii="Segoe UI" w:hAnsi="Segoe UI" w:cs="Segoe UI"/>
            <w:noProof/>
          </w:rPr>
          <w:t>Dépenses budgétaires au 3</w:t>
        </w:r>
        <w:r w:rsidRPr="00E00014">
          <w:rPr>
            <w:rStyle w:val="Lienhypertexte"/>
            <w:rFonts w:ascii="Segoe UI" w:hAnsi="Segoe UI" w:cs="Segoe UI"/>
            <w:noProof/>
            <w:lang w:eastAsia="x-none"/>
          </w:rPr>
          <w:t>0 juin</w:t>
        </w:r>
        <w:r w:rsidRPr="00E00014">
          <w:rPr>
            <w:rStyle w:val="Lienhypertexte"/>
            <w:rFonts w:ascii="Segoe UI" w:hAnsi="Segoe UI" w:cs="Segoe UI"/>
            <w:noProof/>
          </w:rPr>
          <w:t xml:space="preserve"> 201</w:t>
        </w:r>
        <w:r w:rsidRPr="00E00014">
          <w:rPr>
            <w:rStyle w:val="Lienhypertexte"/>
            <w:rFonts w:ascii="Segoe UI" w:hAnsi="Segoe UI" w:cs="Segoe UI"/>
            <w:noProof/>
            <w:lang w:eastAsia="x-none"/>
          </w:rPr>
          <w:t>7</w:t>
        </w:r>
        <w:r>
          <w:rPr>
            <w:noProof/>
            <w:webHidden/>
          </w:rPr>
          <w:tab/>
        </w:r>
        <w:r>
          <w:rPr>
            <w:noProof/>
            <w:webHidden/>
          </w:rPr>
          <w:fldChar w:fldCharType="begin"/>
        </w:r>
        <w:r>
          <w:rPr>
            <w:noProof/>
            <w:webHidden/>
          </w:rPr>
          <w:instrText xml:space="preserve"> PAGEREF _Toc496025006 \h </w:instrText>
        </w:r>
        <w:r>
          <w:rPr>
            <w:noProof/>
            <w:webHidden/>
          </w:rPr>
        </w:r>
        <w:r>
          <w:rPr>
            <w:noProof/>
            <w:webHidden/>
          </w:rPr>
          <w:fldChar w:fldCharType="separate"/>
        </w:r>
        <w:r>
          <w:rPr>
            <w:noProof/>
            <w:webHidden/>
          </w:rPr>
          <w:t>18</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7" w:history="1">
        <w:r w:rsidRPr="00E00014">
          <w:rPr>
            <w:rStyle w:val="Lienhypertexte"/>
            <w:rFonts w:ascii="Segoe UI" w:hAnsi="Segoe UI" w:cs="Segoe UI"/>
            <w:noProof/>
          </w:rPr>
          <w:t>B-1 Budget Général</w:t>
        </w:r>
        <w:r>
          <w:rPr>
            <w:noProof/>
            <w:webHidden/>
          </w:rPr>
          <w:tab/>
        </w:r>
        <w:r>
          <w:rPr>
            <w:noProof/>
            <w:webHidden/>
          </w:rPr>
          <w:fldChar w:fldCharType="begin"/>
        </w:r>
        <w:r>
          <w:rPr>
            <w:noProof/>
            <w:webHidden/>
          </w:rPr>
          <w:instrText xml:space="preserve"> PAGEREF _Toc496025007 \h </w:instrText>
        </w:r>
        <w:r>
          <w:rPr>
            <w:noProof/>
            <w:webHidden/>
          </w:rPr>
        </w:r>
        <w:r>
          <w:rPr>
            <w:noProof/>
            <w:webHidden/>
          </w:rPr>
          <w:fldChar w:fldCharType="separate"/>
        </w:r>
        <w:r>
          <w:rPr>
            <w:noProof/>
            <w:webHidden/>
          </w:rPr>
          <w:t>19</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8" w:history="1">
        <w:r w:rsidRPr="00E00014">
          <w:rPr>
            <w:rStyle w:val="Lienhypertexte"/>
            <w:rFonts w:ascii="Segoe UI" w:hAnsi="Segoe UI" w:cs="Segoe UI"/>
            <w:noProof/>
          </w:rPr>
          <w:t>B-2 Budget annexe du FNRB et Budgets des autres organismes Publics</w:t>
        </w:r>
        <w:r>
          <w:rPr>
            <w:noProof/>
            <w:webHidden/>
          </w:rPr>
          <w:tab/>
        </w:r>
        <w:r>
          <w:rPr>
            <w:noProof/>
            <w:webHidden/>
          </w:rPr>
          <w:fldChar w:fldCharType="begin"/>
        </w:r>
        <w:r>
          <w:rPr>
            <w:noProof/>
            <w:webHidden/>
          </w:rPr>
          <w:instrText xml:space="preserve"> PAGEREF _Toc496025008 \h </w:instrText>
        </w:r>
        <w:r>
          <w:rPr>
            <w:noProof/>
            <w:webHidden/>
          </w:rPr>
        </w:r>
        <w:r>
          <w:rPr>
            <w:noProof/>
            <w:webHidden/>
          </w:rPr>
          <w:fldChar w:fldCharType="separate"/>
        </w:r>
        <w:r>
          <w:rPr>
            <w:noProof/>
            <w:webHidden/>
          </w:rPr>
          <w:t>23</w:t>
        </w:r>
        <w:r>
          <w:rPr>
            <w:noProof/>
            <w:webHidden/>
          </w:rPr>
          <w:fldChar w:fldCharType="end"/>
        </w:r>
      </w:hyperlink>
    </w:p>
    <w:p w:rsidR="000C207C" w:rsidRDefault="000C207C">
      <w:pPr>
        <w:pStyle w:val="TM3"/>
        <w:tabs>
          <w:tab w:val="right" w:leader="dot" w:pos="9062"/>
        </w:tabs>
        <w:rPr>
          <w:rFonts w:asciiTheme="minorHAnsi" w:eastAsiaTheme="minorEastAsia" w:hAnsiTheme="minorHAnsi" w:cstheme="minorBidi"/>
          <w:noProof/>
        </w:rPr>
      </w:pPr>
      <w:hyperlink w:anchor="_Toc496025009" w:history="1">
        <w:r w:rsidRPr="00E00014">
          <w:rPr>
            <w:rStyle w:val="Lienhypertexte"/>
            <w:rFonts w:ascii="Segoe UI" w:hAnsi="Segoe UI" w:cs="Segoe UI"/>
            <w:noProof/>
          </w:rPr>
          <w:t>B-3 Comptes d’Affectation Spéciale (CAS)</w:t>
        </w:r>
        <w:r>
          <w:rPr>
            <w:noProof/>
            <w:webHidden/>
          </w:rPr>
          <w:tab/>
        </w:r>
        <w:r>
          <w:rPr>
            <w:noProof/>
            <w:webHidden/>
          </w:rPr>
          <w:fldChar w:fldCharType="begin"/>
        </w:r>
        <w:r>
          <w:rPr>
            <w:noProof/>
            <w:webHidden/>
          </w:rPr>
          <w:instrText xml:space="preserve"> PAGEREF _Toc496025009 \h </w:instrText>
        </w:r>
        <w:r>
          <w:rPr>
            <w:noProof/>
            <w:webHidden/>
          </w:rPr>
        </w:r>
        <w:r>
          <w:rPr>
            <w:noProof/>
            <w:webHidden/>
          </w:rPr>
          <w:fldChar w:fldCharType="separate"/>
        </w:r>
        <w:r>
          <w:rPr>
            <w:noProof/>
            <w:webHidden/>
          </w:rPr>
          <w:t>24</w:t>
        </w:r>
        <w:r>
          <w:rPr>
            <w:noProof/>
            <w:webHidden/>
          </w:rPr>
          <w:fldChar w:fldCharType="end"/>
        </w:r>
      </w:hyperlink>
    </w:p>
    <w:p w:rsidR="000C207C" w:rsidRDefault="000C207C">
      <w:pPr>
        <w:pStyle w:val="TM2"/>
        <w:tabs>
          <w:tab w:val="left" w:pos="880"/>
          <w:tab w:val="right" w:leader="dot" w:pos="9062"/>
        </w:tabs>
        <w:rPr>
          <w:rFonts w:asciiTheme="minorHAnsi" w:eastAsiaTheme="minorEastAsia" w:hAnsiTheme="minorHAnsi" w:cstheme="minorBidi"/>
          <w:noProof/>
        </w:rPr>
      </w:pPr>
      <w:hyperlink w:anchor="_Toc496025010" w:history="1">
        <w:r w:rsidRPr="00E00014">
          <w:rPr>
            <w:rStyle w:val="Lienhypertexte"/>
            <w:rFonts w:ascii="Segoe UI" w:hAnsi="Segoe UI"/>
            <w:noProof/>
          </w:rPr>
          <w:t>C-</w:t>
        </w:r>
        <w:r>
          <w:rPr>
            <w:rFonts w:asciiTheme="minorHAnsi" w:eastAsiaTheme="minorEastAsia" w:hAnsiTheme="minorHAnsi" w:cstheme="minorBidi"/>
            <w:noProof/>
          </w:rPr>
          <w:tab/>
        </w:r>
        <w:r w:rsidRPr="00E00014">
          <w:rPr>
            <w:rStyle w:val="Lienhypertexte"/>
            <w:rFonts w:ascii="Segoe UI" w:hAnsi="Segoe UI" w:cs="Segoe UI"/>
            <w:noProof/>
          </w:rPr>
          <w:t>Solde budgétaire d’exécution au 3</w:t>
        </w:r>
        <w:r w:rsidRPr="00E00014">
          <w:rPr>
            <w:rStyle w:val="Lienhypertexte"/>
            <w:rFonts w:ascii="Segoe UI" w:hAnsi="Segoe UI" w:cs="Segoe UI"/>
            <w:noProof/>
            <w:lang w:eastAsia="x-none"/>
          </w:rPr>
          <w:t>0 juin</w:t>
        </w:r>
        <w:r w:rsidRPr="00E00014">
          <w:rPr>
            <w:rStyle w:val="Lienhypertexte"/>
            <w:rFonts w:ascii="Segoe UI" w:hAnsi="Segoe UI" w:cs="Segoe UI"/>
            <w:noProof/>
          </w:rPr>
          <w:t xml:space="preserve"> 201</w:t>
        </w:r>
        <w:r w:rsidRPr="00E00014">
          <w:rPr>
            <w:rStyle w:val="Lienhypertexte"/>
            <w:rFonts w:ascii="Segoe UI" w:hAnsi="Segoe UI" w:cs="Segoe UI"/>
            <w:noProof/>
            <w:lang w:eastAsia="x-none"/>
          </w:rPr>
          <w:t>7</w:t>
        </w:r>
        <w:r>
          <w:rPr>
            <w:noProof/>
            <w:webHidden/>
          </w:rPr>
          <w:tab/>
        </w:r>
        <w:r>
          <w:rPr>
            <w:noProof/>
            <w:webHidden/>
          </w:rPr>
          <w:fldChar w:fldCharType="begin"/>
        </w:r>
        <w:r>
          <w:rPr>
            <w:noProof/>
            <w:webHidden/>
          </w:rPr>
          <w:instrText xml:space="preserve"> PAGEREF _Toc496025010 \h </w:instrText>
        </w:r>
        <w:r>
          <w:rPr>
            <w:noProof/>
            <w:webHidden/>
          </w:rPr>
        </w:r>
        <w:r>
          <w:rPr>
            <w:noProof/>
            <w:webHidden/>
          </w:rPr>
          <w:fldChar w:fldCharType="separate"/>
        </w:r>
        <w:r>
          <w:rPr>
            <w:noProof/>
            <w:webHidden/>
          </w:rPr>
          <w:t>24</w:t>
        </w:r>
        <w:r>
          <w:rPr>
            <w:noProof/>
            <w:webHidden/>
          </w:rPr>
          <w:fldChar w:fldCharType="end"/>
        </w:r>
      </w:hyperlink>
    </w:p>
    <w:p w:rsidR="000C207C" w:rsidRDefault="000C207C">
      <w:pPr>
        <w:pStyle w:val="TM1"/>
        <w:rPr>
          <w:rFonts w:asciiTheme="minorHAnsi" w:eastAsiaTheme="minorEastAsia" w:hAnsiTheme="minorHAnsi" w:cstheme="minorBidi"/>
          <w:b w:val="0"/>
        </w:rPr>
      </w:pPr>
      <w:hyperlink w:anchor="_Toc496025011" w:history="1">
        <w:r w:rsidRPr="00E00014">
          <w:rPr>
            <w:rStyle w:val="Lienhypertexte"/>
          </w:rPr>
          <w:t>III-</w:t>
        </w:r>
        <w:r>
          <w:rPr>
            <w:rFonts w:asciiTheme="minorHAnsi" w:eastAsiaTheme="minorEastAsia" w:hAnsiTheme="minorHAnsi" w:cstheme="minorBidi"/>
            <w:b w:val="0"/>
          </w:rPr>
          <w:tab/>
        </w:r>
        <w:r w:rsidRPr="00E00014">
          <w:rPr>
            <w:rStyle w:val="Lienhypertexte"/>
            <w:rFonts w:cs="Segoe UI"/>
          </w:rPr>
          <w:t>SITUATION DES OPERATIONS DE TRESORERIE AU 3</w:t>
        </w:r>
        <w:r w:rsidRPr="00E00014">
          <w:rPr>
            <w:rStyle w:val="Lienhypertexte"/>
            <w:rFonts w:cs="Segoe UI"/>
            <w:lang w:eastAsia="x-none"/>
          </w:rPr>
          <w:t>0</w:t>
        </w:r>
        <w:r w:rsidRPr="00E00014">
          <w:rPr>
            <w:rStyle w:val="Lienhypertexte"/>
            <w:rFonts w:cs="Segoe UI"/>
          </w:rPr>
          <w:t xml:space="preserve"> </w:t>
        </w:r>
        <w:r w:rsidRPr="00E00014">
          <w:rPr>
            <w:rStyle w:val="Lienhypertexte"/>
            <w:rFonts w:cs="Segoe UI"/>
            <w:lang w:eastAsia="x-none"/>
          </w:rPr>
          <w:t>JUIN</w:t>
        </w:r>
        <w:r w:rsidRPr="00E00014">
          <w:rPr>
            <w:rStyle w:val="Lienhypertexte"/>
            <w:rFonts w:cs="Segoe UI"/>
          </w:rPr>
          <w:t xml:space="preserve"> 201</w:t>
        </w:r>
        <w:r w:rsidRPr="00E00014">
          <w:rPr>
            <w:rStyle w:val="Lienhypertexte"/>
            <w:rFonts w:cs="Segoe UI"/>
            <w:lang w:eastAsia="x-none"/>
          </w:rPr>
          <w:t>7</w:t>
        </w:r>
        <w:r>
          <w:rPr>
            <w:webHidden/>
          </w:rPr>
          <w:tab/>
        </w:r>
        <w:r>
          <w:rPr>
            <w:webHidden/>
          </w:rPr>
          <w:fldChar w:fldCharType="begin"/>
        </w:r>
        <w:r>
          <w:rPr>
            <w:webHidden/>
          </w:rPr>
          <w:instrText xml:space="preserve"> PAGEREF _Toc496025011 \h </w:instrText>
        </w:r>
        <w:r>
          <w:rPr>
            <w:webHidden/>
          </w:rPr>
        </w:r>
        <w:r>
          <w:rPr>
            <w:webHidden/>
          </w:rPr>
          <w:fldChar w:fldCharType="separate"/>
        </w:r>
        <w:r>
          <w:rPr>
            <w:webHidden/>
          </w:rPr>
          <w:t>25</w:t>
        </w:r>
        <w:r>
          <w:rPr>
            <w:webHidden/>
          </w:rPr>
          <w:fldChar w:fldCharType="end"/>
        </w:r>
      </w:hyperlink>
    </w:p>
    <w:p w:rsidR="000C207C" w:rsidRDefault="000C207C">
      <w:pPr>
        <w:pStyle w:val="TM2"/>
        <w:tabs>
          <w:tab w:val="left" w:pos="880"/>
          <w:tab w:val="right" w:leader="dot" w:pos="9062"/>
        </w:tabs>
        <w:rPr>
          <w:rFonts w:asciiTheme="minorHAnsi" w:eastAsiaTheme="minorEastAsia" w:hAnsiTheme="minorHAnsi" w:cstheme="minorBidi"/>
          <w:noProof/>
        </w:rPr>
      </w:pPr>
      <w:hyperlink w:anchor="_Toc496025012" w:history="1">
        <w:r w:rsidRPr="00E00014">
          <w:rPr>
            <w:rStyle w:val="Lienhypertexte"/>
            <w:rFonts w:ascii="Segoe UI" w:hAnsi="Segoe UI"/>
            <w:noProof/>
          </w:rPr>
          <w:t>A-</w:t>
        </w:r>
        <w:r>
          <w:rPr>
            <w:rFonts w:asciiTheme="minorHAnsi" w:eastAsiaTheme="minorEastAsia" w:hAnsiTheme="minorHAnsi" w:cstheme="minorBidi"/>
            <w:noProof/>
          </w:rPr>
          <w:tab/>
        </w:r>
        <w:r w:rsidRPr="00E00014">
          <w:rPr>
            <w:rStyle w:val="Lienhypertexte"/>
            <w:rFonts w:ascii="Segoe UI" w:hAnsi="Segoe UI" w:cs="Segoe UI"/>
            <w:noProof/>
          </w:rPr>
          <w:t>Mobilisation des ressources de financement</w:t>
        </w:r>
        <w:r>
          <w:rPr>
            <w:noProof/>
            <w:webHidden/>
          </w:rPr>
          <w:tab/>
        </w:r>
        <w:r>
          <w:rPr>
            <w:noProof/>
            <w:webHidden/>
          </w:rPr>
          <w:fldChar w:fldCharType="begin"/>
        </w:r>
        <w:r>
          <w:rPr>
            <w:noProof/>
            <w:webHidden/>
          </w:rPr>
          <w:instrText xml:space="preserve"> PAGEREF _Toc496025012 \h </w:instrText>
        </w:r>
        <w:r>
          <w:rPr>
            <w:noProof/>
            <w:webHidden/>
          </w:rPr>
        </w:r>
        <w:r>
          <w:rPr>
            <w:noProof/>
            <w:webHidden/>
          </w:rPr>
          <w:fldChar w:fldCharType="separate"/>
        </w:r>
        <w:r>
          <w:rPr>
            <w:noProof/>
            <w:webHidden/>
          </w:rPr>
          <w:t>25</w:t>
        </w:r>
        <w:r>
          <w:rPr>
            <w:noProof/>
            <w:webHidden/>
          </w:rPr>
          <w:fldChar w:fldCharType="end"/>
        </w:r>
      </w:hyperlink>
    </w:p>
    <w:p w:rsidR="000C207C" w:rsidRDefault="000C207C">
      <w:pPr>
        <w:pStyle w:val="TM2"/>
        <w:tabs>
          <w:tab w:val="left" w:pos="660"/>
          <w:tab w:val="right" w:leader="dot" w:pos="9062"/>
        </w:tabs>
        <w:rPr>
          <w:rFonts w:asciiTheme="minorHAnsi" w:eastAsiaTheme="minorEastAsia" w:hAnsiTheme="minorHAnsi" w:cstheme="minorBidi"/>
          <w:noProof/>
        </w:rPr>
      </w:pPr>
      <w:hyperlink w:anchor="_Toc496025013" w:history="1">
        <w:r w:rsidRPr="00E00014">
          <w:rPr>
            <w:rStyle w:val="Lienhypertexte"/>
            <w:rFonts w:ascii="Segoe UI" w:hAnsi="Segoe UI"/>
            <w:noProof/>
          </w:rPr>
          <w:t>B-</w:t>
        </w:r>
        <w:r>
          <w:rPr>
            <w:rFonts w:asciiTheme="minorHAnsi" w:eastAsiaTheme="minorEastAsia" w:hAnsiTheme="minorHAnsi" w:cstheme="minorBidi"/>
            <w:noProof/>
          </w:rPr>
          <w:tab/>
        </w:r>
        <w:r w:rsidRPr="00E00014">
          <w:rPr>
            <w:rStyle w:val="Lienhypertexte"/>
            <w:rFonts w:ascii="Segoe UI" w:hAnsi="Segoe UI" w:cs="Segoe UI"/>
            <w:noProof/>
          </w:rPr>
          <w:t>Exécution des charges de Trésorerie</w:t>
        </w:r>
        <w:r>
          <w:rPr>
            <w:noProof/>
            <w:webHidden/>
          </w:rPr>
          <w:tab/>
        </w:r>
        <w:r>
          <w:rPr>
            <w:noProof/>
            <w:webHidden/>
          </w:rPr>
          <w:fldChar w:fldCharType="begin"/>
        </w:r>
        <w:r>
          <w:rPr>
            <w:noProof/>
            <w:webHidden/>
          </w:rPr>
          <w:instrText xml:space="preserve"> PAGEREF _Toc496025013 \h </w:instrText>
        </w:r>
        <w:r>
          <w:rPr>
            <w:noProof/>
            <w:webHidden/>
          </w:rPr>
        </w:r>
        <w:r>
          <w:rPr>
            <w:noProof/>
            <w:webHidden/>
          </w:rPr>
          <w:fldChar w:fldCharType="separate"/>
        </w:r>
        <w:r>
          <w:rPr>
            <w:noProof/>
            <w:webHidden/>
          </w:rPr>
          <w:t>26</w:t>
        </w:r>
        <w:r>
          <w:rPr>
            <w:noProof/>
            <w:webHidden/>
          </w:rPr>
          <w:fldChar w:fldCharType="end"/>
        </w:r>
      </w:hyperlink>
    </w:p>
    <w:p w:rsidR="000C207C" w:rsidRDefault="000C207C">
      <w:pPr>
        <w:pStyle w:val="TM1"/>
        <w:rPr>
          <w:rFonts w:asciiTheme="minorHAnsi" w:eastAsiaTheme="minorEastAsia" w:hAnsiTheme="minorHAnsi" w:cstheme="minorBidi"/>
          <w:b w:val="0"/>
        </w:rPr>
      </w:pPr>
      <w:hyperlink w:anchor="_Toc496025014" w:history="1">
        <w:r w:rsidRPr="00E00014">
          <w:rPr>
            <w:rStyle w:val="Lienhypertexte"/>
          </w:rPr>
          <w:t>IV-</w:t>
        </w:r>
        <w:r>
          <w:rPr>
            <w:rFonts w:asciiTheme="minorHAnsi" w:eastAsiaTheme="minorEastAsia" w:hAnsiTheme="minorHAnsi" w:cstheme="minorBidi"/>
            <w:b w:val="0"/>
          </w:rPr>
          <w:tab/>
        </w:r>
        <w:r w:rsidRPr="00E00014">
          <w:rPr>
            <w:rStyle w:val="Lienhypertexte"/>
            <w:rFonts w:cs="Segoe UI"/>
          </w:rPr>
          <w:t>MODIFICATIONS INTERVENUES AU COURS DU 1</w:t>
        </w:r>
        <w:r w:rsidRPr="00E00014">
          <w:rPr>
            <w:rStyle w:val="Lienhypertexte"/>
            <w:rFonts w:cs="Segoe UI"/>
            <w:vertAlign w:val="superscript"/>
          </w:rPr>
          <w:t>er</w:t>
        </w:r>
        <w:r w:rsidRPr="00E00014">
          <w:rPr>
            <w:rStyle w:val="Lienhypertexte"/>
            <w:rFonts w:cs="Segoe UI"/>
          </w:rPr>
          <w:t xml:space="preserve"> SEMESTRE 2017</w:t>
        </w:r>
        <w:r>
          <w:rPr>
            <w:webHidden/>
          </w:rPr>
          <w:tab/>
        </w:r>
        <w:r>
          <w:rPr>
            <w:webHidden/>
          </w:rPr>
          <w:fldChar w:fldCharType="begin"/>
        </w:r>
        <w:r>
          <w:rPr>
            <w:webHidden/>
          </w:rPr>
          <w:instrText xml:space="preserve"> PAGEREF _Toc496025014 \h </w:instrText>
        </w:r>
        <w:r>
          <w:rPr>
            <w:webHidden/>
          </w:rPr>
        </w:r>
        <w:r>
          <w:rPr>
            <w:webHidden/>
          </w:rPr>
          <w:fldChar w:fldCharType="separate"/>
        </w:r>
        <w:r>
          <w:rPr>
            <w:webHidden/>
          </w:rPr>
          <w:t>28</w:t>
        </w:r>
        <w:r>
          <w:rPr>
            <w:webHidden/>
          </w:rPr>
          <w:fldChar w:fldCharType="end"/>
        </w:r>
      </w:hyperlink>
    </w:p>
    <w:p w:rsidR="000C207C" w:rsidRDefault="000C207C">
      <w:pPr>
        <w:pStyle w:val="TM2"/>
        <w:tabs>
          <w:tab w:val="left" w:pos="880"/>
          <w:tab w:val="right" w:leader="dot" w:pos="9062"/>
        </w:tabs>
        <w:rPr>
          <w:rFonts w:asciiTheme="minorHAnsi" w:eastAsiaTheme="minorEastAsia" w:hAnsiTheme="minorHAnsi" w:cstheme="minorBidi"/>
          <w:noProof/>
        </w:rPr>
      </w:pPr>
      <w:hyperlink w:anchor="_Toc496025015" w:history="1">
        <w:r w:rsidRPr="00E00014">
          <w:rPr>
            <w:rStyle w:val="Lienhypertexte"/>
            <w:rFonts w:ascii="Segoe UI" w:hAnsi="Segoe UI"/>
            <w:noProof/>
          </w:rPr>
          <w:t>A-</w:t>
        </w:r>
        <w:r>
          <w:rPr>
            <w:rFonts w:asciiTheme="minorHAnsi" w:eastAsiaTheme="minorEastAsia" w:hAnsiTheme="minorHAnsi" w:cstheme="minorBidi"/>
            <w:noProof/>
          </w:rPr>
          <w:tab/>
        </w:r>
        <w:r w:rsidRPr="00E00014">
          <w:rPr>
            <w:rStyle w:val="Lienhypertexte"/>
            <w:rFonts w:ascii="Segoe UI" w:hAnsi="Segoe UI" w:cs="Segoe UI"/>
            <w:noProof/>
          </w:rPr>
          <w:t>Modifications de crédits</w:t>
        </w:r>
        <w:r>
          <w:rPr>
            <w:noProof/>
            <w:webHidden/>
          </w:rPr>
          <w:tab/>
        </w:r>
        <w:r>
          <w:rPr>
            <w:noProof/>
            <w:webHidden/>
          </w:rPr>
          <w:fldChar w:fldCharType="begin"/>
        </w:r>
        <w:r>
          <w:rPr>
            <w:noProof/>
            <w:webHidden/>
          </w:rPr>
          <w:instrText xml:space="preserve"> PAGEREF _Toc496025015 \h </w:instrText>
        </w:r>
        <w:r>
          <w:rPr>
            <w:noProof/>
            <w:webHidden/>
          </w:rPr>
        </w:r>
        <w:r>
          <w:rPr>
            <w:noProof/>
            <w:webHidden/>
          </w:rPr>
          <w:fldChar w:fldCharType="separate"/>
        </w:r>
        <w:r>
          <w:rPr>
            <w:noProof/>
            <w:webHidden/>
          </w:rPr>
          <w:t>28</w:t>
        </w:r>
        <w:r>
          <w:rPr>
            <w:noProof/>
            <w:webHidden/>
          </w:rPr>
          <w:fldChar w:fldCharType="end"/>
        </w:r>
      </w:hyperlink>
    </w:p>
    <w:p w:rsidR="000C207C" w:rsidRDefault="000C207C">
      <w:pPr>
        <w:pStyle w:val="TM2"/>
        <w:tabs>
          <w:tab w:val="left" w:pos="660"/>
          <w:tab w:val="right" w:leader="dot" w:pos="9062"/>
        </w:tabs>
        <w:rPr>
          <w:rFonts w:asciiTheme="minorHAnsi" w:eastAsiaTheme="minorEastAsia" w:hAnsiTheme="minorHAnsi" w:cstheme="minorBidi"/>
          <w:noProof/>
        </w:rPr>
      </w:pPr>
      <w:hyperlink w:anchor="_Toc496025016" w:history="1">
        <w:r w:rsidRPr="00E00014">
          <w:rPr>
            <w:rStyle w:val="Lienhypertexte"/>
            <w:rFonts w:ascii="Segoe UI" w:hAnsi="Segoe UI"/>
            <w:noProof/>
          </w:rPr>
          <w:t>B-</w:t>
        </w:r>
        <w:r>
          <w:rPr>
            <w:rFonts w:asciiTheme="minorHAnsi" w:eastAsiaTheme="minorEastAsia" w:hAnsiTheme="minorHAnsi" w:cstheme="minorBidi"/>
            <w:noProof/>
          </w:rPr>
          <w:tab/>
        </w:r>
        <w:r w:rsidRPr="00E00014">
          <w:rPr>
            <w:rStyle w:val="Lienhypertexte"/>
            <w:rFonts w:ascii="Segoe UI" w:hAnsi="Segoe UI" w:cs="Segoe UI"/>
            <w:noProof/>
          </w:rPr>
          <w:t>Prise d’acte réglementaire pour l’application du texte de loi</w:t>
        </w:r>
        <w:r>
          <w:rPr>
            <w:noProof/>
            <w:webHidden/>
          </w:rPr>
          <w:tab/>
        </w:r>
        <w:r>
          <w:rPr>
            <w:noProof/>
            <w:webHidden/>
          </w:rPr>
          <w:fldChar w:fldCharType="begin"/>
        </w:r>
        <w:r>
          <w:rPr>
            <w:noProof/>
            <w:webHidden/>
          </w:rPr>
          <w:instrText xml:space="preserve"> PAGEREF _Toc496025016 \h </w:instrText>
        </w:r>
        <w:r>
          <w:rPr>
            <w:noProof/>
            <w:webHidden/>
          </w:rPr>
        </w:r>
        <w:r>
          <w:rPr>
            <w:noProof/>
            <w:webHidden/>
          </w:rPr>
          <w:fldChar w:fldCharType="separate"/>
        </w:r>
        <w:r>
          <w:rPr>
            <w:noProof/>
            <w:webHidden/>
          </w:rPr>
          <w:t>40</w:t>
        </w:r>
        <w:r>
          <w:rPr>
            <w:noProof/>
            <w:webHidden/>
          </w:rPr>
          <w:fldChar w:fldCharType="end"/>
        </w:r>
      </w:hyperlink>
    </w:p>
    <w:p w:rsidR="000C207C" w:rsidRDefault="000C207C">
      <w:pPr>
        <w:pStyle w:val="TM1"/>
        <w:rPr>
          <w:rFonts w:asciiTheme="minorHAnsi" w:eastAsiaTheme="minorEastAsia" w:hAnsiTheme="minorHAnsi" w:cstheme="minorBidi"/>
          <w:b w:val="0"/>
        </w:rPr>
      </w:pPr>
      <w:hyperlink w:anchor="_Toc496025017" w:history="1">
        <w:r w:rsidRPr="00E00014">
          <w:rPr>
            <w:rStyle w:val="Lienhypertexte"/>
            <w:rFonts w:cs="Segoe UI"/>
          </w:rPr>
          <w:t>CONCLUSION</w:t>
        </w:r>
        <w:r>
          <w:rPr>
            <w:webHidden/>
          </w:rPr>
          <w:tab/>
        </w:r>
        <w:r>
          <w:rPr>
            <w:webHidden/>
          </w:rPr>
          <w:fldChar w:fldCharType="begin"/>
        </w:r>
        <w:r>
          <w:rPr>
            <w:webHidden/>
          </w:rPr>
          <w:instrText xml:space="preserve"> PAGEREF _Toc496025017 \h </w:instrText>
        </w:r>
        <w:r>
          <w:rPr>
            <w:webHidden/>
          </w:rPr>
        </w:r>
        <w:r>
          <w:rPr>
            <w:webHidden/>
          </w:rPr>
          <w:fldChar w:fldCharType="separate"/>
        </w:r>
        <w:r>
          <w:rPr>
            <w:webHidden/>
          </w:rPr>
          <w:t>41</w:t>
        </w:r>
        <w:r>
          <w:rPr>
            <w:webHidden/>
          </w:rPr>
          <w:fldChar w:fldCharType="end"/>
        </w:r>
      </w:hyperlink>
    </w:p>
    <w:p w:rsidR="007D5EA9" w:rsidRPr="00BB2BCE" w:rsidRDefault="007D5EA9" w:rsidP="007D5EA9">
      <w:pPr>
        <w:rPr>
          <w:rFonts w:ascii="Segoe UI" w:hAnsi="Segoe UI" w:cs="Segoe UI"/>
        </w:rPr>
      </w:pPr>
      <w:r w:rsidRPr="00BB2BCE">
        <w:rPr>
          <w:rFonts w:ascii="Segoe UI" w:hAnsi="Segoe UI" w:cs="Segoe UI"/>
        </w:rPr>
        <w:fldChar w:fldCharType="end"/>
      </w:r>
    </w:p>
    <w:p w:rsidR="00826B9B" w:rsidRPr="00BB2BCE" w:rsidRDefault="00826B9B" w:rsidP="0068414F">
      <w:pPr>
        <w:pStyle w:val="Pieddepage"/>
        <w:tabs>
          <w:tab w:val="clear" w:pos="4536"/>
          <w:tab w:val="clear" w:pos="9072"/>
        </w:tabs>
        <w:rPr>
          <w:rFonts w:ascii="Segoe UI" w:hAnsi="Segoe UI" w:cs="Segoe UI"/>
        </w:rPr>
      </w:pPr>
    </w:p>
    <w:p w:rsidR="0068414F" w:rsidRPr="00BB2BCE" w:rsidRDefault="0068414F" w:rsidP="0068414F">
      <w:pPr>
        <w:pStyle w:val="Pieddepage"/>
        <w:tabs>
          <w:tab w:val="clear" w:pos="4536"/>
          <w:tab w:val="clear" w:pos="9072"/>
        </w:tabs>
        <w:rPr>
          <w:rFonts w:ascii="Segoe UI" w:hAnsi="Segoe UI" w:cs="Segoe UI"/>
        </w:rPr>
      </w:pPr>
    </w:p>
    <w:p w:rsidR="007D5EA9" w:rsidRPr="00BB2BCE" w:rsidRDefault="007D5EA9">
      <w:pPr>
        <w:rPr>
          <w:rFonts w:ascii="Segoe UI" w:hAnsi="Segoe UI" w:cs="Segoe UI"/>
          <w:b/>
          <w:sz w:val="24"/>
          <w:szCs w:val="24"/>
        </w:rPr>
      </w:pPr>
      <w:r w:rsidRPr="00BB2BCE">
        <w:rPr>
          <w:rFonts w:ascii="Segoe UI" w:hAnsi="Segoe UI" w:cs="Segoe UI"/>
          <w:b/>
          <w:sz w:val="24"/>
          <w:szCs w:val="24"/>
        </w:rPr>
        <w:br w:type="page"/>
      </w:r>
    </w:p>
    <w:p w:rsidR="0068414F" w:rsidRPr="00BB2BCE" w:rsidRDefault="0068414F" w:rsidP="0068414F">
      <w:pPr>
        <w:pStyle w:val="Pieddepage"/>
        <w:tabs>
          <w:tab w:val="clear" w:pos="4536"/>
          <w:tab w:val="clear" w:pos="9072"/>
        </w:tabs>
        <w:rPr>
          <w:rFonts w:ascii="Segoe UI" w:hAnsi="Segoe UI" w:cs="Segoe UI"/>
          <w:b/>
          <w:sz w:val="24"/>
          <w:szCs w:val="24"/>
        </w:rPr>
      </w:pPr>
      <w:r w:rsidRPr="00BB2BCE">
        <w:rPr>
          <w:rFonts w:ascii="Segoe UI" w:hAnsi="Segoe UI" w:cs="Segoe UI"/>
          <w:b/>
          <w:sz w:val="24"/>
          <w:szCs w:val="24"/>
        </w:rPr>
        <w:lastRenderedPageBreak/>
        <w:t>LISTE DES TABLEAUX</w:t>
      </w:r>
    </w:p>
    <w:p w:rsidR="0068414F" w:rsidRPr="00BB2BCE" w:rsidRDefault="0068414F" w:rsidP="00BE3016">
      <w:pPr>
        <w:pStyle w:val="Pieddepage"/>
        <w:tabs>
          <w:tab w:val="clear" w:pos="4536"/>
          <w:tab w:val="clear" w:pos="9072"/>
        </w:tabs>
        <w:spacing w:line="360" w:lineRule="auto"/>
        <w:jc w:val="both"/>
        <w:rPr>
          <w:rFonts w:ascii="Segoe UI" w:hAnsi="Segoe UI" w:cs="Segoe UI"/>
        </w:rPr>
      </w:pPr>
    </w:p>
    <w:p w:rsidR="00384D30" w:rsidRDefault="00143CF5">
      <w:pPr>
        <w:pStyle w:val="Tabledesillustrations"/>
        <w:tabs>
          <w:tab w:val="right" w:leader="dot" w:pos="9062"/>
        </w:tabs>
        <w:rPr>
          <w:rFonts w:asciiTheme="minorHAnsi" w:eastAsiaTheme="minorEastAsia" w:hAnsiTheme="minorHAnsi" w:cstheme="minorBidi"/>
          <w:i w:val="0"/>
          <w:iCs w:val="0"/>
          <w:noProof/>
          <w:sz w:val="22"/>
          <w:szCs w:val="22"/>
        </w:rPr>
      </w:pPr>
      <w:r w:rsidRPr="00BB2BCE">
        <w:rPr>
          <w:rFonts w:ascii="Segoe UI" w:hAnsi="Segoe UI" w:cs="Segoe UI"/>
          <w:b/>
          <w:i w:val="0"/>
        </w:rPr>
        <w:fldChar w:fldCharType="begin"/>
      </w:r>
      <w:r w:rsidRPr="00BB2BCE">
        <w:rPr>
          <w:rFonts w:ascii="Segoe UI" w:hAnsi="Segoe UI" w:cs="Segoe UI"/>
          <w:b/>
          <w:i w:val="0"/>
        </w:rPr>
        <w:instrText xml:space="preserve"> TOC \h \z \t "Liste des tableaux" \c "Tableau" </w:instrText>
      </w:r>
      <w:r w:rsidRPr="00BB2BCE">
        <w:rPr>
          <w:rFonts w:ascii="Segoe UI" w:hAnsi="Segoe UI" w:cs="Segoe UI"/>
          <w:b/>
          <w:i w:val="0"/>
        </w:rPr>
        <w:fldChar w:fldCharType="separate"/>
      </w:r>
      <w:hyperlink w:anchor="_Toc495935936" w:history="1">
        <w:r w:rsidR="00384D30" w:rsidRPr="008745B1">
          <w:rPr>
            <w:rStyle w:val="Lienhypertexte"/>
            <w:rFonts w:ascii="Segoe UI" w:hAnsi="Segoe UI" w:cs="Segoe UI"/>
            <w:noProof/>
          </w:rPr>
          <w:t>Tableau 1 : Indice global du chiffre d’affaires au premier semestre 2017</w:t>
        </w:r>
        <w:r w:rsidR="00384D30">
          <w:rPr>
            <w:noProof/>
            <w:webHidden/>
          </w:rPr>
          <w:tab/>
        </w:r>
        <w:r w:rsidR="00384D30">
          <w:rPr>
            <w:noProof/>
            <w:webHidden/>
          </w:rPr>
          <w:fldChar w:fldCharType="begin"/>
        </w:r>
        <w:r w:rsidR="00384D30">
          <w:rPr>
            <w:noProof/>
            <w:webHidden/>
          </w:rPr>
          <w:instrText xml:space="preserve"> PAGEREF _Toc495935936 \h </w:instrText>
        </w:r>
        <w:r w:rsidR="00384D30">
          <w:rPr>
            <w:noProof/>
            <w:webHidden/>
          </w:rPr>
        </w:r>
        <w:r w:rsidR="00384D30">
          <w:rPr>
            <w:noProof/>
            <w:webHidden/>
          </w:rPr>
          <w:fldChar w:fldCharType="separate"/>
        </w:r>
        <w:r w:rsidR="00384D30">
          <w:rPr>
            <w:noProof/>
            <w:webHidden/>
          </w:rPr>
          <w:t>9</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37" w:history="1">
        <w:r w:rsidR="00384D30" w:rsidRPr="008745B1">
          <w:rPr>
            <w:rStyle w:val="Lienhypertexte"/>
            <w:rFonts w:ascii="Segoe UI" w:hAnsi="Segoe UI" w:cs="Segoe UI"/>
            <w:noProof/>
          </w:rPr>
          <w:t>Tableau 2 : Quelques indicateurs du commerce extérieur à fin juin</w:t>
        </w:r>
        <w:r w:rsidR="00384D30">
          <w:rPr>
            <w:noProof/>
            <w:webHidden/>
          </w:rPr>
          <w:tab/>
        </w:r>
        <w:r w:rsidR="00384D30">
          <w:rPr>
            <w:noProof/>
            <w:webHidden/>
          </w:rPr>
          <w:fldChar w:fldCharType="begin"/>
        </w:r>
        <w:r w:rsidR="00384D30">
          <w:rPr>
            <w:noProof/>
            <w:webHidden/>
          </w:rPr>
          <w:instrText xml:space="preserve"> PAGEREF _Toc495935937 \h </w:instrText>
        </w:r>
        <w:r w:rsidR="00384D30">
          <w:rPr>
            <w:noProof/>
            <w:webHidden/>
          </w:rPr>
        </w:r>
        <w:r w:rsidR="00384D30">
          <w:rPr>
            <w:noProof/>
            <w:webHidden/>
          </w:rPr>
          <w:fldChar w:fldCharType="separate"/>
        </w:r>
        <w:r w:rsidR="00384D30">
          <w:rPr>
            <w:noProof/>
            <w:webHidden/>
          </w:rPr>
          <w:t>10</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38" w:history="1">
        <w:r w:rsidR="00384D30" w:rsidRPr="008745B1">
          <w:rPr>
            <w:rStyle w:val="Lienhypertexte"/>
            <w:rFonts w:ascii="Segoe UI" w:hAnsi="Segoe UI" w:cs="Segoe UI"/>
            <w:noProof/>
          </w:rPr>
          <w:t>Tableau 3 : Recettes brutes des administrations financières au 30 juin 2016 et 2017</w:t>
        </w:r>
        <w:r w:rsidR="00384D30">
          <w:rPr>
            <w:noProof/>
            <w:webHidden/>
          </w:rPr>
          <w:tab/>
        </w:r>
        <w:r w:rsidR="00384D30">
          <w:rPr>
            <w:noProof/>
            <w:webHidden/>
          </w:rPr>
          <w:fldChar w:fldCharType="begin"/>
        </w:r>
        <w:r w:rsidR="00384D30">
          <w:rPr>
            <w:noProof/>
            <w:webHidden/>
          </w:rPr>
          <w:instrText xml:space="preserve"> PAGEREF _Toc495935938 \h </w:instrText>
        </w:r>
        <w:r w:rsidR="00384D30">
          <w:rPr>
            <w:noProof/>
            <w:webHidden/>
          </w:rPr>
        </w:r>
        <w:r w:rsidR="00384D30">
          <w:rPr>
            <w:noProof/>
            <w:webHidden/>
          </w:rPr>
          <w:fldChar w:fldCharType="separate"/>
        </w:r>
        <w:r w:rsidR="00384D30">
          <w:rPr>
            <w:noProof/>
            <w:webHidden/>
          </w:rPr>
          <w:t>12</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39" w:history="1">
        <w:r w:rsidR="00384D30" w:rsidRPr="008745B1">
          <w:rPr>
            <w:rStyle w:val="Lienhypertexte"/>
            <w:rFonts w:ascii="Segoe UI" w:hAnsi="Segoe UI" w:cs="Segoe UI"/>
            <w:noProof/>
          </w:rPr>
          <w:t>Tableau 4 : Evolution des réalisations des recettes du FNRB et des autres organismes publics au 30 juin 2016 et 2017</w:t>
        </w:r>
        <w:r w:rsidR="00384D30">
          <w:rPr>
            <w:noProof/>
            <w:webHidden/>
          </w:rPr>
          <w:tab/>
        </w:r>
        <w:r w:rsidR="00384D30">
          <w:rPr>
            <w:noProof/>
            <w:webHidden/>
          </w:rPr>
          <w:fldChar w:fldCharType="begin"/>
        </w:r>
        <w:r w:rsidR="00384D30">
          <w:rPr>
            <w:noProof/>
            <w:webHidden/>
          </w:rPr>
          <w:instrText xml:space="preserve"> PAGEREF _Toc495935939 \h </w:instrText>
        </w:r>
        <w:r w:rsidR="00384D30">
          <w:rPr>
            <w:noProof/>
            <w:webHidden/>
          </w:rPr>
        </w:r>
        <w:r w:rsidR="00384D30">
          <w:rPr>
            <w:noProof/>
            <w:webHidden/>
          </w:rPr>
          <w:fldChar w:fldCharType="separate"/>
        </w:r>
        <w:r w:rsidR="00384D30">
          <w:rPr>
            <w:noProof/>
            <w:webHidden/>
          </w:rPr>
          <w:t>16</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0" w:history="1">
        <w:r w:rsidR="00384D30" w:rsidRPr="008745B1">
          <w:rPr>
            <w:rStyle w:val="Lienhypertexte"/>
            <w:rFonts w:ascii="Segoe UI" w:hAnsi="Segoe UI" w:cs="Segoe UI"/>
            <w:noProof/>
          </w:rPr>
          <w:t>Tableau 5 : Evolution des réalisations des recettes des Comptes OME et PME au 30 juin 2016 et 2017</w:t>
        </w:r>
        <w:r w:rsidR="00384D30">
          <w:rPr>
            <w:noProof/>
            <w:webHidden/>
          </w:rPr>
          <w:tab/>
        </w:r>
        <w:r w:rsidR="00384D30">
          <w:rPr>
            <w:noProof/>
            <w:webHidden/>
          </w:rPr>
          <w:fldChar w:fldCharType="begin"/>
        </w:r>
        <w:r w:rsidR="00384D30">
          <w:rPr>
            <w:noProof/>
            <w:webHidden/>
          </w:rPr>
          <w:instrText xml:space="preserve"> PAGEREF _Toc495935940 \h </w:instrText>
        </w:r>
        <w:r w:rsidR="00384D30">
          <w:rPr>
            <w:noProof/>
            <w:webHidden/>
          </w:rPr>
        </w:r>
        <w:r w:rsidR="00384D30">
          <w:rPr>
            <w:noProof/>
            <w:webHidden/>
          </w:rPr>
          <w:fldChar w:fldCharType="separate"/>
        </w:r>
        <w:r w:rsidR="00384D30">
          <w:rPr>
            <w:noProof/>
            <w:webHidden/>
          </w:rPr>
          <w:t>17</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1" w:history="1">
        <w:r w:rsidR="00384D30" w:rsidRPr="008745B1">
          <w:rPr>
            <w:rStyle w:val="Lienhypertexte"/>
            <w:rFonts w:ascii="Segoe UI" w:hAnsi="Segoe UI" w:cs="Segoe UI"/>
            <w:noProof/>
          </w:rPr>
          <w:t>Tableau 6 : Récapitulatif de la mobilisation des autres ressources budgétaires à fin juin 2016 et 2017</w:t>
        </w:r>
        <w:r w:rsidR="00384D30">
          <w:rPr>
            <w:noProof/>
            <w:webHidden/>
          </w:rPr>
          <w:tab/>
        </w:r>
        <w:r w:rsidR="00384D30">
          <w:rPr>
            <w:noProof/>
            <w:webHidden/>
          </w:rPr>
          <w:fldChar w:fldCharType="begin"/>
        </w:r>
        <w:r w:rsidR="00384D30">
          <w:rPr>
            <w:noProof/>
            <w:webHidden/>
          </w:rPr>
          <w:instrText xml:space="preserve"> PAGEREF _Toc495935941 \h </w:instrText>
        </w:r>
        <w:r w:rsidR="00384D30">
          <w:rPr>
            <w:noProof/>
            <w:webHidden/>
          </w:rPr>
        </w:r>
        <w:r w:rsidR="00384D30">
          <w:rPr>
            <w:noProof/>
            <w:webHidden/>
          </w:rPr>
          <w:fldChar w:fldCharType="separate"/>
        </w:r>
        <w:r w:rsidR="00384D30">
          <w:rPr>
            <w:noProof/>
            <w:webHidden/>
          </w:rPr>
          <w:t>18</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2" w:history="1">
        <w:r w:rsidR="00384D30" w:rsidRPr="008745B1">
          <w:rPr>
            <w:rStyle w:val="Lienhypertexte"/>
            <w:rFonts w:ascii="Segoe UI" w:hAnsi="Segoe UI" w:cs="Segoe UI"/>
            <w:noProof/>
          </w:rPr>
          <w:t>En millions de FCFA</w:t>
        </w:r>
        <w:r w:rsidR="00384D30">
          <w:rPr>
            <w:noProof/>
            <w:webHidden/>
          </w:rPr>
          <w:tab/>
        </w:r>
        <w:r w:rsidR="00384D30">
          <w:rPr>
            <w:noProof/>
            <w:webHidden/>
          </w:rPr>
          <w:fldChar w:fldCharType="begin"/>
        </w:r>
        <w:r w:rsidR="00384D30">
          <w:rPr>
            <w:noProof/>
            <w:webHidden/>
          </w:rPr>
          <w:instrText xml:space="preserve"> PAGEREF _Toc495935942 \h </w:instrText>
        </w:r>
        <w:r w:rsidR="00384D30">
          <w:rPr>
            <w:noProof/>
            <w:webHidden/>
          </w:rPr>
        </w:r>
        <w:r w:rsidR="00384D30">
          <w:rPr>
            <w:noProof/>
            <w:webHidden/>
          </w:rPr>
          <w:fldChar w:fldCharType="separate"/>
        </w:r>
        <w:r w:rsidR="00384D30">
          <w:rPr>
            <w:noProof/>
            <w:webHidden/>
          </w:rPr>
          <w:t>18</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3" w:history="1">
        <w:r w:rsidR="00384D30" w:rsidRPr="008745B1">
          <w:rPr>
            <w:rStyle w:val="Lienhypertexte"/>
            <w:rFonts w:ascii="Segoe UI" w:hAnsi="Segoe UI" w:cs="Segoe UI"/>
            <w:noProof/>
          </w:rPr>
          <w:t>Tableau 7 : Exécution des dépenses ordinaires au 30 juin 2016 et 2017</w:t>
        </w:r>
        <w:r w:rsidR="00384D30">
          <w:rPr>
            <w:noProof/>
            <w:webHidden/>
          </w:rPr>
          <w:tab/>
        </w:r>
        <w:r w:rsidR="00384D30">
          <w:rPr>
            <w:noProof/>
            <w:webHidden/>
          </w:rPr>
          <w:fldChar w:fldCharType="begin"/>
        </w:r>
        <w:r w:rsidR="00384D30">
          <w:rPr>
            <w:noProof/>
            <w:webHidden/>
          </w:rPr>
          <w:instrText xml:space="preserve"> PAGEREF _Toc495935943 \h </w:instrText>
        </w:r>
        <w:r w:rsidR="00384D30">
          <w:rPr>
            <w:noProof/>
            <w:webHidden/>
          </w:rPr>
        </w:r>
        <w:r w:rsidR="00384D30">
          <w:rPr>
            <w:noProof/>
            <w:webHidden/>
          </w:rPr>
          <w:fldChar w:fldCharType="separate"/>
        </w:r>
        <w:r w:rsidR="00384D30">
          <w:rPr>
            <w:noProof/>
            <w:webHidden/>
          </w:rPr>
          <w:t>22</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4" w:history="1">
        <w:r w:rsidR="00384D30" w:rsidRPr="008745B1">
          <w:rPr>
            <w:rStyle w:val="Lienhypertexte"/>
            <w:rFonts w:ascii="Segoe UI" w:hAnsi="Segoe UI" w:cs="Segoe UI"/>
            <w:noProof/>
          </w:rPr>
          <w:t>Tableau 8 : Situation d’engagements des dépenses en capital à fin juin 2016 et 2017</w:t>
        </w:r>
        <w:r w:rsidR="00384D30">
          <w:rPr>
            <w:noProof/>
            <w:webHidden/>
          </w:rPr>
          <w:tab/>
        </w:r>
        <w:r w:rsidR="00384D30">
          <w:rPr>
            <w:noProof/>
            <w:webHidden/>
          </w:rPr>
          <w:fldChar w:fldCharType="begin"/>
        </w:r>
        <w:r w:rsidR="00384D30">
          <w:rPr>
            <w:noProof/>
            <w:webHidden/>
          </w:rPr>
          <w:instrText xml:space="preserve"> PAGEREF _Toc495935944 \h </w:instrText>
        </w:r>
        <w:r w:rsidR="00384D30">
          <w:rPr>
            <w:noProof/>
            <w:webHidden/>
          </w:rPr>
        </w:r>
        <w:r w:rsidR="00384D30">
          <w:rPr>
            <w:noProof/>
            <w:webHidden/>
          </w:rPr>
          <w:fldChar w:fldCharType="separate"/>
        </w:r>
        <w:r w:rsidR="00384D30">
          <w:rPr>
            <w:noProof/>
            <w:webHidden/>
          </w:rPr>
          <w:t>23</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5" w:history="1">
        <w:r w:rsidR="00384D30" w:rsidRPr="008745B1">
          <w:rPr>
            <w:rStyle w:val="Lienhypertexte"/>
            <w:rFonts w:ascii="Segoe UI" w:hAnsi="Segoe UI" w:cs="Segoe UI"/>
            <w:noProof/>
          </w:rPr>
          <w:t>Tableau 9 : Présentation des soldes budgétaires d’exécution à fin juin 2017</w:t>
        </w:r>
        <w:r w:rsidR="00384D30">
          <w:rPr>
            <w:noProof/>
            <w:webHidden/>
          </w:rPr>
          <w:tab/>
        </w:r>
        <w:r w:rsidR="00384D30">
          <w:rPr>
            <w:noProof/>
            <w:webHidden/>
          </w:rPr>
          <w:fldChar w:fldCharType="begin"/>
        </w:r>
        <w:r w:rsidR="00384D30">
          <w:rPr>
            <w:noProof/>
            <w:webHidden/>
          </w:rPr>
          <w:instrText xml:space="preserve"> PAGEREF _Toc495935945 \h </w:instrText>
        </w:r>
        <w:r w:rsidR="00384D30">
          <w:rPr>
            <w:noProof/>
            <w:webHidden/>
          </w:rPr>
        </w:r>
        <w:r w:rsidR="00384D30">
          <w:rPr>
            <w:noProof/>
            <w:webHidden/>
          </w:rPr>
          <w:fldChar w:fldCharType="separate"/>
        </w:r>
        <w:r w:rsidR="00384D30">
          <w:rPr>
            <w:noProof/>
            <w:webHidden/>
          </w:rPr>
          <w:t>25</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6" w:history="1">
        <w:r w:rsidR="00384D30" w:rsidRPr="008745B1">
          <w:rPr>
            <w:rStyle w:val="Lienhypertexte"/>
            <w:rFonts w:ascii="Segoe UI" w:hAnsi="Segoe UI" w:cs="Segoe UI"/>
            <w:noProof/>
          </w:rPr>
          <w:t>Tableau  10 : Niveau de mobilisation des ressources de trésorerie par nature à fin juin 2017</w:t>
        </w:r>
        <w:r w:rsidR="00384D30">
          <w:rPr>
            <w:noProof/>
            <w:webHidden/>
          </w:rPr>
          <w:tab/>
        </w:r>
        <w:r w:rsidR="00384D30">
          <w:rPr>
            <w:noProof/>
            <w:webHidden/>
          </w:rPr>
          <w:fldChar w:fldCharType="begin"/>
        </w:r>
        <w:r w:rsidR="00384D30">
          <w:rPr>
            <w:noProof/>
            <w:webHidden/>
          </w:rPr>
          <w:instrText xml:space="preserve"> PAGEREF _Toc495935946 \h </w:instrText>
        </w:r>
        <w:r w:rsidR="00384D30">
          <w:rPr>
            <w:noProof/>
            <w:webHidden/>
          </w:rPr>
        </w:r>
        <w:r w:rsidR="00384D30">
          <w:rPr>
            <w:noProof/>
            <w:webHidden/>
          </w:rPr>
          <w:fldChar w:fldCharType="separate"/>
        </w:r>
        <w:r w:rsidR="00384D30">
          <w:rPr>
            <w:noProof/>
            <w:webHidden/>
          </w:rPr>
          <w:t>26</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7" w:history="1">
        <w:r w:rsidR="00384D30" w:rsidRPr="008745B1">
          <w:rPr>
            <w:rStyle w:val="Lienhypertexte"/>
            <w:rFonts w:ascii="Segoe UI" w:hAnsi="Segoe UI" w:cs="Segoe UI"/>
            <w:noProof/>
          </w:rPr>
          <w:t>En millions de FCFA</w:t>
        </w:r>
        <w:r w:rsidR="00384D30">
          <w:rPr>
            <w:noProof/>
            <w:webHidden/>
          </w:rPr>
          <w:tab/>
        </w:r>
        <w:r w:rsidR="00384D30">
          <w:rPr>
            <w:noProof/>
            <w:webHidden/>
          </w:rPr>
          <w:fldChar w:fldCharType="begin"/>
        </w:r>
        <w:r w:rsidR="00384D30">
          <w:rPr>
            <w:noProof/>
            <w:webHidden/>
          </w:rPr>
          <w:instrText xml:space="preserve"> PAGEREF _Toc495935947 \h </w:instrText>
        </w:r>
        <w:r w:rsidR="00384D30">
          <w:rPr>
            <w:noProof/>
            <w:webHidden/>
          </w:rPr>
        </w:r>
        <w:r w:rsidR="00384D30">
          <w:rPr>
            <w:noProof/>
            <w:webHidden/>
          </w:rPr>
          <w:fldChar w:fldCharType="separate"/>
        </w:r>
        <w:r w:rsidR="00384D30">
          <w:rPr>
            <w:noProof/>
            <w:webHidden/>
          </w:rPr>
          <w:t>26</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8" w:history="1">
        <w:r w:rsidR="00384D30" w:rsidRPr="008745B1">
          <w:rPr>
            <w:rStyle w:val="Lienhypertexte"/>
            <w:rFonts w:ascii="Segoe UI" w:hAnsi="Segoe UI" w:cs="Segoe UI"/>
            <w:noProof/>
          </w:rPr>
          <w:t>Tableau  11 : Niveau d’exécution des charges de trésorerie par nature à fin juin 2017</w:t>
        </w:r>
        <w:r w:rsidR="00384D30">
          <w:rPr>
            <w:noProof/>
            <w:webHidden/>
          </w:rPr>
          <w:tab/>
        </w:r>
        <w:r w:rsidR="00384D30">
          <w:rPr>
            <w:noProof/>
            <w:webHidden/>
          </w:rPr>
          <w:fldChar w:fldCharType="begin"/>
        </w:r>
        <w:r w:rsidR="00384D30">
          <w:rPr>
            <w:noProof/>
            <w:webHidden/>
          </w:rPr>
          <w:instrText xml:space="preserve"> PAGEREF _Toc495935948 \h </w:instrText>
        </w:r>
        <w:r w:rsidR="00384D30">
          <w:rPr>
            <w:noProof/>
            <w:webHidden/>
          </w:rPr>
        </w:r>
        <w:r w:rsidR="00384D30">
          <w:rPr>
            <w:noProof/>
            <w:webHidden/>
          </w:rPr>
          <w:fldChar w:fldCharType="separate"/>
        </w:r>
        <w:r w:rsidR="00384D30">
          <w:rPr>
            <w:noProof/>
            <w:webHidden/>
          </w:rPr>
          <w:t>27</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49" w:history="1">
        <w:r w:rsidR="00384D30" w:rsidRPr="008745B1">
          <w:rPr>
            <w:rStyle w:val="Lienhypertexte"/>
            <w:rFonts w:ascii="Segoe UI" w:hAnsi="Segoe UI" w:cs="Segoe UI"/>
            <w:noProof/>
          </w:rPr>
          <w:t>Tableau  12 : Tableau de financement d’exécution de la loi de finances pour la gestion 2017 à fin juin.</w:t>
        </w:r>
        <w:r w:rsidR="00384D30">
          <w:rPr>
            <w:noProof/>
            <w:webHidden/>
          </w:rPr>
          <w:tab/>
        </w:r>
        <w:r w:rsidR="00384D30">
          <w:rPr>
            <w:noProof/>
            <w:webHidden/>
          </w:rPr>
          <w:fldChar w:fldCharType="begin"/>
        </w:r>
        <w:r w:rsidR="00384D30">
          <w:rPr>
            <w:noProof/>
            <w:webHidden/>
          </w:rPr>
          <w:instrText xml:space="preserve"> PAGEREF _Toc495935949 \h </w:instrText>
        </w:r>
        <w:r w:rsidR="00384D30">
          <w:rPr>
            <w:noProof/>
            <w:webHidden/>
          </w:rPr>
        </w:r>
        <w:r w:rsidR="00384D30">
          <w:rPr>
            <w:noProof/>
            <w:webHidden/>
          </w:rPr>
          <w:fldChar w:fldCharType="separate"/>
        </w:r>
        <w:r w:rsidR="00384D30">
          <w:rPr>
            <w:noProof/>
            <w:webHidden/>
          </w:rPr>
          <w:t>28</w:t>
        </w:r>
        <w:r w:rsidR="00384D30">
          <w:rPr>
            <w:noProof/>
            <w:webHidden/>
          </w:rPr>
          <w:fldChar w:fldCharType="end"/>
        </w:r>
      </w:hyperlink>
    </w:p>
    <w:p w:rsidR="00384D30"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50" w:history="1">
        <w:r w:rsidR="00384D30" w:rsidRPr="008745B1">
          <w:rPr>
            <w:rStyle w:val="Lienhypertexte"/>
            <w:rFonts w:ascii="Segoe UI" w:hAnsi="Segoe UI" w:cs="Segoe UI"/>
            <w:noProof/>
          </w:rPr>
          <w:t>Tableau  13 : Liste des mouvements de crédits au titre de 1er semestre</w:t>
        </w:r>
        <w:r w:rsidR="00384D30">
          <w:rPr>
            <w:noProof/>
            <w:webHidden/>
          </w:rPr>
          <w:tab/>
        </w:r>
        <w:r w:rsidR="00384D30">
          <w:rPr>
            <w:noProof/>
            <w:webHidden/>
          </w:rPr>
          <w:fldChar w:fldCharType="begin"/>
        </w:r>
        <w:r w:rsidR="00384D30">
          <w:rPr>
            <w:noProof/>
            <w:webHidden/>
          </w:rPr>
          <w:instrText xml:space="preserve"> PAGEREF _Toc495935950 \h </w:instrText>
        </w:r>
        <w:r w:rsidR="00384D30">
          <w:rPr>
            <w:noProof/>
            <w:webHidden/>
          </w:rPr>
        </w:r>
        <w:r w:rsidR="00384D30">
          <w:rPr>
            <w:noProof/>
            <w:webHidden/>
          </w:rPr>
          <w:fldChar w:fldCharType="separate"/>
        </w:r>
        <w:r w:rsidR="00384D30">
          <w:rPr>
            <w:noProof/>
            <w:webHidden/>
          </w:rPr>
          <w:t>30</w:t>
        </w:r>
        <w:r w:rsidR="00384D30">
          <w:rPr>
            <w:noProof/>
            <w:webHidden/>
          </w:rPr>
          <w:fldChar w:fldCharType="end"/>
        </w:r>
      </w:hyperlink>
    </w:p>
    <w:p w:rsidR="0068414F" w:rsidRPr="00BB2BCE" w:rsidRDefault="00143CF5" w:rsidP="00C352DD">
      <w:pPr>
        <w:spacing w:line="360" w:lineRule="auto"/>
        <w:jc w:val="both"/>
        <w:rPr>
          <w:rFonts w:ascii="Segoe UI" w:hAnsi="Segoe UI" w:cs="Segoe UI"/>
          <w:b/>
          <w:sz w:val="24"/>
          <w:szCs w:val="24"/>
        </w:rPr>
      </w:pPr>
      <w:r w:rsidRPr="00BB2BCE">
        <w:rPr>
          <w:rFonts w:ascii="Segoe UI" w:hAnsi="Segoe UI" w:cs="Segoe UI"/>
          <w:b/>
          <w:i/>
        </w:rPr>
        <w:fldChar w:fldCharType="end"/>
      </w:r>
    </w:p>
    <w:p w:rsidR="00883080" w:rsidRPr="00BB2BCE" w:rsidRDefault="00883080" w:rsidP="00883080">
      <w:pPr>
        <w:pStyle w:val="Pieddepage"/>
        <w:tabs>
          <w:tab w:val="clear" w:pos="4536"/>
          <w:tab w:val="clear" w:pos="9072"/>
        </w:tabs>
        <w:rPr>
          <w:rFonts w:ascii="Segoe UI" w:hAnsi="Segoe UI" w:cs="Segoe UI"/>
          <w:b/>
          <w:sz w:val="24"/>
          <w:szCs w:val="24"/>
        </w:rPr>
      </w:pPr>
      <w:r w:rsidRPr="00BB2BCE">
        <w:rPr>
          <w:rFonts w:ascii="Segoe UI" w:hAnsi="Segoe UI" w:cs="Segoe UI"/>
          <w:b/>
          <w:sz w:val="24"/>
          <w:szCs w:val="24"/>
        </w:rPr>
        <w:t xml:space="preserve">LISTE DES </w:t>
      </w:r>
      <w:r w:rsidR="005A34F3" w:rsidRPr="00BB2BCE">
        <w:rPr>
          <w:rFonts w:ascii="Segoe UI" w:hAnsi="Segoe UI" w:cs="Segoe UI"/>
          <w:b/>
          <w:sz w:val="24"/>
          <w:szCs w:val="24"/>
        </w:rPr>
        <w:t>GRAPHIQUES</w:t>
      </w:r>
    </w:p>
    <w:p w:rsidR="005B5048" w:rsidRPr="00A77372" w:rsidRDefault="005B5048">
      <w:pPr>
        <w:rPr>
          <w:rFonts w:ascii="Segoe UI" w:hAnsi="Segoe UI" w:cs="Segoe UI"/>
          <w:b/>
          <w:sz w:val="8"/>
          <w:szCs w:val="28"/>
        </w:rPr>
      </w:pPr>
    </w:p>
    <w:p w:rsidR="00DF06A9" w:rsidRDefault="00A77372">
      <w:pPr>
        <w:pStyle w:val="Tabledesillustrations"/>
        <w:tabs>
          <w:tab w:val="right" w:leader="dot" w:pos="9062"/>
        </w:tabs>
        <w:rPr>
          <w:rFonts w:asciiTheme="minorHAnsi" w:eastAsiaTheme="minorEastAsia" w:hAnsiTheme="minorHAnsi" w:cstheme="minorBidi"/>
          <w:i w:val="0"/>
          <w:iCs w:val="0"/>
          <w:noProof/>
          <w:sz w:val="22"/>
          <w:szCs w:val="22"/>
        </w:rPr>
      </w:pPr>
      <w:r w:rsidRPr="00A30FD8">
        <w:rPr>
          <w:rFonts w:ascii="Segoe UI" w:hAnsi="Segoe UI" w:cs="Segoe UI"/>
          <w:i w:val="0"/>
          <w:highlight w:val="yellow"/>
        </w:rPr>
        <w:fldChar w:fldCharType="begin"/>
      </w:r>
      <w:r w:rsidRPr="00A30FD8">
        <w:rPr>
          <w:rFonts w:ascii="Segoe UI" w:hAnsi="Segoe UI" w:cs="Segoe UI"/>
          <w:i w:val="0"/>
          <w:highlight w:val="yellow"/>
        </w:rPr>
        <w:instrText xml:space="preserve"> TOC \f F \h \z \t "Graphique" \c </w:instrText>
      </w:r>
      <w:r w:rsidRPr="00A30FD8">
        <w:rPr>
          <w:rFonts w:ascii="Segoe UI" w:hAnsi="Segoe UI" w:cs="Segoe UI"/>
          <w:i w:val="0"/>
          <w:highlight w:val="yellow"/>
        </w:rPr>
        <w:fldChar w:fldCharType="separate"/>
      </w:r>
      <w:hyperlink w:anchor="_Toc495935951" w:history="1">
        <w:r w:rsidR="00DF06A9" w:rsidRPr="00C90886">
          <w:rPr>
            <w:rStyle w:val="Lienhypertexte"/>
            <w:noProof/>
          </w:rPr>
          <w:t>Graphique n° 1 : Evolution de l’emploi dans les grandes entreprises</w:t>
        </w:r>
        <w:r w:rsidR="00DF06A9">
          <w:rPr>
            <w:noProof/>
            <w:webHidden/>
          </w:rPr>
          <w:tab/>
        </w:r>
        <w:r w:rsidR="00DF06A9">
          <w:rPr>
            <w:noProof/>
            <w:webHidden/>
          </w:rPr>
          <w:fldChar w:fldCharType="begin"/>
        </w:r>
        <w:r w:rsidR="00DF06A9">
          <w:rPr>
            <w:noProof/>
            <w:webHidden/>
          </w:rPr>
          <w:instrText xml:space="preserve"> PAGEREF _Toc495935951 \h </w:instrText>
        </w:r>
        <w:r w:rsidR="00DF06A9">
          <w:rPr>
            <w:noProof/>
            <w:webHidden/>
          </w:rPr>
        </w:r>
        <w:r w:rsidR="00DF06A9">
          <w:rPr>
            <w:noProof/>
            <w:webHidden/>
          </w:rPr>
          <w:fldChar w:fldCharType="separate"/>
        </w:r>
        <w:r w:rsidR="00DF06A9">
          <w:rPr>
            <w:noProof/>
            <w:webHidden/>
          </w:rPr>
          <w:t>9</w:t>
        </w:r>
        <w:r w:rsidR="00DF06A9">
          <w:rPr>
            <w:noProof/>
            <w:webHidden/>
          </w:rPr>
          <w:fldChar w:fldCharType="end"/>
        </w:r>
      </w:hyperlink>
    </w:p>
    <w:p w:rsidR="00DF06A9"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52" w:history="1">
        <w:r w:rsidR="00DF06A9" w:rsidRPr="00C90886">
          <w:rPr>
            <w:rStyle w:val="Lienhypertexte"/>
            <w:noProof/>
          </w:rPr>
          <w:t>Graphique n°2 : Evolution de l’inflation</w:t>
        </w:r>
        <w:r w:rsidR="00DF06A9">
          <w:rPr>
            <w:noProof/>
            <w:webHidden/>
          </w:rPr>
          <w:tab/>
        </w:r>
        <w:r w:rsidR="00DF06A9">
          <w:rPr>
            <w:noProof/>
            <w:webHidden/>
          </w:rPr>
          <w:fldChar w:fldCharType="begin"/>
        </w:r>
        <w:r w:rsidR="00DF06A9">
          <w:rPr>
            <w:noProof/>
            <w:webHidden/>
          </w:rPr>
          <w:instrText xml:space="preserve"> PAGEREF _Toc495935952 \h </w:instrText>
        </w:r>
        <w:r w:rsidR="00DF06A9">
          <w:rPr>
            <w:noProof/>
            <w:webHidden/>
          </w:rPr>
        </w:r>
        <w:r w:rsidR="00DF06A9">
          <w:rPr>
            <w:noProof/>
            <w:webHidden/>
          </w:rPr>
          <w:fldChar w:fldCharType="separate"/>
        </w:r>
        <w:r w:rsidR="00DF06A9">
          <w:rPr>
            <w:noProof/>
            <w:webHidden/>
          </w:rPr>
          <w:t>10</w:t>
        </w:r>
        <w:r w:rsidR="00DF06A9">
          <w:rPr>
            <w:noProof/>
            <w:webHidden/>
          </w:rPr>
          <w:fldChar w:fldCharType="end"/>
        </w:r>
      </w:hyperlink>
    </w:p>
    <w:p w:rsidR="00DF06A9"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53" w:history="1">
        <w:r w:rsidR="00DF06A9" w:rsidRPr="00C90886">
          <w:rPr>
            <w:rStyle w:val="Lienhypertexte"/>
            <w:noProof/>
          </w:rPr>
          <w:t>Graphique n° 3 : Evolution des réalisations brutes par régie à fin juin 2016 et 2017, en millions de FCFA</w:t>
        </w:r>
        <w:r w:rsidR="00DF06A9">
          <w:rPr>
            <w:noProof/>
            <w:webHidden/>
          </w:rPr>
          <w:tab/>
        </w:r>
        <w:r w:rsidR="00DF06A9">
          <w:rPr>
            <w:noProof/>
            <w:webHidden/>
          </w:rPr>
          <w:fldChar w:fldCharType="begin"/>
        </w:r>
        <w:r w:rsidR="00DF06A9">
          <w:rPr>
            <w:noProof/>
            <w:webHidden/>
          </w:rPr>
          <w:instrText xml:space="preserve"> PAGEREF _Toc495935953 \h </w:instrText>
        </w:r>
        <w:r w:rsidR="00DF06A9">
          <w:rPr>
            <w:noProof/>
            <w:webHidden/>
          </w:rPr>
        </w:r>
        <w:r w:rsidR="00DF06A9">
          <w:rPr>
            <w:noProof/>
            <w:webHidden/>
          </w:rPr>
          <w:fldChar w:fldCharType="separate"/>
        </w:r>
        <w:r w:rsidR="00DF06A9">
          <w:rPr>
            <w:noProof/>
            <w:webHidden/>
          </w:rPr>
          <w:t>14</w:t>
        </w:r>
        <w:r w:rsidR="00DF06A9">
          <w:rPr>
            <w:noProof/>
            <w:webHidden/>
          </w:rPr>
          <w:fldChar w:fldCharType="end"/>
        </w:r>
      </w:hyperlink>
    </w:p>
    <w:p w:rsidR="00DF06A9" w:rsidRDefault="00F8272D">
      <w:pPr>
        <w:pStyle w:val="Tabledesillustrations"/>
        <w:tabs>
          <w:tab w:val="right" w:leader="dot" w:pos="9062"/>
        </w:tabs>
        <w:rPr>
          <w:rFonts w:asciiTheme="minorHAnsi" w:eastAsiaTheme="minorEastAsia" w:hAnsiTheme="minorHAnsi" w:cstheme="minorBidi"/>
          <w:i w:val="0"/>
          <w:iCs w:val="0"/>
          <w:noProof/>
          <w:sz w:val="22"/>
          <w:szCs w:val="22"/>
        </w:rPr>
      </w:pPr>
      <w:hyperlink w:anchor="_Toc495935954" w:history="1">
        <w:r w:rsidR="00DF06A9" w:rsidRPr="00C90886">
          <w:rPr>
            <w:rStyle w:val="Lienhypertexte"/>
            <w:noProof/>
          </w:rPr>
          <w:t>Graphique n° 4 : Evolution des dépenses par grande masse à fin juin 2016 et 2017</w:t>
        </w:r>
        <w:r w:rsidR="00DF06A9">
          <w:rPr>
            <w:noProof/>
            <w:webHidden/>
          </w:rPr>
          <w:tab/>
        </w:r>
        <w:r w:rsidR="00DF06A9">
          <w:rPr>
            <w:noProof/>
            <w:webHidden/>
          </w:rPr>
          <w:fldChar w:fldCharType="begin"/>
        </w:r>
        <w:r w:rsidR="00DF06A9">
          <w:rPr>
            <w:noProof/>
            <w:webHidden/>
          </w:rPr>
          <w:instrText xml:space="preserve"> PAGEREF _Toc495935954 \h </w:instrText>
        </w:r>
        <w:r w:rsidR="00DF06A9">
          <w:rPr>
            <w:noProof/>
            <w:webHidden/>
          </w:rPr>
        </w:r>
        <w:r w:rsidR="00DF06A9">
          <w:rPr>
            <w:noProof/>
            <w:webHidden/>
          </w:rPr>
          <w:fldChar w:fldCharType="separate"/>
        </w:r>
        <w:r w:rsidR="00DF06A9">
          <w:rPr>
            <w:noProof/>
            <w:webHidden/>
          </w:rPr>
          <w:t>24</w:t>
        </w:r>
        <w:r w:rsidR="00DF06A9">
          <w:rPr>
            <w:noProof/>
            <w:webHidden/>
          </w:rPr>
          <w:fldChar w:fldCharType="end"/>
        </w:r>
      </w:hyperlink>
    </w:p>
    <w:p w:rsidR="00B75AF3" w:rsidRPr="00A77372" w:rsidRDefault="00A77372" w:rsidP="00A77372">
      <w:pPr>
        <w:spacing w:after="0" w:line="240" w:lineRule="auto"/>
        <w:jc w:val="both"/>
        <w:rPr>
          <w:rFonts w:ascii="Segoe UI" w:hAnsi="Segoe UI" w:cs="Segoe UI"/>
          <w:i/>
          <w:sz w:val="20"/>
          <w:szCs w:val="20"/>
          <w:highlight w:val="yellow"/>
        </w:rPr>
      </w:pPr>
      <w:r w:rsidRPr="00A30FD8">
        <w:rPr>
          <w:rFonts w:ascii="Segoe UI" w:hAnsi="Segoe UI" w:cs="Segoe UI"/>
          <w:i/>
          <w:sz w:val="20"/>
          <w:szCs w:val="20"/>
          <w:highlight w:val="yellow"/>
        </w:rPr>
        <w:fldChar w:fldCharType="end"/>
      </w:r>
    </w:p>
    <w:p w:rsidR="005B5048" w:rsidRPr="00BB2BCE" w:rsidRDefault="005B5048">
      <w:pPr>
        <w:rPr>
          <w:rFonts w:ascii="Segoe UI" w:hAnsi="Segoe UI" w:cs="Segoe UI"/>
          <w:b/>
          <w:sz w:val="28"/>
          <w:szCs w:val="28"/>
        </w:rPr>
      </w:pPr>
      <w:r w:rsidRPr="00BB2BCE">
        <w:rPr>
          <w:rFonts w:ascii="Segoe UI" w:hAnsi="Segoe UI" w:cs="Segoe UI"/>
          <w:b/>
          <w:sz w:val="28"/>
          <w:szCs w:val="28"/>
        </w:rPr>
        <w:br w:type="page"/>
      </w:r>
    </w:p>
    <w:p w:rsidR="00F374E5" w:rsidRPr="006D6DA7" w:rsidRDefault="004162ED" w:rsidP="00E162A6">
      <w:pPr>
        <w:pStyle w:val="Titre1"/>
        <w:spacing w:before="0"/>
        <w:rPr>
          <w:rFonts w:ascii="Segoe UI" w:hAnsi="Segoe UI" w:cs="Segoe UI"/>
          <w:color w:val="000000"/>
        </w:rPr>
      </w:pPr>
      <w:bookmarkStart w:id="1" w:name="_Toc496024994"/>
      <w:r w:rsidRPr="006D6DA7">
        <w:rPr>
          <w:rFonts w:ascii="Segoe UI" w:hAnsi="Segoe UI" w:cs="Segoe UI"/>
          <w:color w:val="000000"/>
        </w:rPr>
        <w:lastRenderedPageBreak/>
        <w:t>RESUME EXECUTIF</w:t>
      </w:r>
      <w:bookmarkEnd w:id="1"/>
    </w:p>
    <w:p w:rsidR="00A93357" w:rsidRPr="006D6DA7" w:rsidRDefault="0006221B" w:rsidP="00A93357">
      <w:pPr>
        <w:spacing w:after="0"/>
        <w:jc w:val="both"/>
        <w:rPr>
          <w:rFonts w:ascii="Segoe UI" w:hAnsi="Segoe UI" w:cs="Segoe UI"/>
          <w:color w:val="000000"/>
          <w:sz w:val="24"/>
          <w:szCs w:val="24"/>
        </w:rPr>
      </w:pPr>
      <w:r>
        <w:rPr>
          <w:rFonts w:ascii="Segoe UI" w:hAnsi="Segoe UI" w:cs="Segoe UI"/>
          <w:color w:val="000000"/>
          <w:sz w:val="24"/>
          <w:szCs w:val="24"/>
        </w:rPr>
        <w:t>L’exécution de la l</w:t>
      </w:r>
      <w:r w:rsidR="00F32828">
        <w:rPr>
          <w:rFonts w:ascii="Segoe UI" w:hAnsi="Segoe UI" w:cs="Segoe UI"/>
          <w:color w:val="000000"/>
          <w:sz w:val="24"/>
          <w:szCs w:val="24"/>
        </w:rPr>
        <w:t xml:space="preserve">oi de finances n°2016-33 du 26 décembre 2016 </w:t>
      </w:r>
      <w:r w:rsidR="00183501" w:rsidRPr="006D6DA7">
        <w:rPr>
          <w:rFonts w:ascii="Segoe UI" w:hAnsi="Segoe UI" w:cs="Segoe UI"/>
          <w:color w:val="000000"/>
          <w:sz w:val="24"/>
          <w:szCs w:val="24"/>
        </w:rPr>
        <w:t>au</w:t>
      </w:r>
      <w:r w:rsidR="00274B55" w:rsidRPr="006D6DA7">
        <w:rPr>
          <w:rFonts w:ascii="Segoe UI" w:hAnsi="Segoe UI" w:cs="Segoe UI"/>
          <w:color w:val="000000"/>
          <w:sz w:val="24"/>
          <w:szCs w:val="24"/>
        </w:rPr>
        <w:t xml:space="preserve"> premier semestre 2017</w:t>
      </w:r>
      <w:r w:rsidR="00F32828">
        <w:rPr>
          <w:rFonts w:ascii="Segoe UI" w:hAnsi="Segoe UI" w:cs="Segoe UI"/>
          <w:color w:val="000000"/>
          <w:sz w:val="24"/>
          <w:szCs w:val="24"/>
        </w:rPr>
        <w:t xml:space="preserve"> est marqué par divers facteurs et autres aléas de gestion. </w:t>
      </w:r>
      <w:r w:rsidR="00183501" w:rsidRPr="006D6DA7">
        <w:rPr>
          <w:rFonts w:ascii="Segoe UI" w:hAnsi="Segoe UI" w:cs="Segoe UI"/>
          <w:color w:val="000000"/>
          <w:sz w:val="24"/>
          <w:szCs w:val="24"/>
        </w:rPr>
        <w:t>Outre les travaux de mise en cohérence des Plans de Travail Annuel des ministères avec le Programme d’Actions du Gouvernement, certains aléas de gestion ont été enregistrés, avec des effets plus ou moins impor</w:t>
      </w:r>
      <w:r w:rsidR="00F11508" w:rsidRPr="006D6DA7">
        <w:rPr>
          <w:rFonts w:ascii="Segoe UI" w:hAnsi="Segoe UI" w:cs="Segoe UI"/>
          <w:color w:val="000000"/>
          <w:sz w:val="24"/>
          <w:szCs w:val="24"/>
        </w:rPr>
        <w:t>t</w:t>
      </w:r>
      <w:r w:rsidR="00183501" w:rsidRPr="006D6DA7">
        <w:rPr>
          <w:rFonts w:ascii="Segoe UI" w:hAnsi="Segoe UI" w:cs="Segoe UI"/>
          <w:color w:val="000000"/>
          <w:sz w:val="24"/>
          <w:szCs w:val="24"/>
        </w:rPr>
        <w:t xml:space="preserve">ants </w:t>
      </w:r>
      <w:r w:rsidR="00F11508" w:rsidRPr="006D6DA7">
        <w:rPr>
          <w:rFonts w:ascii="Segoe UI" w:hAnsi="Segoe UI" w:cs="Segoe UI"/>
          <w:color w:val="000000"/>
          <w:sz w:val="24"/>
          <w:szCs w:val="24"/>
        </w:rPr>
        <w:t>sur l’exécution budgétaire.</w:t>
      </w:r>
      <w:r w:rsidR="00A106DA" w:rsidRPr="006D6DA7">
        <w:rPr>
          <w:rFonts w:ascii="Segoe UI" w:hAnsi="Segoe UI" w:cs="Segoe UI"/>
          <w:color w:val="000000"/>
          <w:sz w:val="24"/>
          <w:szCs w:val="24"/>
        </w:rPr>
        <w:t xml:space="preserve"> </w:t>
      </w:r>
    </w:p>
    <w:p w:rsidR="00A93357" w:rsidRPr="006D6DA7" w:rsidRDefault="00A93357" w:rsidP="008A2E39">
      <w:pPr>
        <w:jc w:val="both"/>
        <w:rPr>
          <w:rFonts w:ascii="Segoe UI" w:hAnsi="Segoe UI" w:cs="Segoe UI"/>
          <w:color w:val="000000"/>
          <w:sz w:val="2"/>
          <w:szCs w:val="24"/>
        </w:rPr>
      </w:pPr>
    </w:p>
    <w:p w:rsidR="000243F1" w:rsidRPr="00434FBB" w:rsidRDefault="00A106DA" w:rsidP="008A2E39">
      <w:pPr>
        <w:jc w:val="both"/>
        <w:rPr>
          <w:rFonts w:ascii="Segoe UI" w:hAnsi="Segoe UI" w:cs="Segoe UI"/>
          <w:color w:val="000000"/>
          <w:sz w:val="24"/>
          <w:szCs w:val="24"/>
        </w:rPr>
      </w:pPr>
      <w:r w:rsidRPr="006D6DA7">
        <w:rPr>
          <w:rFonts w:ascii="Segoe UI" w:hAnsi="Segoe UI" w:cs="Segoe UI"/>
          <w:color w:val="000000"/>
          <w:sz w:val="24"/>
          <w:szCs w:val="24"/>
        </w:rPr>
        <w:t>L</w:t>
      </w:r>
      <w:r w:rsidR="00274B55" w:rsidRPr="006D6DA7">
        <w:rPr>
          <w:rFonts w:ascii="Segoe UI" w:hAnsi="Segoe UI" w:cs="Segoe UI"/>
          <w:color w:val="000000"/>
          <w:sz w:val="24"/>
          <w:szCs w:val="24"/>
        </w:rPr>
        <w:t xml:space="preserve">es principaux résultats </w:t>
      </w:r>
      <w:r w:rsidR="00A93357" w:rsidRPr="006D6DA7">
        <w:rPr>
          <w:rFonts w:ascii="Segoe UI" w:hAnsi="Segoe UI" w:cs="Segoe UI"/>
          <w:color w:val="000000"/>
          <w:sz w:val="24"/>
          <w:szCs w:val="24"/>
        </w:rPr>
        <w:t>issus</w:t>
      </w:r>
      <w:r w:rsidR="00274B55" w:rsidRPr="006D6DA7">
        <w:rPr>
          <w:rFonts w:ascii="Segoe UI" w:hAnsi="Segoe UI" w:cs="Segoe UI"/>
          <w:color w:val="000000"/>
          <w:sz w:val="24"/>
          <w:szCs w:val="24"/>
        </w:rPr>
        <w:t xml:space="preserve"> de l</w:t>
      </w:r>
      <w:r w:rsidR="000641C5" w:rsidRPr="006D6DA7">
        <w:rPr>
          <w:rFonts w:ascii="Segoe UI" w:hAnsi="Segoe UI" w:cs="Segoe UI"/>
          <w:color w:val="000000"/>
          <w:sz w:val="24"/>
          <w:szCs w:val="24"/>
        </w:rPr>
        <w:t xml:space="preserve">’exécution </w:t>
      </w:r>
      <w:r w:rsidR="00A93357" w:rsidRPr="006D6DA7">
        <w:rPr>
          <w:rFonts w:ascii="Segoe UI" w:hAnsi="Segoe UI" w:cs="Segoe UI"/>
          <w:color w:val="000000"/>
          <w:sz w:val="24"/>
          <w:szCs w:val="24"/>
        </w:rPr>
        <w:t xml:space="preserve">à fin juin 2017 de la loi de finances pour la </w:t>
      </w:r>
      <w:r w:rsidR="00A93357" w:rsidRPr="00434FBB">
        <w:rPr>
          <w:rFonts w:ascii="Segoe UI" w:hAnsi="Segoe UI" w:cs="Segoe UI"/>
          <w:color w:val="000000"/>
          <w:sz w:val="24"/>
          <w:szCs w:val="24"/>
        </w:rPr>
        <w:t>gestion 2017 se résument</w:t>
      </w:r>
      <w:r w:rsidR="00274B55" w:rsidRPr="00434FBB">
        <w:rPr>
          <w:rFonts w:ascii="Segoe UI" w:hAnsi="Segoe UI" w:cs="Segoe UI"/>
          <w:color w:val="000000"/>
          <w:sz w:val="24"/>
          <w:szCs w:val="24"/>
        </w:rPr>
        <w:t xml:space="preserve"> comme ci-après</w:t>
      </w:r>
      <w:r w:rsidR="00CD1311" w:rsidRPr="00434FBB">
        <w:rPr>
          <w:rFonts w:ascii="Segoe UI" w:hAnsi="Segoe UI" w:cs="Segoe UI"/>
          <w:color w:val="000000"/>
          <w:sz w:val="24"/>
          <w:szCs w:val="24"/>
        </w:rPr>
        <w:t> :</w:t>
      </w:r>
    </w:p>
    <w:p w:rsidR="00273B54" w:rsidRPr="00434FBB" w:rsidRDefault="00F8272D" w:rsidP="000243F1">
      <w:pPr>
        <w:pStyle w:val="Paragraphedeliste"/>
        <w:numPr>
          <w:ilvl w:val="0"/>
          <w:numId w:val="23"/>
        </w:numPr>
        <w:jc w:val="both"/>
        <w:rPr>
          <w:rFonts w:ascii="Segoe UI" w:hAnsi="Segoe UI" w:cs="Segoe UI"/>
          <w:b/>
          <w:sz w:val="24"/>
          <w:szCs w:val="24"/>
        </w:rPr>
      </w:pPr>
      <w:r w:rsidRPr="00434FBB">
        <w:rPr>
          <w:rFonts w:ascii="Segoe UI" w:hAnsi="Segoe UI" w:cs="Segoe UI"/>
          <w:b/>
          <w:sz w:val="24"/>
          <w:szCs w:val="24"/>
        </w:rPr>
        <w:t>L</w:t>
      </w:r>
      <w:r w:rsidR="009D26CF" w:rsidRPr="00434FBB">
        <w:rPr>
          <w:rFonts w:ascii="Segoe UI" w:hAnsi="Segoe UI" w:cs="Segoe UI"/>
          <w:b/>
          <w:sz w:val="24"/>
          <w:szCs w:val="24"/>
        </w:rPr>
        <w:t>e</w:t>
      </w:r>
      <w:r w:rsidRPr="00434FBB">
        <w:rPr>
          <w:rFonts w:ascii="Segoe UI" w:hAnsi="Segoe UI" w:cs="Segoe UI"/>
          <w:b/>
          <w:sz w:val="24"/>
          <w:szCs w:val="24"/>
        </w:rPr>
        <w:t xml:space="preserve"> budget de l’Etat</w:t>
      </w:r>
    </w:p>
    <w:p w:rsidR="00F8272D" w:rsidRPr="00434FBB" w:rsidRDefault="00F8272D" w:rsidP="00F8272D">
      <w:pPr>
        <w:ind w:firstLine="360"/>
        <w:jc w:val="both"/>
        <w:rPr>
          <w:rFonts w:ascii="Segoe UI" w:hAnsi="Segoe UI" w:cs="Segoe UI"/>
          <w:sz w:val="24"/>
          <w:szCs w:val="24"/>
        </w:rPr>
      </w:pPr>
      <w:r w:rsidRPr="00434FBB">
        <w:rPr>
          <w:rFonts w:ascii="Segoe UI" w:hAnsi="Segoe UI" w:cs="Segoe UI"/>
          <w:sz w:val="24"/>
          <w:szCs w:val="24"/>
        </w:rPr>
        <w:t xml:space="preserve">Les produits de recettes de l’Etat enregistrés s’établissent à </w:t>
      </w:r>
      <w:r w:rsidRPr="00434FBB">
        <w:rPr>
          <w:rFonts w:ascii="Segoe UI" w:hAnsi="Segoe UI" w:cs="Segoe UI"/>
          <w:b/>
          <w:sz w:val="24"/>
          <w:szCs w:val="24"/>
        </w:rPr>
        <w:t>468 250,4 millions de FCFA</w:t>
      </w:r>
      <w:r w:rsidRPr="00434FBB">
        <w:rPr>
          <w:rFonts w:ascii="Segoe UI" w:hAnsi="Segoe UI" w:cs="Segoe UI"/>
          <w:sz w:val="24"/>
          <w:szCs w:val="24"/>
        </w:rPr>
        <w:t xml:space="preserve"> sur une prévision annuelle de </w:t>
      </w:r>
      <w:r w:rsidRPr="00434FBB">
        <w:rPr>
          <w:rFonts w:ascii="Segoe UI" w:hAnsi="Segoe UI" w:cs="Segoe UI"/>
          <w:b/>
          <w:sz w:val="24"/>
          <w:szCs w:val="24"/>
        </w:rPr>
        <w:t>1 007 724 millions de FCFA</w:t>
      </w:r>
      <w:r w:rsidRPr="00434FBB">
        <w:rPr>
          <w:rFonts w:ascii="Segoe UI" w:hAnsi="Segoe UI" w:cs="Segoe UI"/>
          <w:sz w:val="24"/>
          <w:szCs w:val="24"/>
        </w:rPr>
        <w:t xml:space="preserve">, soit un taux de recouvrement de </w:t>
      </w:r>
      <w:r w:rsidRPr="00434FBB">
        <w:rPr>
          <w:rFonts w:ascii="Segoe UI" w:hAnsi="Segoe UI" w:cs="Segoe UI"/>
          <w:b/>
          <w:sz w:val="24"/>
          <w:szCs w:val="24"/>
        </w:rPr>
        <w:t>46,5%</w:t>
      </w:r>
      <w:r w:rsidRPr="00434FBB">
        <w:rPr>
          <w:rFonts w:ascii="Segoe UI" w:hAnsi="Segoe UI" w:cs="Segoe UI"/>
          <w:sz w:val="24"/>
          <w:szCs w:val="24"/>
        </w:rPr>
        <w:t xml:space="preserve">, en hausse de 56 242,4 millions de FCFA par rapport à fin juin 2016. </w:t>
      </w:r>
    </w:p>
    <w:p w:rsidR="00F8272D" w:rsidRPr="00434FBB" w:rsidRDefault="00F8272D" w:rsidP="00F8272D">
      <w:pPr>
        <w:ind w:firstLine="360"/>
        <w:jc w:val="both"/>
        <w:rPr>
          <w:rFonts w:ascii="Segoe UI" w:hAnsi="Segoe UI" w:cs="Segoe UI"/>
          <w:sz w:val="24"/>
          <w:szCs w:val="24"/>
        </w:rPr>
      </w:pPr>
      <w:r w:rsidRPr="00434FBB">
        <w:rPr>
          <w:rFonts w:ascii="Segoe UI" w:hAnsi="Segoe UI" w:cs="Segoe UI"/>
          <w:sz w:val="24"/>
          <w:szCs w:val="24"/>
        </w:rPr>
        <w:t xml:space="preserve">Les dépenses budgétaires, à fin juin 2017, atteignent en engagement </w:t>
      </w:r>
      <w:r w:rsidRPr="00434FBB">
        <w:rPr>
          <w:rFonts w:ascii="Segoe UI" w:hAnsi="Segoe UI" w:cs="Segoe UI"/>
          <w:b/>
          <w:sz w:val="24"/>
          <w:szCs w:val="24"/>
        </w:rPr>
        <w:t xml:space="preserve">635 930,7 millions de FCFA, </w:t>
      </w:r>
      <w:r w:rsidRPr="00434FBB">
        <w:rPr>
          <w:rFonts w:ascii="Segoe UI" w:hAnsi="Segoe UI" w:cs="Segoe UI"/>
          <w:sz w:val="24"/>
          <w:szCs w:val="24"/>
        </w:rPr>
        <w:t>correspondant à</w:t>
      </w:r>
      <w:r w:rsidRPr="00434FBB">
        <w:rPr>
          <w:rFonts w:ascii="Segoe UI" w:hAnsi="Segoe UI" w:cs="Segoe UI"/>
          <w:b/>
          <w:sz w:val="24"/>
          <w:szCs w:val="24"/>
        </w:rPr>
        <w:t xml:space="preserve"> 37,5%</w:t>
      </w:r>
      <w:r w:rsidRPr="00434FBB">
        <w:rPr>
          <w:rFonts w:ascii="Segoe UI" w:hAnsi="Segoe UI" w:cs="Segoe UI"/>
          <w:sz w:val="24"/>
          <w:szCs w:val="24"/>
        </w:rPr>
        <w:t xml:space="preserve"> des</w:t>
      </w:r>
      <w:r w:rsidRPr="00434FBB">
        <w:rPr>
          <w:rFonts w:ascii="Segoe UI" w:hAnsi="Segoe UI" w:cs="Segoe UI"/>
          <w:b/>
          <w:sz w:val="24"/>
          <w:szCs w:val="24"/>
        </w:rPr>
        <w:t xml:space="preserve"> </w:t>
      </w:r>
      <w:r w:rsidRPr="00434FBB">
        <w:rPr>
          <w:rFonts w:ascii="Segoe UI" w:hAnsi="Segoe UI" w:cs="Segoe UI"/>
          <w:sz w:val="24"/>
          <w:szCs w:val="24"/>
        </w:rPr>
        <w:t xml:space="preserve">prévisions annuelles. Elles laissent apparaître une augmentation de </w:t>
      </w:r>
      <w:r w:rsidRPr="00434FBB">
        <w:rPr>
          <w:rFonts w:ascii="Segoe UI" w:hAnsi="Segoe UI" w:cs="Segoe UI"/>
          <w:b/>
          <w:sz w:val="24"/>
          <w:szCs w:val="24"/>
        </w:rPr>
        <w:t xml:space="preserve">30 354,0 </w:t>
      </w:r>
      <w:r w:rsidRPr="00434FBB">
        <w:rPr>
          <w:rFonts w:ascii="Segoe UI" w:hAnsi="Segoe UI" w:cs="Segoe UI"/>
          <w:sz w:val="24"/>
          <w:szCs w:val="24"/>
        </w:rPr>
        <w:t>millions de FCFA par rapport à la même période en 2016.</w:t>
      </w:r>
    </w:p>
    <w:p w:rsidR="00F8272D" w:rsidRPr="00434FBB" w:rsidRDefault="00F8272D" w:rsidP="00F8272D">
      <w:pPr>
        <w:ind w:firstLine="360"/>
        <w:jc w:val="both"/>
        <w:rPr>
          <w:rFonts w:ascii="Segoe UI" w:hAnsi="Segoe UI" w:cs="Segoe UI"/>
          <w:sz w:val="24"/>
          <w:szCs w:val="24"/>
        </w:rPr>
      </w:pPr>
      <w:r w:rsidRPr="00434FBB">
        <w:rPr>
          <w:rFonts w:ascii="Segoe UI" w:hAnsi="Segoe UI" w:cs="Segoe UI"/>
          <w:sz w:val="24"/>
          <w:szCs w:val="24"/>
        </w:rPr>
        <w:t>L’exécution budgétaire au premier semestre, au-delà des aléas de gestion enregistrés, reflète globalement la programmation de consommation des crédits inscrite en loi de finances initiale.</w:t>
      </w:r>
    </w:p>
    <w:p w:rsidR="0006221B" w:rsidRPr="00434FBB" w:rsidRDefault="0006221B" w:rsidP="0006221B">
      <w:pPr>
        <w:pStyle w:val="Paragraphedeliste"/>
        <w:numPr>
          <w:ilvl w:val="0"/>
          <w:numId w:val="23"/>
        </w:numPr>
        <w:jc w:val="both"/>
        <w:rPr>
          <w:rFonts w:ascii="Segoe UI" w:hAnsi="Segoe UI" w:cs="Segoe UI"/>
          <w:b/>
          <w:sz w:val="24"/>
          <w:szCs w:val="24"/>
        </w:rPr>
      </w:pPr>
      <w:r w:rsidRPr="00434FBB">
        <w:rPr>
          <w:rFonts w:ascii="Segoe UI" w:hAnsi="Segoe UI" w:cs="Segoe UI"/>
          <w:b/>
          <w:sz w:val="24"/>
          <w:szCs w:val="24"/>
        </w:rPr>
        <w:t>Opérations de trésorerie</w:t>
      </w:r>
    </w:p>
    <w:p w:rsidR="00F44F0A" w:rsidRPr="00434FBB" w:rsidRDefault="0006221B" w:rsidP="0006221B">
      <w:pPr>
        <w:jc w:val="both"/>
        <w:rPr>
          <w:rFonts w:ascii="Segoe UI" w:hAnsi="Segoe UI" w:cs="Segoe UI"/>
          <w:b/>
          <w:sz w:val="24"/>
          <w:szCs w:val="24"/>
        </w:rPr>
      </w:pPr>
      <w:r w:rsidRPr="00434FBB">
        <w:rPr>
          <w:rFonts w:ascii="Segoe UI" w:hAnsi="Segoe UI" w:cs="Segoe UI"/>
          <w:sz w:val="24"/>
          <w:szCs w:val="24"/>
        </w:rPr>
        <w:t>L</w:t>
      </w:r>
      <w:r w:rsidR="00844C9E" w:rsidRPr="00434FBB">
        <w:rPr>
          <w:rFonts w:ascii="Segoe UI" w:hAnsi="Segoe UI" w:cs="Segoe UI"/>
          <w:sz w:val="24"/>
          <w:szCs w:val="24"/>
        </w:rPr>
        <w:t xml:space="preserve">es ressources </w:t>
      </w:r>
      <w:r w:rsidR="00F44F0A" w:rsidRPr="00434FBB">
        <w:rPr>
          <w:rFonts w:ascii="Segoe UI" w:hAnsi="Segoe UI" w:cs="Segoe UI"/>
          <w:sz w:val="24"/>
          <w:szCs w:val="24"/>
        </w:rPr>
        <w:t>de trésorerie ont été mobilisées à hauteur de</w:t>
      </w:r>
      <w:r w:rsidR="00F44F0A" w:rsidRPr="00434FBB">
        <w:rPr>
          <w:rFonts w:ascii="Segoe UI" w:hAnsi="Segoe UI" w:cs="Segoe UI"/>
          <w:b/>
          <w:sz w:val="24"/>
          <w:szCs w:val="24"/>
        </w:rPr>
        <w:t xml:space="preserve"> </w:t>
      </w:r>
      <w:r w:rsidR="00AE4E4C" w:rsidRPr="00434FBB">
        <w:rPr>
          <w:rFonts w:ascii="Segoe UI" w:hAnsi="Segoe UI" w:cs="Segoe UI"/>
          <w:b/>
          <w:sz w:val="24"/>
          <w:szCs w:val="24"/>
        </w:rPr>
        <w:t>449 537,4</w:t>
      </w:r>
      <w:r w:rsidR="00F44F0A" w:rsidRPr="00434FBB">
        <w:rPr>
          <w:rFonts w:ascii="Segoe UI" w:hAnsi="Segoe UI" w:cs="Segoe UI"/>
          <w:b/>
          <w:sz w:val="24"/>
          <w:szCs w:val="24"/>
        </w:rPr>
        <w:t xml:space="preserve"> millions de FCFA</w:t>
      </w:r>
      <w:r w:rsidR="00752B12" w:rsidRPr="00434FBB">
        <w:rPr>
          <w:rFonts w:ascii="Segoe UI" w:hAnsi="Segoe UI" w:cs="Segoe UI"/>
          <w:b/>
          <w:sz w:val="24"/>
          <w:szCs w:val="24"/>
        </w:rPr>
        <w:t xml:space="preserve">, </w:t>
      </w:r>
      <w:r w:rsidR="00752B12" w:rsidRPr="00434FBB">
        <w:rPr>
          <w:rFonts w:ascii="Segoe UI" w:hAnsi="Segoe UI" w:cs="Segoe UI"/>
          <w:sz w:val="24"/>
          <w:szCs w:val="24"/>
        </w:rPr>
        <w:t>soit un taux de</w:t>
      </w:r>
      <w:r w:rsidR="00752B12" w:rsidRPr="00434FBB">
        <w:rPr>
          <w:rFonts w:ascii="Segoe UI" w:hAnsi="Segoe UI" w:cs="Segoe UI"/>
          <w:b/>
          <w:sz w:val="24"/>
          <w:szCs w:val="24"/>
        </w:rPr>
        <w:t xml:space="preserve"> </w:t>
      </w:r>
      <w:r w:rsidR="00AE4E4C" w:rsidRPr="00434FBB">
        <w:rPr>
          <w:rFonts w:ascii="Segoe UI" w:hAnsi="Segoe UI" w:cs="Segoe UI"/>
          <w:b/>
          <w:sz w:val="24"/>
          <w:szCs w:val="24"/>
        </w:rPr>
        <w:t>44,8</w:t>
      </w:r>
      <w:r w:rsidR="00752B12" w:rsidRPr="00434FBB">
        <w:rPr>
          <w:rFonts w:ascii="Segoe UI" w:hAnsi="Segoe UI" w:cs="Segoe UI"/>
          <w:b/>
          <w:sz w:val="24"/>
          <w:szCs w:val="24"/>
        </w:rPr>
        <w:t>%</w:t>
      </w:r>
      <w:r w:rsidR="00F44F0A" w:rsidRPr="00434FBB">
        <w:rPr>
          <w:rFonts w:ascii="Segoe UI" w:hAnsi="Segoe UI" w:cs="Segoe UI"/>
          <w:sz w:val="24"/>
          <w:szCs w:val="24"/>
        </w:rPr>
        <w:t xml:space="preserve"> sur </w:t>
      </w:r>
      <w:r w:rsidR="00ED4AE3" w:rsidRPr="00434FBB">
        <w:rPr>
          <w:rFonts w:ascii="Segoe UI" w:hAnsi="Segoe UI" w:cs="Segoe UI"/>
          <w:sz w:val="24"/>
          <w:szCs w:val="24"/>
        </w:rPr>
        <w:t>une prévision annuelle</w:t>
      </w:r>
      <w:r w:rsidR="002C2173" w:rsidRPr="00434FBB">
        <w:rPr>
          <w:rFonts w:ascii="Segoe UI" w:hAnsi="Segoe UI" w:cs="Segoe UI"/>
          <w:sz w:val="24"/>
          <w:szCs w:val="24"/>
        </w:rPr>
        <w:t xml:space="preserve"> </w:t>
      </w:r>
      <w:r w:rsidR="00ED4AE3" w:rsidRPr="00434FBB">
        <w:rPr>
          <w:rFonts w:ascii="Segoe UI" w:hAnsi="Segoe UI" w:cs="Segoe UI"/>
          <w:sz w:val="24"/>
          <w:szCs w:val="24"/>
        </w:rPr>
        <w:t xml:space="preserve">de </w:t>
      </w:r>
      <w:r w:rsidR="00752B12" w:rsidRPr="00434FBB">
        <w:rPr>
          <w:rFonts w:ascii="Segoe UI" w:hAnsi="Segoe UI" w:cs="Segoe UI"/>
          <w:sz w:val="24"/>
          <w:szCs w:val="24"/>
        </w:rPr>
        <w:t>1 002 861</w:t>
      </w:r>
      <w:r w:rsidR="00F44F0A" w:rsidRPr="00434FBB">
        <w:rPr>
          <w:rFonts w:ascii="Segoe UI" w:hAnsi="Segoe UI" w:cs="Segoe UI"/>
          <w:sz w:val="24"/>
          <w:szCs w:val="24"/>
        </w:rPr>
        <w:t xml:space="preserve"> millions de FCFA</w:t>
      </w:r>
      <w:r w:rsidR="00FA7729" w:rsidRPr="00434FBB">
        <w:rPr>
          <w:rFonts w:ascii="Segoe UI" w:hAnsi="Segoe UI" w:cs="Segoe UI"/>
          <w:sz w:val="24"/>
          <w:szCs w:val="24"/>
        </w:rPr>
        <w:t>.</w:t>
      </w:r>
      <w:r w:rsidR="00DD3B7D" w:rsidRPr="00434FBB">
        <w:rPr>
          <w:rFonts w:ascii="Segoe UI" w:hAnsi="Segoe UI" w:cs="Segoe UI"/>
          <w:sz w:val="24"/>
          <w:szCs w:val="24"/>
        </w:rPr>
        <w:t xml:space="preserve"> Ce niveau de mobilisation </w:t>
      </w:r>
      <w:r w:rsidR="002C2173" w:rsidRPr="00434FBB">
        <w:rPr>
          <w:rFonts w:ascii="Segoe UI" w:hAnsi="Segoe UI" w:cs="Segoe UI"/>
          <w:sz w:val="24"/>
          <w:szCs w:val="24"/>
        </w:rPr>
        <w:t xml:space="preserve">à fin </w:t>
      </w:r>
      <w:r w:rsidR="00F6256D" w:rsidRPr="00434FBB">
        <w:rPr>
          <w:rFonts w:ascii="Segoe UI" w:hAnsi="Segoe UI" w:cs="Segoe UI"/>
          <w:sz w:val="24"/>
          <w:szCs w:val="24"/>
        </w:rPr>
        <w:t>juin 2017</w:t>
      </w:r>
      <w:r w:rsidR="006235EC" w:rsidRPr="00434FBB">
        <w:rPr>
          <w:rFonts w:ascii="Segoe UI" w:hAnsi="Segoe UI" w:cs="Segoe UI"/>
          <w:sz w:val="24"/>
          <w:szCs w:val="24"/>
        </w:rPr>
        <w:t xml:space="preserve"> </w:t>
      </w:r>
      <w:r w:rsidR="00DD3B7D" w:rsidRPr="00434FBB">
        <w:rPr>
          <w:rFonts w:ascii="Segoe UI" w:hAnsi="Segoe UI" w:cs="Segoe UI"/>
          <w:sz w:val="24"/>
          <w:szCs w:val="24"/>
        </w:rPr>
        <w:t xml:space="preserve">est tiré </w:t>
      </w:r>
      <w:r w:rsidR="002C2173" w:rsidRPr="00434FBB">
        <w:rPr>
          <w:rFonts w:ascii="Segoe UI" w:hAnsi="Segoe UI" w:cs="Segoe UI"/>
          <w:sz w:val="24"/>
          <w:szCs w:val="24"/>
        </w:rPr>
        <w:t xml:space="preserve">notamment </w:t>
      </w:r>
      <w:r w:rsidR="00DD3B7D" w:rsidRPr="00434FBB">
        <w:rPr>
          <w:rFonts w:ascii="Segoe UI" w:hAnsi="Segoe UI" w:cs="Segoe UI"/>
          <w:sz w:val="24"/>
          <w:szCs w:val="24"/>
        </w:rPr>
        <w:t xml:space="preserve">par </w:t>
      </w:r>
      <w:r w:rsidR="008B6735" w:rsidRPr="00434FBB">
        <w:rPr>
          <w:rFonts w:ascii="Segoe UI" w:hAnsi="Segoe UI" w:cs="Segoe UI"/>
          <w:sz w:val="24"/>
          <w:szCs w:val="24"/>
        </w:rPr>
        <w:t xml:space="preserve">les </w:t>
      </w:r>
      <w:r w:rsidR="008D59B9" w:rsidRPr="00434FBB">
        <w:rPr>
          <w:rFonts w:ascii="Segoe UI" w:hAnsi="Segoe UI" w:cs="Segoe UI"/>
          <w:sz w:val="24"/>
          <w:szCs w:val="24"/>
        </w:rPr>
        <w:t xml:space="preserve">bons du trésor, </w:t>
      </w:r>
      <w:r w:rsidR="00814B87" w:rsidRPr="00434FBB">
        <w:rPr>
          <w:rFonts w:ascii="Segoe UI" w:hAnsi="Segoe UI" w:cs="Segoe UI"/>
          <w:sz w:val="24"/>
          <w:szCs w:val="24"/>
        </w:rPr>
        <w:t>les</w:t>
      </w:r>
      <w:r w:rsidR="00F6256D" w:rsidRPr="00434FBB">
        <w:rPr>
          <w:rFonts w:ascii="Segoe UI" w:hAnsi="Segoe UI" w:cs="Segoe UI"/>
          <w:sz w:val="24"/>
          <w:szCs w:val="24"/>
        </w:rPr>
        <w:t xml:space="preserve"> </w:t>
      </w:r>
      <w:r w:rsidR="008D59B9" w:rsidRPr="00434FBB">
        <w:rPr>
          <w:rFonts w:ascii="Segoe UI" w:hAnsi="Segoe UI" w:cs="Segoe UI"/>
          <w:sz w:val="24"/>
          <w:szCs w:val="24"/>
        </w:rPr>
        <w:t>emprunts intérieurs bancair</w:t>
      </w:r>
      <w:r w:rsidR="00A3715E" w:rsidRPr="00434FBB">
        <w:rPr>
          <w:rFonts w:ascii="Segoe UI" w:hAnsi="Segoe UI" w:cs="Segoe UI"/>
          <w:sz w:val="24"/>
          <w:szCs w:val="24"/>
        </w:rPr>
        <w:t xml:space="preserve">es et les obligations du Trésor et </w:t>
      </w:r>
      <w:r w:rsidR="00E86A0C" w:rsidRPr="00434FBB">
        <w:rPr>
          <w:rFonts w:ascii="Segoe UI" w:hAnsi="Segoe UI" w:cs="Segoe UI"/>
          <w:sz w:val="24"/>
          <w:szCs w:val="24"/>
        </w:rPr>
        <w:t xml:space="preserve">est </w:t>
      </w:r>
      <w:r w:rsidR="00A3715E" w:rsidRPr="00434FBB">
        <w:rPr>
          <w:rFonts w:ascii="Segoe UI" w:hAnsi="Segoe UI" w:cs="Segoe UI"/>
          <w:sz w:val="24"/>
          <w:szCs w:val="24"/>
        </w:rPr>
        <w:t>conforme au calendrier d’émission des titres publics</w:t>
      </w:r>
      <w:r w:rsidR="008B6735" w:rsidRPr="00434FBB">
        <w:rPr>
          <w:rFonts w:ascii="Segoe UI" w:hAnsi="Segoe UI" w:cs="Segoe UI"/>
          <w:sz w:val="24"/>
          <w:szCs w:val="24"/>
        </w:rPr>
        <w:t>.</w:t>
      </w:r>
      <w:r w:rsidR="008B6735" w:rsidRPr="00434FBB">
        <w:rPr>
          <w:rFonts w:ascii="Segoe UI" w:hAnsi="Segoe UI" w:cs="Segoe UI"/>
          <w:b/>
          <w:sz w:val="24"/>
          <w:szCs w:val="24"/>
        </w:rPr>
        <w:t xml:space="preserve"> </w:t>
      </w:r>
    </w:p>
    <w:p w:rsidR="00FE7A8E" w:rsidRDefault="008D59B9" w:rsidP="0006221B">
      <w:pPr>
        <w:jc w:val="both"/>
        <w:rPr>
          <w:rFonts w:ascii="Segoe UI" w:hAnsi="Segoe UI" w:cs="Segoe UI"/>
          <w:sz w:val="24"/>
          <w:szCs w:val="24"/>
        </w:rPr>
      </w:pPr>
      <w:r w:rsidRPr="00434FBB">
        <w:rPr>
          <w:rFonts w:ascii="Segoe UI" w:hAnsi="Segoe UI" w:cs="Segoe UI"/>
          <w:sz w:val="24"/>
          <w:szCs w:val="24"/>
        </w:rPr>
        <w:t xml:space="preserve">Au total, à fin juin 2017, les ressources </w:t>
      </w:r>
      <w:r w:rsidR="002765CF" w:rsidRPr="00434FBB">
        <w:rPr>
          <w:rFonts w:ascii="Segoe UI" w:hAnsi="Segoe UI" w:cs="Segoe UI"/>
          <w:sz w:val="24"/>
          <w:szCs w:val="24"/>
        </w:rPr>
        <w:t>mobilisées</w:t>
      </w:r>
      <w:r w:rsidR="002765CF" w:rsidRPr="00434FBB">
        <w:rPr>
          <w:rFonts w:ascii="Segoe UI" w:hAnsi="Segoe UI" w:cs="Segoe UI"/>
          <w:sz w:val="24"/>
          <w:szCs w:val="24"/>
        </w:rPr>
        <w:t xml:space="preserve"> </w:t>
      </w:r>
      <w:r w:rsidR="002765CF" w:rsidRPr="00434FBB">
        <w:rPr>
          <w:rFonts w:ascii="Segoe UI" w:hAnsi="Segoe UI" w:cs="Segoe UI"/>
          <w:sz w:val="24"/>
          <w:szCs w:val="24"/>
        </w:rPr>
        <w:t xml:space="preserve">atteignent </w:t>
      </w:r>
      <w:r w:rsidRPr="00434FBB">
        <w:rPr>
          <w:rFonts w:ascii="Segoe UI" w:hAnsi="Segoe UI" w:cs="Segoe UI"/>
          <w:sz w:val="24"/>
          <w:szCs w:val="24"/>
        </w:rPr>
        <w:t xml:space="preserve">globalement </w:t>
      </w:r>
      <w:r w:rsidR="00A63345" w:rsidRPr="00434FBB">
        <w:rPr>
          <w:rFonts w:ascii="Segoe UI" w:hAnsi="Segoe UI" w:cs="Segoe UI"/>
          <w:sz w:val="24"/>
          <w:szCs w:val="24"/>
        </w:rPr>
        <w:t>9</w:t>
      </w:r>
      <w:r w:rsidR="00AE4E4C" w:rsidRPr="00434FBB">
        <w:rPr>
          <w:rFonts w:ascii="Segoe UI" w:hAnsi="Segoe UI" w:cs="Segoe UI"/>
          <w:sz w:val="24"/>
          <w:szCs w:val="24"/>
        </w:rPr>
        <w:t>17 787,8</w:t>
      </w:r>
      <w:r w:rsidRPr="00434FBB">
        <w:rPr>
          <w:rFonts w:ascii="Segoe UI" w:hAnsi="Segoe UI" w:cs="Segoe UI"/>
          <w:sz w:val="24"/>
          <w:szCs w:val="24"/>
        </w:rPr>
        <w:t xml:space="preserve"> millions de FCFA contre 797 240,1 millions de FCFA</w:t>
      </w:r>
      <w:r w:rsidR="006B28A1" w:rsidRPr="00434FBB">
        <w:rPr>
          <w:rFonts w:ascii="Segoe UI" w:hAnsi="Segoe UI" w:cs="Segoe UI"/>
          <w:sz w:val="24"/>
          <w:szCs w:val="24"/>
        </w:rPr>
        <w:t xml:space="preserve"> à fin juin 2016</w:t>
      </w:r>
      <w:r w:rsidRPr="00434FBB">
        <w:rPr>
          <w:rFonts w:ascii="Segoe UI" w:hAnsi="Segoe UI" w:cs="Segoe UI"/>
          <w:sz w:val="24"/>
          <w:szCs w:val="24"/>
        </w:rPr>
        <w:t xml:space="preserve">. </w:t>
      </w:r>
      <w:r w:rsidR="00601EAD" w:rsidRPr="00434FBB">
        <w:rPr>
          <w:rFonts w:ascii="Segoe UI" w:hAnsi="Segoe UI" w:cs="Segoe UI"/>
          <w:sz w:val="24"/>
          <w:szCs w:val="24"/>
        </w:rPr>
        <w:t xml:space="preserve">Quant aux </w:t>
      </w:r>
      <w:r w:rsidR="00352B8D" w:rsidRPr="00434FBB">
        <w:rPr>
          <w:rFonts w:ascii="Segoe UI" w:hAnsi="Segoe UI" w:cs="Segoe UI"/>
          <w:sz w:val="24"/>
          <w:szCs w:val="24"/>
        </w:rPr>
        <w:t>charges de trésorerie</w:t>
      </w:r>
      <w:r w:rsidR="00AF2C9A" w:rsidRPr="00434FBB">
        <w:rPr>
          <w:rFonts w:ascii="Segoe UI" w:hAnsi="Segoe UI" w:cs="Segoe UI"/>
          <w:sz w:val="24"/>
          <w:szCs w:val="24"/>
        </w:rPr>
        <w:t>,</w:t>
      </w:r>
      <w:r w:rsidR="00352B8D" w:rsidRPr="00434FBB">
        <w:rPr>
          <w:rFonts w:ascii="Segoe UI" w:hAnsi="Segoe UI" w:cs="Segoe UI"/>
          <w:sz w:val="24"/>
          <w:szCs w:val="24"/>
        </w:rPr>
        <w:t xml:space="preserve"> elles</w:t>
      </w:r>
      <w:r w:rsidR="00AF2C9A" w:rsidRPr="00434FBB">
        <w:rPr>
          <w:rFonts w:ascii="Segoe UI" w:hAnsi="Segoe UI" w:cs="Segoe UI"/>
          <w:sz w:val="24"/>
          <w:szCs w:val="24"/>
        </w:rPr>
        <w:t xml:space="preserve"> ont été assurées à hauteur </w:t>
      </w:r>
      <w:r w:rsidR="009913D4" w:rsidRPr="00434FBB">
        <w:rPr>
          <w:rFonts w:ascii="Segoe UI" w:hAnsi="Segoe UI" w:cs="Segoe UI"/>
          <w:sz w:val="24"/>
          <w:szCs w:val="24"/>
        </w:rPr>
        <w:t>de</w:t>
      </w:r>
      <w:r w:rsidR="00352B8D" w:rsidRPr="00434FBB">
        <w:rPr>
          <w:rFonts w:ascii="Segoe UI" w:hAnsi="Segoe UI" w:cs="Segoe UI"/>
          <w:sz w:val="24"/>
          <w:szCs w:val="24"/>
        </w:rPr>
        <w:t xml:space="preserve"> </w:t>
      </w:r>
      <w:r w:rsidR="00291304" w:rsidRPr="00434FBB">
        <w:rPr>
          <w:rFonts w:ascii="Segoe UI" w:hAnsi="Segoe UI" w:cs="Segoe UI"/>
          <w:b/>
          <w:sz w:val="24"/>
          <w:szCs w:val="24"/>
        </w:rPr>
        <w:t>2</w:t>
      </w:r>
      <w:r w:rsidR="009913D4" w:rsidRPr="00434FBB">
        <w:rPr>
          <w:rFonts w:ascii="Segoe UI" w:hAnsi="Segoe UI" w:cs="Segoe UI"/>
          <w:b/>
          <w:sz w:val="24"/>
          <w:szCs w:val="24"/>
        </w:rPr>
        <w:t>0</w:t>
      </w:r>
      <w:r w:rsidR="00AE4E4C" w:rsidRPr="00434FBB">
        <w:rPr>
          <w:rFonts w:ascii="Segoe UI" w:hAnsi="Segoe UI" w:cs="Segoe UI"/>
          <w:b/>
          <w:sz w:val="24"/>
          <w:szCs w:val="24"/>
        </w:rPr>
        <w:t>5 206,2</w:t>
      </w:r>
      <w:r w:rsidR="00027DE2" w:rsidRPr="00434FBB">
        <w:rPr>
          <w:rFonts w:ascii="Segoe UI" w:hAnsi="Segoe UI" w:cs="Segoe UI"/>
          <w:b/>
          <w:sz w:val="24"/>
          <w:szCs w:val="24"/>
        </w:rPr>
        <w:t xml:space="preserve"> millions de FCFA</w:t>
      </w:r>
      <w:r w:rsidR="00D95601" w:rsidRPr="00434FBB">
        <w:rPr>
          <w:rFonts w:ascii="Segoe UI" w:hAnsi="Segoe UI" w:cs="Segoe UI"/>
          <w:b/>
          <w:sz w:val="24"/>
          <w:szCs w:val="24"/>
        </w:rPr>
        <w:t xml:space="preserve"> </w:t>
      </w:r>
      <w:r w:rsidR="009913D4" w:rsidRPr="00434FBB">
        <w:rPr>
          <w:rFonts w:ascii="Segoe UI" w:hAnsi="Segoe UI" w:cs="Segoe UI"/>
          <w:sz w:val="24"/>
          <w:szCs w:val="24"/>
        </w:rPr>
        <w:t xml:space="preserve">contre </w:t>
      </w:r>
      <w:r w:rsidR="009913D4" w:rsidRPr="00434FBB">
        <w:rPr>
          <w:rFonts w:ascii="Segoe UI" w:hAnsi="Segoe UI" w:cs="Segoe UI"/>
          <w:b/>
          <w:sz w:val="24"/>
          <w:szCs w:val="24"/>
        </w:rPr>
        <w:t>115 033,6 millions de FCFA</w:t>
      </w:r>
      <w:r w:rsidR="009913D4" w:rsidRPr="00434FBB">
        <w:rPr>
          <w:rFonts w:ascii="Segoe UI" w:hAnsi="Segoe UI" w:cs="Segoe UI"/>
          <w:sz w:val="24"/>
          <w:szCs w:val="24"/>
        </w:rPr>
        <w:t xml:space="preserve"> à fin juin 2016.</w:t>
      </w:r>
      <w:r w:rsidR="00601EAD" w:rsidRPr="00434FBB">
        <w:rPr>
          <w:rFonts w:ascii="Segoe UI" w:hAnsi="Segoe UI" w:cs="Segoe UI"/>
          <w:sz w:val="24"/>
          <w:szCs w:val="24"/>
        </w:rPr>
        <w:t xml:space="preserve"> Elles ressortent ainsi, cumulées avec les opérations budgétaires, </w:t>
      </w:r>
      <w:r w:rsidR="00177206" w:rsidRPr="00434FBB">
        <w:rPr>
          <w:rFonts w:ascii="Segoe UI" w:hAnsi="Segoe UI" w:cs="Segoe UI"/>
          <w:sz w:val="24"/>
          <w:szCs w:val="24"/>
        </w:rPr>
        <w:t xml:space="preserve">à fin juin 2017, </w:t>
      </w:r>
      <w:r w:rsidR="00AE4E4C" w:rsidRPr="00434FBB">
        <w:rPr>
          <w:rFonts w:ascii="Segoe UI" w:hAnsi="Segoe UI" w:cs="Segoe UI"/>
          <w:sz w:val="24"/>
          <w:szCs w:val="24"/>
        </w:rPr>
        <w:t xml:space="preserve">à </w:t>
      </w:r>
      <w:r w:rsidR="00AE4E4C" w:rsidRPr="00434FBB">
        <w:rPr>
          <w:rFonts w:ascii="Segoe UI" w:hAnsi="Segoe UI" w:cs="Segoe UI"/>
          <w:b/>
          <w:sz w:val="24"/>
          <w:szCs w:val="24"/>
        </w:rPr>
        <w:t>841 136,9</w:t>
      </w:r>
      <w:r w:rsidR="009913D4" w:rsidRPr="00434FBB">
        <w:rPr>
          <w:rFonts w:ascii="Segoe UI" w:hAnsi="Segoe UI" w:cs="Segoe UI"/>
          <w:b/>
          <w:sz w:val="24"/>
          <w:szCs w:val="24"/>
        </w:rPr>
        <w:t xml:space="preserve"> millions de FCFA </w:t>
      </w:r>
      <w:r w:rsidR="009913D4" w:rsidRPr="00434FBB">
        <w:rPr>
          <w:rFonts w:ascii="Segoe UI" w:hAnsi="Segoe UI" w:cs="Segoe UI"/>
          <w:sz w:val="24"/>
          <w:szCs w:val="24"/>
        </w:rPr>
        <w:t xml:space="preserve">contre </w:t>
      </w:r>
      <w:r w:rsidR="00FE3542" w:rsidRPr="00434FBB">
        <w:rPr>
          <w:rFonts w:ascii="Segoe UI" w:hAnsi="Segoe UI" w:cs="Segoe UI"/>
          <w:b/>
          <w:sz w:val="24"/>
          <w:szCs w:val="24"/>
        </w:rPr>
        <w:t>720 610,3</w:t>
      </w:r>
      <w:r w:rsidR="009913D4" w:rsidRPr="00434FBB">
        <w:rPr>
          <w:rFonts w:ascii="Segoe UI" w:hAnsi="Segoe UI" w:cs="Segoe UI"/>
          <w:b/>
          <w:sz w:val="24"/>
          <w:szCs w:val="24"/>
        </w:rPr>
        <w:t xml:space="preserve"> millions de FCFA</w:t>
      </w:r>
      <w:r w:rsidR="00D51DC7" w:rsidRPr="00434FBB">
        <w:rPr>
          <w:rFonts w:ascii="Segoe UI" w:hAnsi="Segoe UI" w:cs="Segoe UI"/>
          <w:sz w:val="24"/>
          <w:szCs w:val="24"/>
        </w:rPr>
        <w:t xml:space="preserve"> à la même période en 2016</w:t>
      </w:r>
      <w:r w:rsidR="009913D4" w:rsidRPr="00434FBB">
        <w:rPr>
          <w:rFonts w:ascii="Segoe UI" w:hAnsi="Segoe UI" w:cs="Segoe UI"/>
          <w:sz w:val="24"/>
          <w:szCs w:val="24"/>
        </w:rPr>
        <w:t>.</w:t>
      </w:r>
    </w:p>
    <w:p w:rsidR="00601EAD" w:rsidRPr="0006221B" w:rsidRDefault="00601EAD" w:rsidP="0006221B">
      <w:pPr>
        <w:jc w:val="both"/>
        <w:rPr>
          <w:rFonts w:ascii="Segoe UI" w:hAnsi="Segoe UI" w:cs="Segoe UI"/>
          <w:sz w:val="24"/>
          <w:szCs w:val="24"/>
        </w:rPr>
      </w:pPr>
    </w:p>
    <w:p w:rsidR="00273B54" w:rsidRPr="006D6DA7" w:rsidRDefault="00273B54" w:rsidP="000243F1">
      <w:pPr>
        <w:pStyle w:val="Paragraphedeliste"/>
        <w:numPr>
          <w:ilvl w:val="0"/>
          <w:numId w:val="23"/>
        </w:numPr>
        <w:jc w:val="both"/>
        <w:rPr>
          <w:rFonts w:ascii="Segoe UI" w:hAnsi="Segoe UI" w:cs="Segoe UI"/>
          <w:b/>
          <w:sz w:val="24"/>
          <w:szCs w:val="24"/>
        </w:rPr>
      </w:pPr>
      <w:r w:rsidRPr="006D6DA7">
        <w:rPr>
          <w:rFonts w:ascii="Segoe UI" w:hAnsi="Segoe UI" w:cs="Segoe UI"/>
          <w:b/>
          <w:sz w:val="24"/>
          <w:szCs w:val="24"/>
        </w:rPr>
        <w:lastRenderedPageBreak/>
        <w:t>le solde d’exécution budgétaire</w:t>
      </w:r>
    </w:p>
    <w:p w:rsidR="00F80F50" w:rsidRPr="006D6DA7" w:rsidRDefault="00027DE2" w:rsidP="0006221B">
      <w:pPr>
        <w:jc w:val="both"/>
        <w:rPr>
          <w:rFonts w:ascii="Segoe UI" w:hAnsi="Segoe UI" w:cs="Segoe UI"/>
          <w:b/>
          <w:color w:val="000000"/>
          <w:sz w:val="24"/>
          <w:szCs w:val="24"/>
        </w:rPr>
      </w:pPr>
      <w:r w:rsidRPr="006D6DA7">
        <w:rPr>
          <w:rFonts w:ascii="Segoe UI" w:hAnsi="Segoe UI" w:cs="Segoe UI"/>
          <w:color w:val="000000"/>
          <w:sz w:val="24"/>
          <w:szCs w:val="24"/>
        </w:rPr>
        <w:t xml:space="preserve">L’exécution budgétaire à fin </w:t>
      </w:r>
      <w:r w:rsidR="00E37320" w:rsidRPr="006D6DA7">
        <w:rPr>
          <w:rFonts w:ascii="Segoe UI" w:hAnsi="Segoe UI" w:cs="Segoe UI"/>
          <w:color w:val="000000"/>
          <w:sz w:val="24"/>
          <w:szCs w:val="24"/>
        </w:rPr>
        <w:t>juin</w:t>
      </w:r>
      <w:r w:rsidRPr="006D6DA7">
        <w:rPr>
          <w:rFonts w:ascii="Segoe UI" w:hAnsi="Segoe UI" w:cs="Segoe UI"/>
          <w:color w:val="000000"/>
          <w:sz w:val="24"/>
          <w:szCs w:val="24"/>
        </w:rPr>
        <w:t xml:space="preserve"> 201</w:t>
      </w:r>
      <w:r w:rsidR="00E37320" w:rsidRPr="006D6DA7">
        <w:rPr>
          <w:rFonts w:ascii="Segoe UI" w:hAnsi="Segoe UI" w:cs="Segoe UI"/>
          <w:color w:val="000000"/>
          <w:sz w:val="24"/>
          <w:szCs w:val="24"/>
        </w:rPr>
        <w:t>7</w:t>
      </w:r>
      <w:r w:rsidRPr="006D6DA7">
        <w:rPr>
          <w:rFonts w:ascii="Segoe UI" w:hAnsi="Segoe UI" w:cs="Segoe UI"/>
          <w:color w:val="000000"/>
          <w:sz w:val="24"/>
          <w:szCs w:val="24"/>
        </w:rPr>
        <w:t xml:space="preserve"> présente un solde déficitaire d</w:t>
      </w:r>
      <w:r w:rsidR="002F21AA" w:rsidRPr="006D6DA7">
        <w:rPr>
          <w:rFonts w:ascii="Segoe UI" w:hAnsi="Segoe UI" w:cs="Segoe UI"/>
          <w:color w:val="000000"/>
          <w:sz w:val="24"/>
          <w:szCs w:val="24"/>
        </w:rPr>
        <w:t xml:space="preserve">’un </w:t>
      </w:r>
      <w:r w:rsidRPr="006D6DA7">
        <w:rPr>
          <w:rFonts w:ascii="Segoe UI" w:hAnsi="Segoe UI" w:cs="Segoe UI"/>
          <w:color w:val="000000"/>
          <w:sz w:val="24"/>
          <w:szCs w:val="24"/>
        </w:rPr>
        <w:t xml:space="preserve">montant </w:t>
      </w:r>
      <w:r w:rsidR="002F21AA" w:rsidRPr="006D6DA7">
        <w:rPr>
          <w:rFonts w:ascii="Segoe UI" w:hAnsi="Segoe UI" w:cs="Segoe UI"/>
          <w:color w:val="000000"/>
          <w:sz w:val="24"/>
          <w:szCs w:val="24"/>
        </w:rPr>
        <w:t>de</w:t>
      </w:r>
      <w:r w:rsidR="000457B6" w:rsidRPr="006D6DA7">
        <w:rPr>
          <w:rFonts w:ascii="Segoe UI" w:hAnsi="Segoe UI" w:cs="Segoe UI"/>
          <w:color w:val="000000"/>
          <w:sz w:val="24"/>
          <w:szCs w:val="24"/>
        </w:rPr>
        <w:t xml:space="preserve"> </w:t>
      </w:r>
      <w:r w:rsidR="0075520E" w:rsidRPr="006D6DA7">
        <w:rPr>
          <w:rFonts w:ascii="Segoe UI" w:hAnsi="Segoe UI" w:cs="Segoe UI"/>
          <w:color w:val="000000"/>
          <w:sz w:val="24"/>
          <w:szCs w:val="24"/>
        </w:rPr>
        <w:t xml:space="preserve"> </w:t>
      </w:r>
      <w:r w:rsidR="001D7B4A">
        <w:rPr>
          <w:rFonts w:ascii="Segoe UI" w:hAnsi="Segoe UI" w:cs="Segoe UI"/>
          <w:b/>
          <w:color w:val="000000"/>
          <w:sz w:val="24"/>
          <w:szCs w:val="24"/>
        </w:rPr>
        <w:t>9</w:t>
      </w:r>
      <w:r w:rsidR="00AE4E4C">
        <w:rPr>
          <w:rFonts w:ascii="Segoe UI" w:hAnsi="Segoe UI" w:cs="Segoe UI"/>
          <w:b/>
          <w:color w:val="000000"/>
          <w:sz w:val="24"/>
          <w:szCs w:val="24"/>
        </w:rPr>
        <w:t xml:space="preserve">7 032 </w:t>
      </w:r>
      <w:r w:rsidR="004F2A06" w:rsidRPr="006D6DA7">
        <w:rPr>
          <w:rFonts w:ascii="Segoe UI" w:hAnsi="Segoe UI" w:cs="Segoe UI"/>
          <w:b/>
          <w:color w:val="000000"/>
          <w:sz w:val="24"/>
          <w:szCs w:val="24"/>
        </w:rPr>
        <w:t>millions de FCFA</w:t>
      </w:r>
      <w:r w:rsidR="00BD4EB0">
        <w:rPr>
          <w:rFonts w:ascii="Segoe UI" w:hAnsi="Segoe UI" w:cs="Segoe UI"/>
          <w:color w:val="000000"/>
          <w:sz w:val="24"/>
          <w:szCs w:val="24"/>
        </w:rPr>
        <w:t xml:space="preserve">, base ordonnancement contre </w:t>
      </w:r>
      <w:r w:rsidR="00534FC6">
        <w:rPr>
          <w:rFonts w:ascii="Segoe UI" w:hAnsi="Segoe UI" w:cs="Segoe UI"/>
          <w:b/>
          <w:color w:val="000000"/>
          <w:sz w:val="24"/>
          <w:szCs w:val="24"/>
        </w:rPr>
        <w:t>17 124,5</w:t>
      </w:r>
      <w:r w:rsidR="00BD4EB0" w:rsidRPr="00BD4EB0">
        <w:rPr>
          <w:rFonts w:ascii="Segoe UI" w:hAnsi="Segoe UI" w:cs="Segoe UI"/>
          <w:b/>
          <w:color w:val="000000"/>
          <w:sz w:val="24"/>
          <w:szCs w:val="24"/>
        </w:rPr>
        <w:t xml:space="preserve"> millions de FCFA</w:t>
      </w:r>
      <w:r w:rsidR="00BD4EB0">
        <w:rPr>
          <w:rFonts w:ascii="Segoe UI" w:hAnsi="Segoe UI" w:cs="Segoe UI"/>
          <w:color w:val="000000"/>
          <w:sz w:val="24"/>
          <w:szCs w:val="24"/>
        </w:rPr>
        <w:t xml:space="preserve"> </w:t>
      </w:r>
      <w:r w:rsidR="00941FDC">
        <w:rPr>
          <w:rFonts w:ascii="Segoe UI" w:hAnsi="Segoe UI" w:cs="Segoe UI"/>
          <w:color w:val="000000"/>
          <w:sz w:val="24"/>
          <w:szCs w:val="24"/>
        </w:rPr>
        <w:t>à fin</w:t>
      </w:r>
      <w:r w:rsidR="00BD4EB0">
        <w:rPr>
          <w:rFonts w:ascii="Segoe UI" w:hAnsi="Segoe UI" w:cs="Segoe UI"/>
          <w:color w:val="000000"/>
          <w:sz w:val="24"/>
          <w:szCs w:val="24"/>
        </w:rPr>
        <w:t xml:space="preserve"> juin 2016</w:t>
      </w:r>
      <w:r w:rsidR="0006221B">
        <w:rPr>
          <w:rFonts w:ascii="Segoe UI" w:hAnsi="Segoe UI" w:cs="Segoe UI"/>
          <w:color w:val="000000"/>
          <w:sz w:val="24"/>
          <w:szCs w:val="24"/>
        </w:rPr>
        <w:t xml:space="preserve">. </w:t>
      </w:r>
      <w:r w:rsidR="0006221B" w:rsidRPr="00601EAD">
        <w:rPr>
          <w:rFonts w:ascii="Segoe UI" w:hAnsi="Segoe UI" w:cs="Segoe UI"/>
          <w:color w:val="000000"/>
          <w:sz w:val="24"/>
          <w:szCs w:val="24"/>
        </w:rPr>
        <w:t>Cette hausse résulte essentiellement de l’effort d’accélération des travaux d’investissement notamment dans les secteurs d’assainissement et d’infrastructures routières.</w:t>
      </w:r>
    </w:p>
    <w:p w:rsidR="00D1515C" w:rsidRPr="008F0528" w:rsidRDefault="004162ED" w:rsidP="007B150D">
      <w:pPr>
        <w:pStyle w:val="Titre1"/>
        <w:rPr>
          <w:rFonts w:ascii="Segoe UI" w:hAnsi="Segoe UI" w:cs="Segoe UI"/>
        </w:rPr>
      </w:pPr>
      <w:r w:rsidRPr="00BB2BCE">
        <w:rPr>
          <w:b w:val="0"/>
          <w:sz w:val="24"/>
          <w:szCs w:val="24"/>
        </w:rPr>
        <w:br w:type="page"/>
      </w:r>
      <w:bookmarkStart w:id="2" w:name="_Toc496024995"/>
      <w:r w:rsidR="0089539C" w:rsidRPr="009D63B5">
        <w:rPr>
          <w:rFonts w:ascii="Segoe UI" w:hAnsi="Segoe UI" w:cs="Segoe UI"/>
        </w:rPr>
        <w:lastRenderedPageBreak/>
        <w:t>INTRODUCTION</w:t>
      </w:r>
      <w:bookmarkEnd w:id="2"/>
    </w:p>
    <w:p w:rsidR="00FD6E74" w:rsidRPr="00BB2BCE" w:rsidRDefault="00FD6E74" w:rsidP="00C01AD2">
      <w:pPr>
        <w:spacing w:after="0" w:line="360" w:lineRule="auto"/>
        <w:jc w:val="both"/>
        <w:rPr>
          <w:rFonts w:ascii="Segoe UI" w:hAnsi="Segoe UI" w:cs="Segoe UI"/>
          <w:color w:val="FF0000"/>
          <w:sz w:val="4"/>
          <w:szCs w:val="16"/>
        </w:rPr>
      </w:pPr>
    </w:p>
    <w:p w:rsidR="00FE5A32" w:rsidRDefault="00FE5A32" w:rsidP="00C01AD2">
      <w:pPr>
        <w:spacing w:after="0" w:line="360" w:lineRule="auto"/>
        <w:jc w:val="both"/>
        <w:rPr>
          <w:rFonts w:ascii="Segoe UI" w:hAnsi="Segoe UI" w:cs="Segoe UI"/>
          <w:sz w:val="24"/>
          <w:szCs w:val="24"/>
        </w:rPr>
      </w:pPr>
      <w:r>
        <w:rPr>
          <w:rFonts w:ascii="Segoe UI" w:hAnsi="Segoe UI" w:cs="Segoe UI"/>
          <w:sz w:val="24"/>
          <w:szCs w:val="24"/>
        </w:rPr>
        <w:t>Le pilotage de l’exécution budgétaire au premier semestre 2017 s’est déroulé dans un contexte particulier caractérisé par la recherche permanente de l’efficacité de la dépense et de l’élargissement de l’assiette fiscale</w:t>
      </w:r>
      <w:r w:rsidR="0006221B">
        <w:rPr>
          <w:rFonts w:ascii="Segoe UI" w:hAnsi="Segoe UI" w:cs="Segoe UI"/>
          <w:sz w:val="24"/>
          <w:szCs w:val="24"/>
        </w:rPr>
        <w:t xml:space="preserve"> </w:t>
      </w:r>
      <w:r w:rsidR="0006221B" w:rsidRPr="007D078F">
        <w:rPr>
          <w:rFonts w:ascii="Segoe UI" w:hAnsi="Segoe UI" w:cs="Segoe UI"/>
          <w:sz w:val="24"/>
          <w:szCs w:val="24"/>
        </w:rPr>
        <w:t>à travers la mise en œuvre des réformes structurelles au sein des régies financières</w:t>
      </w:r>
      <w:r w:rsidRPr="007D078F">
        <w:rPr>
          <w:rFonts w:ascii="Segoe UI" w:hAnsi="Segoe UI" w:cs="Segoe UI"/>
          <w:sz w:val="24"/>
          <w:szCs w:val="24"/>
        </w:rPr>
        <w:t>.</w:t>
      </w:r>
    </w:p>
    <w:p w:rsidR="00FE5A32" w:rsidRDefault="00FE5A32" w:rsidP="00C01AD2">
      <w:pPr>
        <w:spacing w:after="0" w:line="360" w:lineRule="auto"/>
        <w:jc w:val="both"/>
        <w:rPr>
          <w:rFonts w:ascii="Segoe UI" w:hAnsi="Segoe UI" w:cs="Segoe UI"/>
          <w:sz w:val="24"/>
          <w:szCs w:val="24"/>
        </w:rPr>
      </w:pPr>
      <w:r>
        <w:rPr>
          <w:rFonts w:ascii="Segoe UI" w:hAnsi="Segoe UI" w:cs="Segoe UI"/>
          <w:sz w:val="24"/>
          <w:szCs w:val="24"/>
        </w:rPr>
        <w:t>En effet, plusieurs actions sont initiées et mises en œuvre. Il s’agit de :</w:t>
      </w:r>
    </w:p>
    <w:p w:rsidR="00FE5A32" w:rsidRPr="00DD1D79" w:rsidRDefault="00DD1D79" w:rsidP="00DD1D79">
      <w:pPr>
        <w:spacing w:after="0" w:line="360" w:lineRule="auto"/>
        <w:ind w:left="360"/>
        <w:jc w:val="both"/>
        <w:rPr>
          <w:rFonts w:ascii="Segoe UI" w:hAnsi="Segoe UI" w:cs="Segoe UI"/>
          <w:sz w:val="24"/>
          <w:szCs w:val="24"/>
        </w:rPr>
      </w:pPr>
      <w:r>
        <w:rPr>
          <w:rFonts w:ascii="Segoe UI" w:hAnsi="Segoe UI" w:cs="Segoe UI"/>
          <w:sz w:val="24"/>
          <w:szCs w:val="24"/>
        </w:rPr>
        <w:t>-</w:t>
      </w:r>
      <w:r w:rsidR="00DF4C34">
        <w:rPr>
          <w:rFonts w:ascii="Segoe UI" w:hAnsi="Segoe UI" w:cs="Segoe UI"/>
          <w:sz w:val="24"/>
          <w:szCs w:val="24"/>
        </w:rPr>
        <w:t xml:space="preserve"> </w:t>
      </w:r>
      <w:r w:rsidR="00FE5A32" w:rsidRPr="00DD1D79">
        <w:rPr>
          <w:rFonts w:ascii="Segoe UI" w:hAnsi="Segoe UI" w:cs="Segoe UI"/>
          <w:sz w:val="24"/>
          <w:szCs w:val="24"/>
        </w:rPr>
        <w:t>l’interconnexion des bases de données de la Douane et des Impôts ;</w:t>
      </w:r>
    </w:p>
    <w:p w:rsidR="00FE5A32" w:rsidRPr="00DD1D79" w:rsidRDefault="00DD1D79" w:rsidP="00DD1D79">
      <w:pPr>
        <w:spacing w:after="0" w:line="360" w:lineRule="auto"/>
        <w:ind w:left="360"/>
        <w:jc w:val="both"/>
        <w:rPr>
          <w:rFonts w:ascii="Segoe UI" w:hAnsi="Segoe UI" w:cs="Segoe UI"/>
          <w:sz w:val="24"/>
          <w:szCs w:val="24"/>
        </w:rPr>
      </w:pPr>
      <w:r>
        <w:rPr>
          <w:rFonts w:ascii="Segoe UI" w:hAnsi="Segoe UI" w:cs="Segoe UI"/>
          <w:sz w:val="24"/>
          <w:szCs w:val="24"/>
        </w:rPr>
        <w:t>-</w:t>
      </w:r>
      <w:r w:rsidR="00DF4C34">
        <w:rPr>
          <w:rFonts w:ascii="Segoe UI" w:hAnsi="Segoe UI" w:cs="Segoe UI"/>
          <w:sz w:val="24"/>
          <w:szCs w:val="24"/>
        </w:rPr>
        <w:t xml:space="preserve"> </w:t>
      </w:r>
      <w:r w:rsidR="00FE5A32" w:rsidRPr="00DD1D79">
        <w:rPr>
          <w:rFonts w:ascii="Segoe UI" w:hAnsi="Segoe UI" w:cs="Segoe UI"/>
          <w:sz w:val="24"/>
          <w:szCs w:val="24"/>
        </w:rPr>
        <w:t>la mise en cohérence des PTA avec le Programme d’Action du Gouvernement</w:t>
      </w:r>
      <w:r w:rsidR="00FE5A32" w:rsidRPr="00DD1D79">
        <w:rPr>
          <w:rFonts w:ascii="Segoe UI" w:hAnsi="Segoe UI" w:cs="Segoe UI"/>
          <w:caps/>
          <w:sz w:val="24"/>
          <w:szCs w:val="24"/>
        </w:rPr>
        <w:t xml:space="preserve"> (Pag) ;</w:t>
      </w:r>
    </w:p>
    <w:p w:rsidR="00FE5A32" w:rsidRPr="00DD1D79" w:rsidRDefault="00DD1D79" w:rsidP="00DD1D79">
      <w:pPr>
        <w:spacing w:after="0" w:line="360" w:lineRule="auto"/>
        <w:ind w:left="360"/>
        <w:jc w:val="both"/>
        <w:rPr>
          <w:rFonts w:ascii="Segoe UI" w:hAnsi="Segoe UI" w:cs="Segoe UI"/>
          <w:sz w:val="24"/>
          <w:szCs w:val="24"/>
        </w:rPr>
      </w:pPr>
      <w:r>
        <w:rPr>
          <w:rFonts w:ascii="Segoe UI" w:hAnsi="Segoe UI" w:cs="Segoe UI"/>
          <w:sz w:val="24"/>
          <w:szCs w:val="24"/>
        </w:rPr>
        <w:t>-</w:t>
      </w:r>
      <w:r w:rsidR="00DF4C34">
        <w:rPr>
          <w:rFonts w:ascii="Segoe UI" w:hAnsi="Segoe UI" w:cs="Segoe UI"/>
          <w:sz w:val="24"/>
          <w:szCs w:val="24"/>
        </w:rPr>
        <w:t xml:space="preserve"> </w:t>
      </w:r>
      <w:r w:rsidR="00C8644B" w:rsidRPr="00DD1D79">
        <w:rPr>
          <w:rFonts w:ascii="Segoe UI" w:hAnsi="Segoe UI" w:cs="Segoe UI"/>
          <w:sz w:val="24"/>
          <w:szCs w:val="24"/>
        </w:rPr>
        <w:t>l</w:t>
      </w:r>
      <w:r w:rsidR="00FE5A32" w:rsidRPr="00DD1D79">
        <w:rPr>
          <w:rFonts w:ascii="Segoe UI" w:hAnsi="Segoe UI" w:cs="Segoe UI"/>
          <w:caps/>
          <w:sz w:val="24"/>
          <w:szCs w:val="24"/>
        </w:rPr>
        <w:t>’</w:t>
      </w:r>
      <w:r w:rsidR="00FE5A32" w:rsidRPr="00DD1D79">
        <w:rPr>
          <w:rFonts w:ascii="Segoe UI" w:hAnsi="Segoe UI" w:cs="Segoe UI"/>
          <w:sz w:val="24"/>
          <w:szCs w:val="24"/>
        </w:rPr>
        <w:t>arrimage des engagements de d</w:t>
      </w:r>
      <w:r w:rsidR="00542385" w:rsidRPr="00DD1D79">
        <w:rPr>
          <w:rFonts w:ascii="Segoe UI" w:hAnsi="Segoe UI" w:cs="Segoe UI"/>
          <w:sz w:val="24"/>
          <w:szCs w:val="24"/>
        </w:rPr>
        <w:t>é</w:t>
      </w:r>
      <w:r w:rsidR="00FE5A32" w:rsidRPr="00DD1D79">
        <w:rPr>
          <w:rFonts w:ascii="Segoe UI" w:hAnsi="Segoe UI" w:cs="Segoe UI"/>
          <w:sz w:val="24"/>
          <w:szCs w:val="24"/>
        </w:rPr>
        <w:t>penses av</w:t>
      </w:r>
      <w:r w:rsidR="00542385" w:rsidRPr="00DD1D79">
        <w:rPr>
          <w:rFonts w:ascii="Segoe UI" w:hAnsi="Segoe UI" w:cs="Segoe UI"/>
          <w:sz w:val="24"/>
          <w:szCs w:val="24"/>
        </w:rPr>
        <w:t>ec le rythme de recouvrement des ressources ;</w:t>
      </w:r>
    </w:p>
    <w:p w:rsidR="00542385" w:rsidRPr="00DD1D79" w:rsidRDefault="00DD1D79" w:rsidP="00DD1D79">
      <w:pPr>
        <w:spacing w:after="0" w:line="360" w:lineRule="auto"/>
        <w:ind w:left="360"/>
        <w:jc w:val="both"/>
        <w:rPr>
          <w:rFonts w:ascii="Segoe UI" w:hAnsi="Segoe UI" w:cs="Segoe UI"/>
          <w:sz w:val="24"/>
          <w:szCs w:val="24"/>
        </w:rPr>
      </w:pPr>
      <w:r>
        <w:rPr>
          <w:rFonts w:ascii="Segoe UI" w:hAnsi="Segoe UI" w:cs="Segoe UI"/>
          <w:sz w:val="24"/>
          <w:szCs w:val="24"/>
        </w:rPr>
        <w:t>-</w:t>
      </w:r>
      <w:r w:rsidR="00DF4C34">
        <w:rPr>
          <w:rFonts w:ascii="Segoe UI" w:hAnsi="Segoe UI" w:cs="Segoe UI"/>
          <w:sz w:val="24"/>
          <w:szCs w:val="24"/>
        </w:rPr>
        <w:t xml:space="preserve"> </w:t>
      </w:r>
      <w:r w:rsidR="00DD15A1" w:rsidRPr="00DD1D79">
        <w:rPr>
          <w:rFonts w:ascii="Segoe UI" w:hAnsi="Segoe UI" w:cs="Segoe UI"/>
          <w:sz w:val="24"/>
          <w:szCs w:val="24"/>
        </w:rPr>
        <w:t>l</w:t>
      </w:r>
      <w:r w:rsidR="00542385" w:rsidRPr="00DD1D79">
        <w:rPr>
          <w:rFonts w:ascii="Segoe UI" w:hAnsi="Segoe UI" w:cs="Segoe UI"/>
          <w:sz w:val="24"/>
          <w:szCs w:val="24"/>
        </w:rPr>
        <w:t>a revue quotidienne de la dépense pour assurer des gains d’efficience ;</w:t>
      </w:r>
    </w:p>
    <w:p w:rsidR="004A7880" w:rsidRPr="00DD1D79" w:rsidRDefault="00DD1D79" w:rsidP="00DD1D79">
      <w:pPr>
        <w:spacing w:after="0" w:line="360" w:lineRule="auto"/>
        <w:ind w:left="360"/>
        <w:jc w:val="both"/>
        <w:rPr>
          <w:rFonts w:ascii="Segoe UI" w:hAnsi="Segoe UI" w:cs="Segoe UI"/>
          <w:sz w:val="24"/>
          <w:szCs w:val="24"/>
        </w:rPr>
      </w:pPr>
      <w:r>
        <w:rPr>
          <w:rFonts w:ascii="Segoe UI" w:hAnsi="Segoe UI" w:cs="Segoe UI"/>
          <w:sz w:val="24"/>
          <w:szCs w:val="24"/>
        </w:rPr>
        <w:t>-</w:t>
      </w:r>
      <w:r w:rsidR="00DF4C34">
        <w:rPr>
          <w:rFonts w:ascii="Segoe UI" w:hAnsi="Segoe UI" w:cs="Segoe UI"/>
          <w:sz w:val="24"/>
          <w:szCs w:val="24"/>
        </w:rPr>
        <w:t xml:space="preserve"> </w:t>
      </w:r>
      <w:r w:rsidR="00DD15A1" w:rsidRPr="00DD1D79">
        <w:rPr>
          <w:rFonts w:ascii="Segoe UI" w:hAnsi="Segoe UI" w:cs="Segoe UI"/>
          <w:sz w:val="24"/>
          <w:szCs w:val="24"/>
        </w:rPr>
        <w:t>l</w:t>
      </w:r>
      <w:r w:rsidR="00542385" w:rsidRPr="00DD1D79">
        <w:rPr>
          <w:rFonts w:ascii="Segoe UI" w:hAnsi="Segoe UI" w:cs="Segoe UI"/>
          <w:sz w:val="24"/>
          <w:szCs w:val="24"/>
        </w:rPr>
        <w:t>a restructuration du cadre de gouvernance du portefeuille d’investissement public.</w:t>
      </w:r>
    </w:p>
    <w:p w:rsidR="00DC50B5" w:rsidRPr="004A7880" w:rsidRDefault="00B04A0E" w:rsidP="004A7880">
      <w:pPr>
        <w:spacing w:after="0" w:line="360" w:lineRule="auto"/>
        <w:jc w:val="both"/>
        <w:rPr>
          <w:rFonts w:ascii="Segoe UI" w:hAnsi="Segoe UI" w:cs="Segoe UI"/>
          <w:sz w:val="24"/>
          <w:szCs w:val="24"/>
        </w:rPr>
      </w:pPr>
      <w:r w:rsidRPr="004A7880">
        <w:rPr>
          <w:rFonts w:ascii="Segoe UI" w:hAnsi="Segoe UI" w:cs="Segoe UI"/>
          <w:sz w:val="24"/>
          <w:szCs w:val="24"/>
        </w:rPr>
        <w:t>Cela s’est traduit à fin juin 2017 par des  taux de r</w:t>
      </w:r>
      <w:r w:rsidR="004A7880">
        <w:rPr>
          <w:rFonts w:ascii="Segoe UI" w:hAnsi="Segoe UI" w:cs="Segoe UI"/>
          <w:sz w:val="24"/>
          <w:szCs w:val="24"/>
        </w:rPr>
        <w:t>ecouvrement</w:t>
      </w:r>
      <w:r w:rsidRPr="004A7880">
        <w:rPr>
          <w:rFonts w:ascii="Segoe UI" w:hAnsi="Segoe UI" w:cs="Segoe UI"/>
          <w:sz w:val="24"/>
          <w:szCs w:val="24"/>
        </w:rPr>
        <w:t xml:space="preserve"> de ressources et </w:t>
      </w:r>
      <w:r w:rsidR="0025056C">
        <w:rPr>
          <w:rFonts w:ascii="Segoe UI" w:hAnsi="Segoe UI" w:cs="Segoe UI"/>
          <w:sz w:val="24"/>
          <w:szCs w:val="24"/>
        </w:rPr>
        <w:t>d’exécution</w:t>
      </w:r>
      <w:r w:rsidRPr="004A7880">
        <w:rPr>
          <w:rFonts w:ascii="Segoe UI" w:hAnsi="Segoe UI" w:cs="Segoe UI"/>
          <w:sz w:val="24"/>
          <w:szCs w:val="24"/>
        </w:rPr>
        <w:t xml:space="preserve"> de</w:t>
      </w:r>
      <w:r w:rsidR="00164657" w:rsidRPr="004A7880">
        <w:rPr>
          <w:rFonts w:ascii="Segoe UI" w:hAnsi="Segoe UI" w:cs="Segoe UI"/>
          <w:sz w:val="24"/>
          <w:szCs w:val="24"/>
        </w:rPr>
        <w:t xml:space="preserve">s charges </w:t>
      </w:r>
      <w:r w:rsidR="0048367E" w:rsidRPr="004A7880">
        <w:rPr>
          <w:rFonts w:ascii="Segoe UI" w:hAnsi="Segoe UI" w:cs="Segoe UI"/>
          <w:sz w:val="24"/>
          <w:szCs w:val="24"/>
        </w:rPr>
        <w:t xml:space="preserve">respectivement de </w:t>
      </w:r>
      <w:r w:rsidRPr="004A7880">
        <w:rPr>
          <w:rFonts w:ascii="Segoe UI" w:hAnsi="Segoe UI" w:cs="Segoe UI"/>
          <w:sz w:val="24"/>
          <w:szCs w:val="24"/>
        </w:rPr>
        <w:t>4</w:t>
      </w:r>
      <w:r w:rsidR="002C4906" w:rsidRPr="004A7880">
        <w:rPr>
          <w:rFonts w:ascii="Segoe UI" w:hAnsi="Segoe UI" w:cs="Segoe UI"/>
          <w:sz w:val="24"/>
          <w:szCs w:val="24"/>
        </w:rPr>
        <w:t>5,6</w:t>
      </w:r>
      <w:r w:rsidR="008408DE" w:rsidRPr="004A7880">
        <w:rPr>
          <w:rFonts w:ascii="Segoe UI" w:hAnsi="Segoe UI" w:cs="Segoe UI"/>
          <w:sz w:val="24"/>
          <w:szCs w:val="24"/>
        </w:rPr>
        <w:t xml:space="preserve">% et </w:t>
      </w:r>
      <w:r w:rsidR="0048367E" w:rsidRPr="004A7880">
        <w:rPr>
          <w:rFonts w:ascii="Segoe UI" w:hAnsi="Segoe UI" w:cs="Segoe UI"/>
          <w:sz w:val="24"/>
          <w:szCs w:val="24"/>
        </w:rPr>
        <w:t>41,</w:t>
      </w:r>
      <w:r w:rsidR="002C4906" w:rsidRPr="004A7880">
        <w:rPr>
          <w:rFonts w:ascii="Segoe UI" w:hAnsi="Segoe UI" w:cs="Segoe UI"/>
          <w:sz w:val="24"/>
          <w:szCs w:val="24"/>
        </w:rPr>
        <w:t>8</w:t>
      </w:r>
      <w:r w:rsidRPr="004A7880">
        <w:rPr>
          <w:rFonts w:ascii="Segoe UI" w:hAnsi="Segoe UI" w:cs="Segoe UI"/>
          <w:sz w:val="24"/>
          <w:szCs w:val="24"/>
        </w:rPr>
        <w:t xml:space="preserve">%. </w:t>
      </w:r>
    </w:p>
    <w:p w:rsidR="00831F1F" w:rsidRPr="00171746" w:rsidRDefault="00DC50B5" w:rsidP="00C01AD2">
      <w:pPr>
        <w:spacing w:after="0" w:line="360" w:lineRule="auto"/>
        <w:jc w:val="both"/>
        <w:rPr>
          <w:rFonts w:ascii="Segoe UI" w:hAnsi="Segoe UI" w:cs="Segoe UI"/>
          <w:sz w:val="24"/>
          <w:szCs w:val="24"/>
        </w:rPr>
      </w:pPr>
      <w:r>
        <w:rPr>
          <w:rFonts w:ascii="Segoe UI" w:hAnsi="Segoe UI" w:cs="Segoe UI"/>
          <w:sz w:val="24"/>
          <w:szCs w:val="24"/>
        </w:rPr>
        <w:t>En terme</w:t>
      </w:r>
      <w:r w:rsidR="00003229">
        <w:rPr>
          <w:rFonts w:ascii="Segoe UI" w:hAnsi="Segoe UI" w:cs="Segoe UI"/>
          <w:sz w:val="24"/>
          <w:szCs w:val="24"/>
        </w:rPr>
        <w:t>s</w:t>
      </w:r>
      <w:r>
        <w:rPr>
          <w:rFonts w:ascii="Segoe UI" w:hAnsi="Segoe UI" w:cs="Segoe UI"/>
          <w:sz w:val="24"/>
          <w:szCs w:val="24"/>
        </w:rPr>
        <w:t xml:space="preserve"> de perspectives pour la suite de l’année 2017, les mesures </w:t>
      </w:r>
      <w:r w:rsidR="00836679">
        <w:rPr>
          <w:rFonts w:ascii="Segoe UI" w:hAnsi="Segoe UI" w:cs="Segoe UI"/>
          <w:sz w:val="24"/>
          <w:szCs w:val="24"/>
        </w:rPr>
        <w:t>budgétaires ci-dessus énumérées</w:t>
      </w:r>
      <w:r w:rsidR="009D63B5">
        <w:rPr>
          <w:rFonts w:ascii="Segoe UI" w:hAnsi="Segoe UI" w:cs="Segoe UI"/>
          <w:sz w:val="24"/>
          <w:szCs w:val="24"/>
        </w:rPr>
        <w:t xml:space="preserve"> </w:t>
      </w:r>
      <w:r>
        <w:rPr>
          <w:rFonts w:ascii="Segoe UI" w:hAnsi="Segoe UI" w:cs="Segoe UI"/>
          <w:sz w:val="24"/>
          <w:szCs w:val="24"/>
        </w:rPr>
        <w:t>continueront à être appliquées</w:t>
      </w:r>
      <w:r w:rsidR="00D0229A">
        <w:rPr>
          <w:rFonts w:ascii="Segoe UI" w:hAnsi="Segoe UI" w:cs="Segoe UI"/>
          <w:sz w:val="24"/>
          <w:szCs w:val="24"/>
        </w:rPr>
        <w:t>.</w:t>
      </w:r>
      <w:r w:rsidR="0068131A">
        <w:rPr>
          <w:rFonts w:ascii="Segoe UI" w:hAnsi="Segoe UI" w:cs="Segoe UI"/>
          <w:sz w:val="24"/>
          <w:szCs w:val="24"/>
        </w:rPr>
        <w:t xml:space="preserve"> </w:t>
      </w:r>
      <w:r w:rsidR="002972B3">
        <w:rPr>
          <w:rFonts w:ascii="Segoe UI" w:hAnsi="Segoe UI" w:cs="Segoe UI"/>
          <w:sz w:val="24"/>
          <w:szCs w:val="24"/>
        </w:rPr>
        <w:t xml:space="preserve">En conséquence, une célérité devra être observée </w:t>
      </w:r>
      <w:r w:rsidR="00836679">
        <w:rPr>
          <w:rFonts w:ascii="Segoe UI" w:hAnsi="Segoe UI" w:cs="Segoe UI"/>
          <w:sz w:val="24"/>
          <w:szCs w:val="24"/>
        </w:rPr>
        <w:t xml:space="preserve">au second semestre </w:t>
      </w:r>
      <w:r w:rsidR="002972B3">
        <w:rPr>
          <w:rFonts w:ascii="Segoe UI" w:hAnsi="Segoe UI" w:cs="Segoe UI"/>
          <w:sz w:val="24"/>
          <w:szCs w:val="24"/>
        </w:rPr>
        <w:t>dans le traitement des dossiers de marché pour le lancement des actions d’investissement en cours.</w:t>
      </w:r>
      <w:r w:rsidR="0068131A">
        <w:rPr>
          <w:rFonts w:ascii="Segoe UI" w:hAnsi="Segoe UI" w:cs="Segoe UI"/>
          <w:sz w:val="24"/>
          <w:szCs w:val="24"/>
        </w:rPr>
        <w:t xml:space="preserve"> </w:t>
      </w:r>
      <w:r w:rsidR="00820458">
        <w:rPr>
          <w:rFonts w:ascii="Segoe UI" w:hAnsi="Segoe UI" w:cs="Segoe UI"/>
          <w:sz w:val="24"/>
          <w:szCs w:val="24"/>
        </w:rPr>
        <w:t xml:space="preserve"> </w:t>
      </w:r>
      <w:r w:rsidR="00154FED">
        <w:rPr>
          <w:rFonts w:ascii="Segoe UI" w:hAnsi="Segoe UI" w:cs="Segoe UI"/>
          <w:sz w:val="24"/>
          <w:szCs w:val="24"/>
        </w:rPr>
        <w:t xml:space="preserve">  </w:t>
      </w:r>
    </w:p>
    <w:p w:rsidR="003167FA" w:rsidRDefault="00334AC0" w:rsidP="003167FA">
      <w:pPr>
        <w:spacing w:after="0" w:line="360" w:lineRule="auto"/>
        <w:jc w:val="both"/>
        <w:rPr>
          <w:rFonts w:ascii="Segoe UI" w:hAnsi="Segoe UI" w:cs="Segoe UI"/>
          <w:color w:val="000000"/>
          <w:sz w:val="24"/>
          <w:szCs w:val="24"/>
        </w:rPr>
      </w:pPr>
      <w:r w:rsidRPr="00BB2BCE">
        <w:rPr>
          <w:rFonts w:ascii="Segoe UI" w:hAnsi="Segoe UI" w:cs="Segoe UI"/>
          <w:color w:val="000000"/>
          <w:sz w:val="24"/>
          <w:szCs w:val="24"/>
        </w:rPr>
        <w:t>Le présent rapport</w:t>
      </w:r>
      <w:r w:rsidR="003167FA">
        <w:rPr>
          <w:rFonts w:ascii="Segoe UI" w:hAnsi="Segoe UI" w:cs="Segoe UI"/>
          <w:color w:val="000000"/>
          <w:sz w:val="24"/>
          <w:szCs w:val="24"/>
        </w:rPr>
        <w:t xml:space="preserve"> rend compte pour les six </w:t>
      </w:r>
      <w:r w:rsidR="002A4B83">
        <w:rPr>
          <w:rFonts w:ascii="Segoe UI" w:hAnsi="Segoe UI" w:cs="Segoe UI"/>
          <w:color w:val="000000"/>
          <w:sz w:val="24"/>
          <w:szCs w:val="24"/>
        </w:rPr>
        <w:t>premiers mois de l’année 2017, du</w:t>
      </w:r>
      <w:r w:rsidR="003167FA">
        <w:rPr>
          <w:rFonts w:ascii="Segoe UI" w:hAnsi="Segoe UI" w:cs="Segoe UI"/>
          <w:color w:val="000000"/>
          <w:sz w:val="24"/>
          <w:szCs w:val="24"/>
        </w:rPr>
        <w:t xml:space="preserve"> niveau de mobilisation des ressources </w:t>
      </w:r>
      <w:r w:rsidR="00836679">
        <w:rPr>
          <w:rFonts w:ascii="Segoe UI" w:hAnsi="Segoe UI" w:cs="Segoe UI"/>
          <w:color w:val="000000"/>
          <w:sz w:val="24"/>
          <w:szCs w:val="24"/>
        </w:rPr>
        <w:t xml:space="preserve">et de </w:t>
      </w:r>
      <w:r w:rsidR="003167FA">
        <w:rPr>
          <w:rFonts w:ascii="Segoe UI" w:hAnsi="Segoe UI" w:cs="Segoe UI"/>
          <w:color w:val="000000"/>
          <w:sz w:val="24"/>
          <w:szCs w:val="24"/>
        </w:rPr>
        <w:t>celui de couverture des charges</w:t>
      </w:r>
      <w:r w:rsidR="004B1112">
        <w:rPr>
          <w:rFonts w:ascii="Segoe UI" w:hAnsi="Segoe UI" w:cs="Segoe UI"/>
          <w:color w:val="000000"/>
          <w:sz w:val="24"/>
          <w:szCs w:val="24"/>
        </w:rPr>
        <w:t xml:space="preserve"> sans occulter l’environnement économique et budgétaire dans lequel les différentes opérations budgétaires et de trésorerie ont évolué</w:t>
      </w:r>
      <w:r w:rsidR="003167FA">
        <w:rPr>
          <w:rFonts w:ascii="Segoe UI" w:hAnsi="Segoe UI" w:cs="Segoe UI"/>
          <w:color w:val="000000"/>
          <w:sz w:val="24"/>
          <w:szCs w:val="24"/>
        </w:rPr>
        <w:t xml:space="preserve">. </w:t>
      </w:r>
    </w:p>
    <w:p w:rsidR="003167FA" w:rsidRDefault="003167FA" w:rsidP="003167FA">
      <w:pPr>
        <w:spacing w:after="0" w:line="360" w:lineRule="auto"/>
        <w:jc w:val="both"/>
        <w:rPr>
          <w:rFonts w:ascii="Segoe UI" w:hAnsi="Segoe UI" w:cs="Segoe UI"/>
          <w:color w:val="000000"/>
          <w:sz w:val="24"/>
          <w:szCs w:val="24"/>
        </w:rPr>
      </w:pPr>
    </w:p>
    <w:p w:rsidR="003167FA" w:rsidRDefault="003167FA" w:rsidP="003167FA">
      <w:pPr>
        <w:spacing w:after="0" w:line="360" w:lineRule="auto"/>
        <w:jc w:val="both"/>
        <w:rPr>
          <w:rFonts w:ascii="Segoe UI" w:hAnsi="Segoe UI" w:cs="Segoe UI"/>
          <w:color w:val="000000"/>
          <w:sz w:val="24"/>
          <w:szCs w:val="24"/>
        </w:rPr>
      </w:pPr>
    </w:p>
    <w:p w:rsidR="003167FA" w:rsidRDefault="003167FA" w:rsidP="003167FA">
      <w:pPr>
        <w:spacing w:after="0" w:line="360" w:lineRule="auto"/>
        <w:jc w:val="both"/>
        <w:rPr>
          <w:rFonts w:ascii="Segoe UI" w:hAnsi="Segoe UI" w:cs="Segoe UI"/>
          <w:color w:val="000000"/>
          <w:sz w:val="24"/>
          <w:szCs w:val="24"/>
        </w:rPr>
      </w:pPr>
    </w:p>
    <w:p w:rsidR="003167FA" w:rsidRDefault="003167FA" w:rsidP="003167FA">
      <w:pPr>
        <w:spacing w:after="0" w:line="360" w:lineRule="auto"/>
        <w:jc w:val="both"/>
        <w:rPr>
          <w:rFonts w:ascii="Segoe UI" w:hAnsi="Segoe UI" w:cs="Segoe UI"/>
          <w:color w:val="000000"/>
          <w:sz w:val="24"/>
          <w:szCs w:val="24"/>
        </w:rPr>
      </w:pPr>
    </w:p>
    <w:p w:rsidR="003167FA" w:rsidRDefault="003167FA" w:rsidP="003167FA">
      <w:pPr>
        <w:spacing w:after="0" w:line="360" w:lineRule="auto"/>
        <w:jc w:val="both"/>
        <w:rPr>
          <w:rFonts w:ascii="Segoe UI" w:hAnsi="Segoe UI" w:cs="Segoe UI"/>
          <w:color w:val="000000"/>
          <w:sz w:val="24"/>
          <w:szCs w:val="24"/>
        </w:rPr>
      </w:pPr>
    </w:p>
    <w:p w:rsidR="004A7383" w:rsidRPr="00370A03" w:rsidRDefault="00667C3E" w:rsidP="00370A03">
      <w:pPr>
        <w:pStyle w:val="Titre1"/>
        <w:numPr>
          <w:ilvl w:val="0"/>
          <w:numId w:val="1"/>
        </w:numPr>
        <w:spacing w:before="360"/>
        <w:rPr>
          <w:rFonts w:ascii="Segoe UI" w:hAnsi="Segoe UI" w:cs="Segoe UI"/>
        </w:rPr>
      </w:pPr>
      <w:bookmarkStart w:id="3" w:name="_Toc496024996"/>
      <w:r w:rsidRPr="00370A03">
        <w:rPr>
          <w:rFonts w:ascii="Segoe UI" w:hAnsi="Segoe UI" w:cs="Segoe UI"/>
        </w:rPr>
        <w:lastRenderedPageBreak/>
        <w:t>SITUATION</w:t>
      </w:r>
      <w:r w:rsidR="004A7383" w:rsidRPr="00370A03">
        <w:rPr>
          <w:rFonts w:ascii="Segoe UI" w:hAnsi="Segoe UI" w:cs="Segoe UI"/>
        </w:rPr>
        <w:t xml:space="preserve"> ECONOMIQUE</w:t>
      </w:r>
      <w:r w:rsidRPr="00370A03">
        <w:rPr>
          <w:rFonts w:ascii="Segoe UI" w:hAnsi="Segoe UI" w:cs="Segoe UI"/>
        </w:rPr>
        <w:t xml:space="preserve"> A FIN </w:t>
      </w:r>
      <w:r w:rsidR="00C1032E" w:rsidRPr="00370A03">
        <w:rPr>
          <w:rFonts w:ascii="Segoe UI" w:hAnsi="Segoe UI" w:cs="Segoe UI"/>
        </w:rPr>
        <w:t>JUIN</w:t>
      </w:r>
      <w:r w:rsidRPr="00370A03">
        <w:rPr>
          <w:rFonts w:ascii="Segoe UI" w:hAnsi="Segoe UI" w:cs="Segoe UI"/>
        </w:rPr>
        <w:t xml:space="preserve"> 201</w:t>
      </w:r>
      <w:r w:rsidR="00C1032E" w:rsidRPr="00370A03">
        <w:rPr>
          <w:rFonts w:ascii="Segoe UI" w:hAnsi="Segoe UI" w:cs="Segoe UI"/>
        </w:rPr>
        <w:t>7</w:t>
      </w:r>
      <w:bookmarkEnd w:id="3"/>
    </w:p>
    <w:p w:rsidR="007C54FF" w:rsidRPr="00BB2BCE" w:rsidRDefault="007C54FF" w:rsidP="007C54FF"/>
    <w:p w:rsidR="004A7383" w:rsidRPr="00535867" w:rsidRDefault="00667C3E" w:rsidP="00535867">
      <w:pPr>
        <w:pStyle w:val="Titre2"/>
        <w:numPr>
          <w:ilvl w:val="0"/>
          <w:numId w:val="4"/>
        </w:numPr>
        <w:spacing w:before="0"/>
        <w:rPr>
          <w:rFonts w:ascii="Segoe UI" w:hAnsi="Segoe UI" w:cs="Segoe UI"/>
        </w:rPr>
      </w:pPr>
      <w:bookmarkStart w:id="4" w:name="_Toc496024997"/>
      <w:r w:rsidRPr="00535867">
        <w:rPr>
          <w:rFonts w:ascii="Segoe UI" w:hAnsi="Segoe UI" w:cs="Segoe UI"/>
        </w:rPr>
        <w:t>Environnement</w:t>
      </w:r>
      <w:r w:rsidR="00A4184A" w:rsidRPr="00535867">
        <w:rPr>
          <w:rFonts w:ascii="Segoe UI" w:hAnsi="Segoe UI" w:cs="Segoe UI"/>
        </w:rPr>
        <w:t xml:space="preserve"> </w:t>
      </w:r>
      <w:r w:rsidR="005F26D5" w:rsidRPr="00535867">
        <w:rPr>
          <w:rFonts w:ascii="Segoe UI" w:hAnsi="Segoe UI" w:cs="Segoe UI"/>
        </w:rPr>
        <w:t>économique</w:t>
      </w:r>
      <w:r w:rsidR="004A7383" w:rsidRPr="00535867">
        <w:rPr>
          <w:rFonts w:ascii="Segoe UI" w:hAnsi="Segoe UI" w:cs="Segoe UI"/>
        </w:rPr>
        <w:t xml:space="preserve"> international</w:t>
      </w:r>
      <w:bookmarkEnd w:id="4"/>
    </w:p>
    <w:p w:rsidR="005346D2" w:rsidRPr="00343DE3" w:rsidRDefault="005346D2" w:rsidP="006A5F75">
      <w:pPr>
        <w:autoSpaceDE w:val="0"/>
        <w:autoSpaceDN w:val="0"/>
        <w:adjustRightInd w:val="0"/>
        <w:spacing w:after="0" w:line="360" w:lineRule="auto"/>
        <w:jc w:val="both"/>
        <w:rPr>
          <w:rFonts w:ascii="Segoe UI" w:hAnsi="Segoe UI" w:cs="Segoe UI"/>
          <w:color w:val="FF0000"/>
          <w:sz w:val="10"/>
          <w:szCs w:val="10"/>
          <w:highlight w:val="yellow"/>
        </w:rPr>
      </w:pPr>
    </w:p>
    <w:p w:rsidR="00284C5A" w:rsidRPr="00284C5A" w:rsidRDefault="00284C5A" w:rsidP="00284C5A">
      <w:pPr>
        <w:tabs>
          <w:tab w:val="left" w:pos="4820"/>
        </w:tabs>
        <w:spacing w:before="120" w:after="120" w:line="360" w:lineRule="auto"/>
        <w:jc w:val="both"/>
        <w:rPr>
          <w:rFonts w:ascii="Segoe UI" w:hAnsi="Segoe UI" w:cs="Segoe UI"/>
          <w:sz w:val="24"/>
        </w:rPr>
      </w:pPr>
      <w:r w:rsidRPr="00284C5A">
        <w:rPr>
          <w:rFonts w:ascii="Segoe UI" w:hAnsi="Segoe UI" w:cs="Segoe UI"/>
          <w:sz w:val="24"/>
        </w:rPr>
        <w:t xml:space="preserve">L’économie mondiale poursuit son expansion, soutenue par la reprise de la consommation, de l’investissement et du commerce international. En  perspectives, la croissance du PIB mondial devrait se renforcer pour atteindre 3,5% en 2017 après 3,1% en 2016, selon le FMI. </w:t>
      </w:r>
    </w:p>
    <w:p w:rsidR="00284C5A" w:rsidRPr="00284C5A" w:rsidRDefault="00284C5A" w:rsidP="00284C5A">
      <w:pPr>
        <w:tabs>
          <w:tab w:val="left" w:pos="4820"/>
        </w:tabs>
        <w:spacing w:before="120" w:after="120" w:line="360" w:lineRule="auto"/>
        <w:jc w:val="both"/>
        <w:rPr>
          <w:rFonts w:ascii="Segoe UI" w:hAnsi="Segoe UI" w:cs="Segoe UI"/>
          <w:sz w:val="24"/>
        </w:rPr>
      </w:pPr>
      <w:r w:rsidRPr="00284C5A">
        <w:rPr>
          <w:rFonts w:ascii="Segoe UI" w:hAnsi="Segoe UI" w:cs="Segoe UI"/>
          <w:b/>
          <w:sz w:val="24"/>
        </w:rPr>
        <w:t>Aux Etats-Unis</w:t>
      </w:r>
      <w:r w:rsidRPr="00284C5A">
        <w:rPr>
          <w:rFonts w:ascii="Segoe UI" w:hAnsi="Segoe UI" w:cs="Segoe UI"/>
          <w:sz w:val="24"/>
        </w:rPr>
        <w:t>,  l’économie américaine rebondit après un début d’année difficile. La croissance de l’activité du secteur privé se poursuit à un rythme soutenu, tiré par la consommation privée. Le taux de croissance économique devrait atteindre 2,0% en 2017% après 1,7% en 2016.</w:t>
      </w:r>
    </w:p>
    <w:p w:rsidR="00284C5A" w:rsidRPr="00284C5A" w:rsidRDefault="00284C5A" w:rsidP="00284C5A">
      <w:pPr>
        <w:tabs>
          <w:tab w:val="left" w:pos="4820"/>
        </w:tabs>
        <w:spacing w:before="120" w:after="120" w:line="360" w:lineRule="auto"/>
        <w:jc w:val="both"/>
        <w:rPr>
          <w:rFonts w:ascii="Segoe UI" w:hAnsi="Segoe UI" w:cs="Segoe UI"/>
          <w:sz w:val="24"/>
        </w:rPr>
      </w:pPr>
      <w:r w:rsidRPr="00284C5A">
        <w:rPr>
          <w:rFonts w:ascii="Segoe UI" w:hAnsi="Segoe UI" w:cs="Segoe UI"/>
          <w:b/>
          <w:sz w:val="24"/>
        </w:rPr>
        <w:t>Dans la zone euro</w:t>
      </w:r>
      <w:r w:rsidRPr="00284C5A">
        <w:rPr>
          <w:rFonts w:ascii="Segoe UI" w:hAnsi="Segoe UI" w:cs="Segoe UI"/>
          <w:sz w:val="24"/>
        </w:rPr>
        <w:t xml:space="preserve">, la croissance devrait rester dynamique. La BCE a relevé ses prévisions  de croissance pour la zone euro de 0,1 point à 1,9% pour 2017 et à 1,8% en 2018 (après 1,7% en 2016).  La  production industrielle a augmenté de 1,3% en mai et de 4,0% sur un an. Le taux d’inflation s’est établi à 1,4% en juin après 1,6% en mai, niveau en deçà de la cible de la BCE. </w:t>
      </w:r>
    </w:p>
    <w:p w:rsidR="00284C5A" w:rsidRPr="00284C5A" w:rsidRDefault="00284C5A" w:rsidP="00284C5A">
      <w:pPr>
        <w:tabs>
          <w:tab w:val="left" w:pos="4820"/>
        </w:tabs>
        <w:spacing w:before="120" w:after="120" w:line="360" w:lineRule="auto"/>
        <w:jc w:val="both"/>
        <w:rPr>
          <w:rFonts w:ascii="Segoe UI" w:hAnsi="Segoe UI" w:cs="Segoe UI"/>
          <w:sz w:val="24"/>
        </w:rPr>
      </w:pPr>
      <w:r w:rsidRPr="00284C5A">
        <w:rPr>
          <w:rFonts w:ascii="Segoe UI" w:hAnsi="Segoe UI" w:cs="Segoe UI"/>
          <w:b/>
          <w:sz w:val="24"/>
        </w:rPr>
        <w:t>En Chine</w:t>
      </w:r>
      <w:r w:rsidRPr="00284C5A">
        <w:rPr>
          <w:rFonts w:ascii="Segoe UI" w:hAnsi="Segoe UI" w:cs="Segoe UI"/>
          <w:sz w:val="24"/>
        </w:rPr>
        <w:t xml:space="preserve">, prévue à 6,6% en 2017 après 6,7% en 2016 selon le FMI, la croissance de l’économie chinoise devrait rester soutenue. Les indicateurs de haute fréquence s’avèrent globalement favorables, comme le signale la progression des ventes au détail (10,9% en juin après 10,7% en mai). </w:t>
      </w:r>
    </w:p>
    <w:p w:rsidR="007C54FF" w:rsidRPr="00535867" w:rsidRDefault="007C54FF" w:rsidP="00535867">
      <w:pPr>
        <w:pStyle w:val="Titre2"/>
        <w:numPr>
          <w:ilvl w:val="0"/>
          <w:numId w:val="4"/>
        </w:numPr>
        <w:spacing w:before="0"/>
        <w:rPr>
          <w:rFonts w:ascii="Segoe UI" w:hAnsi="Segoe UI" w:cs="Segoe UI"/>
        </w:rPr>
      </w:pPr>
      <w:bookmarkStart w:id="5" w:name="_Toc496024998"/>
      <w:r w:rsidRPr="00535867">
        <w:rPr>
          <w:rFonts w:ascii="Segoe UI" w:hAnsi="Segoe UI" w:cs="Segoe UI"/>
        </w:rPr>
        <w:t>Environnement national et perspectives</w:t>
      </w:r>
      <w:bookmarkEnd w:id="5"/>
    </w:p>
    <w:p w:rsidR="005F26D5" w:rsidRPr="005F26D5" w:rsidRDefault="005F26D5" w:rsidP="005F26D5">
      <w:pPr>
        <w:tabs>
          <w:tab w:val="left" w:pos="4820"/>
        </w:tabs>
        <w:spacing w:before="120" w:after="120" w:line="360" w:lineRule="auto"/>
        <w:jc w:val="both"/>
        <w:rPr>
          <w:rFonts w:ascii="Segoe UI" w:hAnsi="Segoe UI" w:cs="Segoe UI"/>
          <w:sz w:val="24"/>
        </w:rPr>
      </w:pPr>
      <w:r w:rsidRPr="005F26D5">
        <w:rPr>
          <w:rFonts w:ascii="Segoe UI" w:hAnsi="Segoe UI" w:cs="Segoe UI"/>
          <w:sz w:val="24"/>
        </w:rPr>
        <w:t xml:space="preserve">La conjoncture économique nationale au premier semestre 2017 a été marquée, en comparaison à la même période de l’année 2016, par : i) une hausse de l’indice global du chiffre d’affaires ; ii) une hausse de l’emploi dans les grandes entreprises ; iii) un taux d’inflation ressorti négatif. </w:t>
      </w:r>
    </w:p>
    <w:p w:rsidR="005F26D5" w:rsidRPr="005F26D5" w:rsidRDefault="005F26D5" w:rsidP="005F26D5">
      <w:pPr>
        <w:spacing w:before="120" w:after="120" w:line="360" w:lineRule="auto"/>
        <w:jc w:val="both"/>
        <w:rPr>
          <w:rFonts w:ascii="Segoe UI" w:hAnsi="Segoe UI" w:cs="Segoe UI"/>
          <w:b/>
          <w:sz w:val="24"/>
        </w:rPr>
      </w:pPr>
      <w:r w:rsidRPr="005F26D5">
        <w:rPr>
          <w:rFonts w:ascii="Segoe UI" w:hAnsi="Segoe UI" w:cs="Segoe UI"/>
          <w:b/>
          <w:sz w:val="24"/>
        </w:rPr>
        <w:t>En ce qui concerne l’activité dans les entreprises</w:t>
      </w:r>
      <w:r w:rsidRPr="005F26D5">
        <w:rPr>
          <w:rFonts w:ascii="Segoe UI" w:hAnsi="Segoe UI" w:cs="Segoe UI"/>
          <w:sz w:val="24"/>
        </w:rPr>
        <w:t xml:space="preserve">, l’Indice du Chiffre d’Affaires (ICA) affiche au premier semestre 2017, une hausse moyenne de 4,2% en comparaison au premier semestre 2016. Cette hausse est portée par l’embellie de l’activité </w:t>
      </w:r>
      <w:r w:rsidRPr="005F26D5">
        <w:rPr>
          <w:rFonts w:ascii="Segoe UI" w:hAnsi="Segoe UI" w:cs="Segoe UI"/>
          <w:sz w:val="24"/>
        </w:rPr>
        <w:lastRenderedPageBreak/>
        <w:t>principalement dans les autres services (cabinets d’étude, agences de sécurité, hébergement, restauration, etc.), l’énergie, les BTP et dans une moindre mesure par la branche « transports et télécommunications). Toutefois, l’activité s’est inscrite en baisse dans l’élevage, les industries manufacturières, le commerce, les banques et assurances.</w:t>
      </w:r>
    </w:p>
    <w:p w:rsidR="00F007AD" w:rsidRPr="00807BBA" w:rsidRDefault="00F007AD" w:rsidP="00807BBA">
      <w:pPr>
        <w:pStyle w:val="Listedestableaux"/>
        <w:rPr>
          <w:rFonts w:ascii="Segoe UI" w:hAnsi="Segoe UI" w:cs="Segoe UI"/>
        </w:rPr>
      </w:pPr>
      <w:bookmarkStart w:id="6" w:name="_Toc495935936"/>
      <w:r w:rsidRPr="00807BBA">
        <w:rPr>
          <w:rFonts w:ascii="Segoe UI" w:hAnsi="Segoe UI" w:cs="Segoe UI"/>
          <w:u w:val="single"/>
        </w:rPr>
        <w:t>Tableau 1</w:t>
      </w:r>
      <w:r w:rsidRPr="00807BBA">
        <w:rPr>
          <w:rFonts w:ascii="Segoe UI" w:hAnsi="Segoe UI" w:cs="Segoe UI"/>
        </w:rPr>
        <w:t> : Indice global du chiffre d’affaires au premier semestre 2017</w:t>
      </w:r>
      <w:bookmarkEnd w:id="6"/>
    </w:p>
    <w:tbl>
      <w:tblPr>
        <w:tblW w:w="5008" w:type="pct"/>
        <w:jc w:val="center"/>
        <w:tblCellMar>
          <w:left w:w="70" w:type="dxa"/>
          <w:right w:w="70" w:type="dxa"/>
        </w:tblCellMar>
        <w:tblLook w:val="04A0" w:firstRow="1" w:lastRow="0" w:firstColumn="1" w:lastColumn="0" w:noHBand="0" w:noVBand="1"/>
      </w:tblPr>
      <w:tblGrid>
        <w:gridCol w:w="2680"/>
        <w:gridCol w:w="1500"/>
        <w:gridCol w:w="1428"/>
        <w:gridCol w:w="1435"/>
        <w:gridCol w:w="2023"/>
      </w:tblGrid>
      <w:tr w:rsidR="00F007AD" w:rsidRPr="00F007AD" w:rsidTr="00F007AD">
        <w:trPr>
          <w:trHeight w:val="1190"/>
          <w:jc w:val="center"/>
        </w:trPr>
        <w:tc>
          <w:tcPr>
            <w:tcW w:w="1476" w:type="pct"/>
            <w:tcBorders>
              <w:right w:val="single" w:sz="4" w:space="0" w:color="auto"/>
            </w:tcBorders>
            <w:shd w:val="clear" w:color="000000" w:fill="9BC2E6"/>
            <w:noWrap/>
            <w:vAlign w:val="center"/>
            <w:hideMark/>
          </w:tcPr>
          <w:p w:rsidR="00F007AD" w:rsidRPr="00F007AD" w:rsidRDefault="00F007AD" w:rsidP="00F007AD">
            <w:pPr>
              <w:rPr>
                <w:rFonts w:ascii="Segoe UI" w:hAnsi="Segoe UI" w:cs="Segoe UI"/>
                <w:color w:val="000000"/>
                <w:sz w:val="20"/>
                <w:szCs w:val="24"/>
              </w:rPr>
            </w:pPr>
          </w:p>
        </w:tc>
        <w:tc>
          <w:tcPr>
            <w:tcW w:w="828" w:type="pct"/>
            <w:tcBorders>
              <w:top w:val="single" w:sz="8" w:space="0" w:color="auto"/>
              <w:left w:val="single" w:sz="4" w:space="0" w:color="auto"/>
              <w:bottom w:val="single" w:sz="8" w:space="0" w:color="000000"/>
              <w:right w:val="single" w:sz="8" w:space="0" w:color="auto"/>
            </w:tcBorders>
            <w:shd w:val="clear" w:color="000000" w:fill="9BC2E6"/>
            <w:vAlign w:val="center"/>
          </w:tcPr>
          <w:p w:rsidR="00F007AD" w:rsidRPr="00F007AD" w:rsidRDefault="00F007AD" w:rsidP="00F007AD">
            <w:pPr>
              <w:spacing w:line="240" w:lineRule="auto"/>
              <w:jc w:val="center"/>
              <w:rPr>
                <w:rFonts w:ascii="Segoe UI" w:hAnsi="Segoe UI" w:cs="Segoe UI"/>
                <w:color w:val="000000"/>
                <w:sz w:val="20"/>
                <w:szCs w:val="24"/>
              </w:rPr>
            </w:pPr>
            <w:r w:rsidRPr="00F007AD">
              <w:rPr>
                <w:rFonts w:ascii="Segoe UI" w:hAnsi="Segoe UI" w:cs="Segoe UI"/>
                <w:color w:val="000000"/>
                <w:sz w:val="20"/>
                <w:szCs w:val="24"/>
              </w:rPr>
              <w:t>Pondérations</w:t>
            </w:r>
          </w:p>
        </w:tc>
        <w:tc>
          <w:tcPr>
            <w:tcW w:w="788" w:type="pct"/>
            <w:tcBorders>
              <w:top w:val="single" w:sz="8" w:space="0" w:color="auto"/>
              <w:left w:val="nil"/>
              <w:bottom w:val="single" w:sz="4" w:space="0" w:color="auto"/>
              <w:right w:val="single" w:sz="8" w:space="0" w:color="auto"/>
            </w:tcBorders>
            <w:shd w:val="clear" w:color="000000" w:fill="9BC2E6"/>
            <w:vAlign w:val="center"/>
            <w:hideMark/>
          </w:tcPr>
          <w:p w:rsidR="00F007AD" w:rsidRPr="00F007AD" w:rsidRDefault="00F007AD" w:rsidP="00F007AD">
            <w:pPr>
              <w:spacing w:line="240" w:lineRule="auto"/>
              <w:jc w:val="center"/>
              <w:rPr>
                <w:rFonts w:ascii="Segoe UI" w:hAnsi="Segoe UI" w:cs="Segoe UI"/>
                <w:color w:val="000000"/>
                <w:sz w:val="20"/>
                <w:szCs w:val="24"/>
              </w:rPr>
            </w:pPr>
            <w:r w:rsidRPr="00F007AD">
              <w:rPr>
                <w:rFonts w:ascii="Segoe UI" w:hAnsi="Segoe UI" w:cs="Segoe UI"/>
                <w:color w:val="000000"/>
                <w:sz w:val="20"/>
                <w:szCs w:val="24"/>
              </w:rPr>
              <w:t>Moyenne premier semestre 2016</w:t>
            </w:r>
          </w:p>
        </w:tc>
        <w:tc>
          <w:tcPr>
            <w:tcW w:w="792" w:type="pct"/>
            <w:tcBorders>
              <w:top w:val="single" w:sz="8" w:space="0" w:color="auto"/>
              <w:left w:val="nil"/>
              <w:bottom w:val="single" w:sz="4" w:space="0" w:color="auto"/>
              <w:right w:val="single" w:sz="8" w:space="0" w:color="auto"/>
            </w:tcBorders>
            <w:shd w:val="clear" w:color="000000" w:fill="9BC2E6"/>
            <w:vAlign w:val="center"/>
            <w:hideMark/>
          </w:tcPr>
          <w:p w:rsidR="00F007AD" w:rsidRPr="00F007AD" w:rsidRDefault="00F007AD" w:rsidP="00F007AD">
            <w:pPr>
              <w:spacing w:line="240" w:lineRule="auto"/>
              <w:jc w:val="center"/>
              <w:rPr>
                <w:rFonts w:ascii="Segoe UI" w:hAnsi="Segoe UI" w:cs="Segoe UI"/>
                <w:color w:val="000000"/>
                <w:sz w:val="20"/>
                <w:szCs w:val="24"/>
              </w:rPr>
            </w:pPr>
            <w:r w:rsidRPr="00F007AD">
              <w:rPr>
                <w:rFonts w:ascii="Segoe UI" w:hAnsi="Segoe UI" w:cs="Segoe UI"/>
                <w:color w:val="000000"/>
                <w:sz w:val="20"/>
                <w:szCs w:val="24"/>
              </w:rPr>
              <w:t>Moyenne premier semestre 2017</w:t>
            </w:r>
          </w:p>
        </w:tc>
        <w:tc>
          <w:tcPr>
            <w:tcW w:w="1116" w:type="pct"/>
            <w:tcBorders>
              <w:top w:val="single" w:sz="8" w:space="0" w:color="auto"/>
              <w:left w:val="nil"/>
              <w:bottom w:val="single" w:sz="4" w:space="0" w:color="auto"/>
              <w:right w:val="single" w:sz="8" w:space="0" w:color="auto"/>
            </w:tcBorders>
            <w:shd w:val="clear" w:color="000000" w:fill="9BC2E6"/>
            <w:vAlign w:val="center"/>
            <w:hideMark/>
          </w:tcPr>
          <w:p w:rsidR="00F007AD" w:rsidRPr="00F007AD" w:rsidRDefault="00F007AD" w:rsidP="00F007AD">
            <w:pPr>
              <w:spacing w:line="240" w:lineRule="auto"/>
              <w:jc w:val="center"/>
              <w:rPr>
                <w:rFonts w:ascii="Segoe UI" w:hAnsi="Segoe UI" w:cs="Segoe UI"/>
                <w:color w:val="000000"/>
                <w:sz w:val="20"/>
                <w:szCs w:val="24"/>
              </w:rPr>
            </w:pPr>
            <w:r w:rsidRPr="00F007AD">
              <w:rPr>
                <w:rFonts w:ascii="Segoe UI" w:hAnsi="Segoe UI" w:cs="Segoe UI"/>
                <w:color w:val="000000"/>
                <w:sz w:val="20"/>
                <w:szCs w:val="24"/>
              </w:rPr>
              <w:t>Variation juin</w:t>
            </w:r>
            <w:r w:rsidR="00D53DEF">
              <w:rPr>
                <w:rFonts w:ascii="Segoe UI" w:hAnsi="Segoe UI" w:cs="Segoe UI"/>
                <w:color w:val="000000"/>
                <w:sz w:val="20"/>
                <w:szCs w:val="24"/>
              </w:rPr>
              <w:t xml:space="preserve"> 20</w:t>
            </w:r>
            <w:r w:rsidRPr="00F007AD">
              <w:rPr>
                <w:rFonts w:ascii="Segoe UI" w:hAnsi="Segoe UI" w:cs="Segoe UI"/>
                <w:color w:val="000000"/>
                <w:sz w:val="20"/>
                <w:szCs w:val="24"/>
              </w:rPr>
              <w:t xml:space="preserve">17/2ème semestre 2016 </w:t>
            </w:r>
          </w:p>
          <w:p w:rsidR="00F007AD" w:rsidRPr="00F007AD" w:rsidRDefault="00F007AD" w:rsidP="00F007AD">
            <w:pPr>
              <w:spacing w:line="240" w:lineRule="auto"/>
              <w:jc w:val="center"/>
              <w:rPr>
                <w:rFonts w:ascii="Segoe UI" w:hAnsi="Segoe UI" w:cs="Segoe UI"/>
                <w:color w:val="000000"/>
                <w:sz w:val="20"/>
                <w:szCs w:val="24"/>
              </w:rPr>
            </w:pPr>
            <w:r w:rsidRPr="00F007AD">
              <w:rPr>
                <w:rFonts w:ascii="Segoe UI" w:hAnsi="Segoe UI" w:cs="Segoe UI"/>
                <w:color w:val="000000"/>
                <w:sz w:val="20"/>
                <w:szCs w:val="24"/>
              </w:rPr>
              <w:t>(en %)</w:t>
            </w:r>
          </w:p>
        </w:tc>
      </w:tr>
      <w:tr w:rsidR="00F007AD" w:rsidRPr="00F007AD" w:rsidTr="00F007AD">
        <w:trPr>
          <w:trHeight w:val="266"/>
          <w:jc w:val="center"/>
        </w:trPr>
        <w:tc>
          <w:tcPr>
            <w:tcW w:w="1476"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007AD" w:rsidRPr="00F007AD" w:rsidRDefault="00F007AD" w:rsidP="00157DB3">
            <w:pPr>
              <w:rPr>
                <w:rFonts w:ascii="Segoe UI" w:hAnsi="Segoe UI" w:cs="Segoe UI"/>
                <w:b/>
                <w:bCs/>
                <w:color w:val="000000"/>
                <w:sz w:val="20"/>
                <w:szCs w:val="24"/>
              </w:rPr>
            </w:pPr>
            <w:r w:rsidRPr="00F007AD">
              <w:rPr>
                <w:rFonts w:ascii="Segoe UI" w:hAnsi="Segoe UI" w:cs="Segoe UI"/>
                <w:b/>
                <w:bCs/>
                <w:color w:val="000000"/>
                <w:sz w:val="20"/>
                <w:szCs w:val="24"/>
              </w:rPr>
              <w:t>INDICE GLOBAL</w:t>
            </w:r>
          </w:p>
        </w:tc>
        <w:tc>
          <w:tcPr>
            <w:tcW w:w="828" w:type="pct"/>
            <w:tcBorders>
              <w:top w:val="nil"/>
              <w:left w:val="single" w:sz="4" w:space="0" w:color="auto"/>
              <w:bottom w:val="single" w:sz="8" w:space="0" w:color="auto"/>
              <w:right w:val="single" w:sz="8" w:space="0" w:color="auto"/>
            </w:tcBorders>
            <w:shd w:val="clear" w:color="auto" w:fill="auto"/>
            <w:vAlign w:val="center"/>
          </w:tcPr>
          <w:p w:rsidR="00F007AD" w:rsidRPr="00F007AD" w:rsidRDefault="00F007AD" w:rsidP="00157DB3">
            <w:pPr>
              <w:jc w:val="center"/>
              <w:rPr>
                <w:rFonts w:ascii="Segoe UI" w:hAnsi="Segoe UI" w:cs="Segoe UI"/>
                <w:b/>
                <w:bCs/>
                <w:color w:val="000000"/>
                <w:sz w:val="20"/>
                <w:szCs w:val="24"/>
              </w:rPr>
            </w:pPr>
            <w:r w:rsidRPr="00F007AD">
              <w:rPr>
                <w:rFonts w:ascii="Segoe UI" w:hAnsi="Segoe UI" w:cs="Segoe UI"/>
                <w:b/>
                <w:bCs/>
                <w:color w:val="000000"/>
                <w:sz w:val="20"/>
                <w:szCs w:val="24"/>
              </w:rPr>
              <w:t>10 000</w:t>
            </w:r>
          </w:p>
        </w:tc>
        <w:tc>
          <w:tcPr>
            <w:tcW w:w="788" w:type="pct"/>
            <w:tcBorders>
              <w:top w:val="single" w:sz="4" w:space="0" w:color="auto"/>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b/>
                <w:bCs/>
                <w:color w:val="000000"/>
                <w:sz w:val="20"/>
                <w:szCs w:val="24"/>
              </w:rPr>
            </w:pPr>
            <w:r w:rsidRPr="00F007AD">
              <w:rPr>
                <w:rFonts w:ascii="Segoe UI" w:hAnsi="Segoe UI" w:cs="Segoe UI"/>
                <w:b/>
                <w:bCs/>
                <w:color w:val="000000"/>
                <w:sz w:val="20"/>
                <w:szCs w:val="24"/>
              </w:rPr>
              <w:t>99,7</w:t>
            </w:r>
          </w:p>
        </w:tc>
        <w:tc>
          <w:tcPr>
            <w:tcW w:w="792" w:type="pct"/>
            <w:tcBorders>
              <w:top w:val="single" w:sz="4" w:space="0" w:color="auto"/>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b/>
                <w:bCs/>
                <w:color w:val="000000"/>
                <w:sz w:val="20"/>
                <w:szCs w:val="24"/>
              </w:rPr>
            </w:pPr>
            <w:r w:rsidRPr="00F007AD">
              <w:rPr>
                <w:rFonts w:ascii="Segoe UI" w:hAnsi="Segoe UI" w:cs="Segoe UI"/>
                <w:b/>
                <w:bCs/>
                <w:color w:val="000000"/>
                <w:sz w:val="20"/>
                <w:szCs w:val="24"/>
              </w:rPr>
              <w:t>103,9</w:t>
            </w:r>
          </w:p>
        </w:tc>
        <w:tc>
          <w:tcPr>
            <w:tcW w:w="1116" w:type="pct"/>
            <w:tcBorders>
              <w:top w:val="single" w:sz="4" w:space="0" w:color="auto"/>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b/>
                <w:bCs/>
                <w:color w:val="000000"/>
                <w:sz w:val="20"/>
                <w:szCs w:val="24"/>
              </w:rPr>
            </w:pPr>
            <w:r w:rsidRPr="00F007AD">
              <w:rPr>
                <w:rFonts w:ascii="Segoe UI" w:hAnsi="Segoe UI" w:cs="Segoe UI"/>
                <w:b/>
                <w:bCs/>
                <w:color w:val="000000"/>
                <w:sz w:val="20"/>
                <w:szCs w:val="24"/>
              </w:rPr>
              <w:t>4,2</w:t>
            </w:r>
          </w:p>
        </w:tc>
      </w:tr>
      <w:tr w:rsidR="00F007AD" w:rsidRPr="00F007AD" w:rsidTr="00F007AD">
        <w:trPr>
          <w:trHeight w:val="266"/>
          <w:jc w:val="center"/>
        </w:trPr>
        <w:tc>
          <w:tcPr>
            <w:tcW w:w="1476" w:type="pct"/>
            <w:tcBorders>
              <w:top w:val="nil"/>
              <w:left w:val="single" w:sz="8" w:space="0" w:color="auto"/>
              <w:bottom w:val="single" w:sz="8" w:space="0" w:color="auto"/>
              <w:right w:val="single" w:sz="4" w:space="0" w:color="auto"/>
            </w:tcBorders>
            <w:shd w:val="clear" w:color="auto" w:fill="auto"/>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Elevage</w:t>
            </w:r>
          </w:p>
        </w:tc>
        <w:tc>
          <w:tcPr>
            <w:tcW w:w="828" w:type="pct"/>
            <w:tcBorders>
              <w:top w:val="nil"/>
              <w:left w:val="single" w:sz="4" w:space="0" w:color="auto"/>
              <w:bottom w:val="single" w:sz="8" w:space="0" w:color="auto"/>
              <w:right w:val="single" w:sz="8" w:space="0" w:color="auto"/>
            </w:tcBorders>
            <w:shd w:val="clear" w:color="auto" w:fill="auto"/>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1 060</w:t>
            </w:r>
          </w:p>
        </w:tc>
        <w:tc>
          <w:tcPr>
            <w:tcW w:w="788" w:type="pct"/>
            <w:tcBorders>
              <w:top w:val="nil"/>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99,1</w:t>
            </w:r>
          </w:p>
        </w:tc>
        <w:tc>
          <w:tcPr>
            <w:tcW w:w="792"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81,1</w:t>
            </w:r>
          </w:p>
        </w:tc>
        <w:tc>
          <w:tcPr>
            <w:tcW w:w="1116"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-18,2</w:t>
            </w:r>
          </w:p>
        </w:tc>
      </w:tr>
      <w:tr w:rsidR="00F007AD" w:rsidRPr="00F007AD" w:rsidTr="00F007AD">
        <w:trPr>
          <w:trHeight w:val="266"/>
          <w:jc w:val="center"/>
        </w:trPr>
        <w:tc>
          <w:tcPr>
            <w:tcW w:w="1476" w:type="pct"/>
            <w:tcBorders>
              <w:top w:val="nil"/>
              <w:left w:val="single" w:sz="8" w:space="0" w:color="auto"/>
              <w:bottom w:val="single" w:sz="8" w:space="0" w:color="auto"/>
              <w:right w:val="single" w:sz="4" w:space="0" w:color="auto"/>
            </w:tcBorders>
            <w:shd w:val="clear" w:color="auto" w:fill="auto"/>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Industries Manufacturières</w:t>
            </w:r>
          </w:p>
        </w:tc>
        <w:tc>
          <w:tcPr>
            <w:tcW w:w="828" w:type="pct"/>
            <w:tcBorders>
              <w:top w:val="nil"/>
              <w:left w:val="single" w:sz="4" w:space="0" w:color="auto"/>
              <w:bottom w:val="single" w:sz="8" w:space="0" w:color="auto"/>
              <w:right w:val="single" w:sz="8" w:space="0" w:color="auto"/>
            </w:tcBorders>
            <w:shd w:val="clear" w:color="auto" w:fill="auto"/>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1 427</w:t>
            </w:r>
          </w:p>
        </w:tc>
        <w:tc>
          <w:tcPr>
            <w:tcW w:w="788" w:type="pct"/>
            <w:tcBorders>
              <w:top w:val="nil"/>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93,9</w:t>
            </w:r>
          </w:p>
        </w:tc>
        <w:tc>
          <w:tcPr>
            <w:tcW w:w="792"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81,0</w:t>
            </w:r>
          </w:p>
        </w:tc>
        <w:tc>
          <w:tcPr>
            <w:tcW w:w="1116"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-13,8</w:t>
            </w:r>
          </w:p>
        </w:tc>
      </w:tr>
      <w:tr w:rsidR="00F007AD" w:rsidRPr="00F007AD" w:rsidTr="00F007AD">
        <w:trPr>
          <w:trHeight w:val="266"/>
          <w:jc w:val="center"/>
        </w:trPr>
        <w:tc>
          <w:tcPr>
            <w:tcW w:w="1476" w:type="pct"/>
            <w:tcBorders>
              <w:top w:val="single" w:sz="8" w:space="0" w:color="auto"/>
              <w:left w:val="single" w:sz="8" w:space="0" w:color="auto"/>
              <w:bottom w:val="single" w:sz="8" w:space="0" w:color="auto"/>
              <w:right w:val="single" w:sz="4" w:space="0" w:color="auto"/>
            </w:tcBorders>
            <w:shd w:val="clear" w:color="auto" w:fill="CCFFCC"/>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Energie</w:t>
            </w:r>
          </w:p>
        </w:tc>
        <w:tc>
          <w:tcPr>
            <w:tcW w:w="828" w:type="pct"/>
            <w:tcBorders>
              <w:top w:val="single" w:sz="8" w:space="0" w:color="auto"/>
              <w:left w:val="single" w:sz="4" w:space="0" w:color="auto"/>
              <w:bottom w:val="single" w:sz="8" w:space="0" w:color="auto"/>
              <w:right w:val="single" w:sz="8" w:space="0" w:color="auto"/>
            </w:tcBorders>
            <w:shd w:val="clear" w:color="auto" w:fill="CCFFCC"/>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194</w:t>
            </w:r>
          </w:p>
        </w:tc>
        <w:tc>
          <w:tcPr>
            <w:tcW w:w="788" w:type="pct"/>
            <w:tcBorders>
              <w:top w:val="single" w:sz="8" w:space="0" w:color="auto"/>
              <w:left w:val="nil"/>
              <w:bottom w:val="single" w:sz="8" w:space="0" w:color="auto"/>
              <w:right w:val="single" w:sz="8" w:space="0" w:color="auto"/>
            </w:tcBorders>
            <w:shd w:val="clear" w:color="auto" w:fill="CCFFCC"/>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98,2</w:t>
            </w:r>
          </w:p>
        </w:tc>
        <w:tc>
          <w:tcPr>
            <w:tcW w:w="792"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108,6</w:t>
            </w:r>
          </w:p>
        </w:tc>
        <w:tc>
          <w:tcPr>
            <w:tcW w:w="1116"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10,6</w:t>
            </w:r>
          </w:p>
        </w:tc>
      </w:tr>
      <w:tr w:rsidR="00F007AD" w:rsidRPr="00F007AD" w:rsidTr="00F007AD">
        <w:trPr>
          <w:trHeight w:val="266"/>
          <w:jc w:val="center"/>
        </w:trPr>
        <w:tc>
          <w:tcPr>
            <w:tcW w:w="1476" w:type="pct"/>
            <w:tcBorders>
              <w:top w:val="single" w:sz="8" w:space="0" w:color="auto"/>
              <w:left w:val="single" w:sz="8" w:space="0" w:color="auto"/>
              <w:bottom w:val="single" w:sz="8" w:space="0" w:color="auto"/>
              <w:right w:val="single" w:sz="4" w:space="0" w:color="auto"/>
            </w:tcBorders>
            <w:shd w:val="clear" w:color="auto" w:fill="CCFFCC"/>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BTP</w:t>
            </w:r>
          </w:p>
        </w:tc>
        <w:tc>
          <w:tcPr>
            <w:tcW w:w="828" w:type="pct"/>
            <w:tcBorders>
              <w:top w:val="single" w:sz="8" w:space="0" w:color="auto"/>
              <w:left w:val="single" w:sz="4" w:space="0" w:color="auto"/>
              <w:bottom w:val="single" w:sz="8" w:space="0" w:color="auto"/>
              <w:right w:val="single" w:sz="8" w:space="0" w:color="auto"/>
            </w:tcBorders>
            <w:shd w:val="clear" w:color="auto" w:fill="CCFFCC"/>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803</w:t>
            </w:r>
          </w:p>
        </w:tc>
        <w:tc>
          <w:tcPr>
            <w:tcW w:w="788" w:type="pct"/>
            <w:tcBorders>
              <w:top w:val="single" w:sz="8" w:space="0" w:color="auto"/>
              <w:left w:val="nil"/>
              <w:bottom w:val="single" w:sz="8" w:space="0" w:color="auto"/>
              <w:right w:val="single" w:sz="8" w:space="0" w:color="auto"/>
            </w:tcBorders>
            <w:shd w:val="clear" w:color="auto" w:fill="CCFFCC"/>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113,6</w:t>
            </w:r>
          </w:p>
        </w:tc>
        <w:tc>
          <w:tcPr>
            <w:tcW w:w="792"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128,7</w:t>
            </w:r>
          </w:p>
        </w:tc>
        <w:tc>
          <w:tcPr>
            <w:tcW w:w="1116"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13,3</w:t>
            </w:r>
          </w:p>
        </w:tc>
      </w:tr>
      <w:tr w:rsidR="00F007AD" w:rsidRPr="00F007AD" w:rsidTr="00F007AD">
        <w:trPr>
          <w:trHeight w:val="266"/>
          <w:jc w:val="center"/>
        </w:trPr>
        <w:tc>
          <w:tcPr>
            <w:tcW w:w="1476" w:type="pct"/>
            <w:tcBorders>
              <w:top w:val="nil"/>
              <w:left w:val="single" w:sz="8" w:space="0" w:color="auto"/>
              <w:bottom w:val="single" w:sz="8" w:space="0" w:color="auto"/>
              <w:right w:val="single" w:sz="4" w:space="0" w:color="auto"/>
            </w:tcBorders>
            <w:shd w:val="clear" w:color="auto" w:fill="auto"/>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Commerce</w:t>
            </w:r>
          </w:p>
        </w:tc>
        <w:tc>
          <w:tcPr>
            <w:tcW w:w="828" w:type="pct"/>
            <w:tcBorders>
              <w:top w:val="nil"/>
              <w:left w:val="single" w:sz="4" w:space="0" w:color="auto"/>
              <w:bottom w:val="single" w:sz="8" w:space="0" w:color="auto"/>
              <w:right w:val="single" w:sz="8" w:space="0" w:color="auto"/>
            </w:tcBorders>
            <w:shd w:val="clear" w:color="auto" w:fill="auto"/>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2 993</w:t>
            </w:r>
          </w:p>
        </w:tc>
        <w:tc>
          <w:tcPr>
            <w:tcW w:w="788" w:type="pct"/>
            <w:tcBorders>
              <w:top w:val="nil"/>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111,9</w:t>
            </w:r>
          </w:p>
        </w:tc>
        <w:tc>
          <w:tcPr>
            <w:tcW w:w="792"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105,2</w:t>
            </w:r>
          </w:p>
        </w:tc>
        <w:tc>
          <w:tcPr>
            <w:tcW w:w="1116"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-6,0</w:t>
            </w:r>
          </w:p>
        </w:tc>
      </w:tr>
      <w:tr w:rsidR="00F007AD" w:rsidRPr="00F007AD" w:rsidTr="00F007AD">
        <w:trPr>
          <w:trHeight w:val="266"/>
          <w:jc w:val="center"/>
        </w:trPr>
        <w:tc>
          <w:tcPr>
            <w:tcW w:w="1476" w:type="pct"/>
            <w:tcBorders>
              <w:top w:val="single" w:sz="8" w:space="0" w:color="auto"/>
              <w:left w:val="single" w:sz="8" w:space="0" w:color="auto"/>
              <w:bottom w:val="single" w:sz="8" w:space="0" w:color="auto"/>
              <w:right w:val="single" w:sz="4" w:space="0" w:color="auto"/>
            </w:tcBorders>
            <w:shd w:val="clear" w:color="auto" w:fill="CCFFCC"/>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Transport et Télécoms</w:t>
            </w:r>
          </w:p>
        </w:tc>
        <w:tc>
          <w:tcPr>
            <w:tcW w:w="828" w:type="pct"/>
            <w:tcBorders>
              <w:top w:val="single" w:sz="8" w:space="0" w:color="auto"/>
              <w:left w:val="single" w:sz="4" w:space="0" w:color="auto"/>
              <w:bottom w:val="single" w:sz="8" w:space="0" w:color="auto"/>
              <w:right w:val="single" w:sz="8" w:space="0" w:color="auto"/>
            </w:tcBorders>
            <w:shd w:val="clear" w:color="auto" w:fill="CCFFCC"/>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1 476</w:t>
            </w:r>
          </w:p>
        </w:tc>
        <w:tc>
          <w:tcPr>
            <w:tcW w:w="788" w:type="pct"/>
            <w:tcBorders>
              <w:top w:val="single" w:sz="8" w:space="0" w:color="auto"/>
              <w:left w:val="nil"/>
              <w:bottom w:val="single" w:sz="8" w:space="0" w:color="auto"/>
              <w:right w:val="single" w:sz="8" w:space="0" w:color="auto"/>
            </w:tcBorders>
            <w:shd w:val="clear" w:color="auto" w:fill="CCFFCC"/>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93,7</w:t>
            </w:r>
          </w:p>
        </w:tc>
        <w:tc>
          <w:tcPr>
            <w:tcW w:w="792"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95,9</w:t>
            </w:r>
          </w:p>
        </w:tc>
        <w:tc>
          <w:tcPr>
            <w:tcW w:w="1116"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2,3</w:t>
            </w:r>
          </w:p>
        </w:tc>
      </w:tr>
      <w:tr w:rsidR="00F007AD" w:rsidRPr="00F007AD" w:rsidTr="00F007AD">
        <w:trPr>
          <w:trHeight w:val="266"/>
          <w:jc w:val="center"/>
        </w:trPr>
        <w:tc>
          <w:tcPr>
            <w:tcW w:w="1476" w:type="pct"/>
            <w:tcBorders>
              <w:top w:val="nil"/>
              <w:left w:val="single" w:sz="8" w:space="0" w:color="auto"/>
              <w:bottom w:val="single" w:sz="8" w:space="0" w:color="auto"/>
              <w:right w:val="single" w:sz="4" w:space="0" w:color="auto"/>
            </w:tcBorders>
            <w:shd w:val="clear" w:color="auto" w:fill="auto"/>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Banques et Assurances</w:t>
            </w:r>
          </w:p>
        </w:tc>
        <w:tc>
          <w:tcPr>
            <w:tcW w:w="828" w:type="pct"/>
            <w:tcBorders>
              <w:top w:val="nil"/>
              <w:left w:val="single" w:sz="4" w:space="0" w:color="auto"/>
              <w:bottom w:val="single" w:sz="8" w:space="0" w:color="auto"/>
              <w:right w:val="single" w:sz="8" w:space="0" w:color="auto"/>
            </w:tcBorders>
            <w:shd w:val="clear" w:color="auto" w:fill="auto"/>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333</w:t>
            </w:r>
          </w:p>
        </w:tc>
        <w:tc>
          <w:tcPr>
            <w:tcW w:w="788" w:type="pct"/>
            <w:tcBorders>
              <w:top w:val="nil"/>
              <w:left w:val="nil"/>
              <w:bottom w:val="single" w:sz="8" w:space="0" w:color="auto"/>
              <w:right w:val="single" w:sz="8" w:space="0" w:color="auto"/>
            </w:tcBorders>
            <w:shd w:val="clear" w:color="auto" w:fill="auto"/>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108,5</w:t>
            </w:r>
          </w:p>
        </w:tc>
        <w:tc>
          <w:tcPr>
            <w:tcW w:w="792"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107,5</w:t>
            </w:r>
          </w:p>
        </w:tc>
        <w:tc>
          <w:tcPr>
            <w:tcW w:w="1116" w:type="pct"/>
            <w:tcBorders>
              <w:top w:val="nil"/>
              <w:left w:val="nil"/>
              <w:bottom w:val="single" w:sz="8" w:space="0" w:color="auto"/>
              <w:right w:val="single" w:sz="8" w:space="0" w:color="auto"/>
            </w:tcBorders>
            <w:shd w:val="clear" w:color="auto" w:fill="auto"/>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-0,9</w:t>
            </w:r>
          </w:p>
        </w:tc>
      </w:tr>
      <w:tr w:rsidR="00F007AD" w:rsidRPr="00F007AD" w:rsidTr="00F007AD">
        <w:trPr>
          <w:trHeight w:val="266"/>
          <w:jc w:val="center"/>
        </w:trPr>
        <w:tc>
          <w:tcPr>
            <w:tcW w:w="1476" w:type="pct"/>
            <w:tcBorders>
              <w:top w:val="single" w:sz="8" w:space="0" w:color="auto"/>
              <w:left w:val="single" w:sz="8" w:space="0" w:color="auto"/>
              <w:bottom w:val="single" w:sz="8" w:space="0" w:color="auto"/>
              <w:right w:val="single" w:sz="4" w:space="0" w:color="auto"/>
            </w:tcBorders>
            <w:shd w:val="clear" w:color="auto" w:fill="CCFFCC"/>
            <w:noWrap/>
            <w:vAlign w:val="center"/>
            <w:hideMark/>
          </w:tcPr>
          <w:p w:rsidR="00F007AD" w:rsidRPr="00F007AD" w:rsidRDefault="00F007AD" w:rsidP="00157DB3">
            <w:pPr>
              <w:ind w:firstLineChars="100" w:firstLine="200"/>
              <w:rPr>
                <w:rFonts w:ascii="Segoe UI" w:hAnsi="Segoe UI" w:cs="Segoe UI"/>
                <w:color w:val="000000"/>
                <w:sz w:val="20"/>
                <w:szCs w:val="24"/>
              </w:rPr>
            </w:pPr>
            <w:r w:rsidRPr="00F007AD">
              <w:rPr>
                <w:rFonts w:ascii="Segoe UI" w:hAnsi="Segoe UI" w:cs="Segoe UI"/>
                <w:color w:val="000000"/>
                <w:sz w:val="20"/>
                <w:szCs w:val="24"/>
              </w:rPr>
              <w:t>Autres Services</w:t>
            </w:r>
          </w:p>
        </w:tc>
        <w:tc>
          <w:tcPr>
            <w:tcW w:w="828" w:type="pct"/>
            <w:tcBorders>
              <w:top w:val="single" w:sz="8" w:space="0" w:color="auto"/>
              <w:left w:val="single" w:sz="4" w:space="0" w:color="auto"/>
              <w:bottom w:val="single" w:sz="8" w:space="0" w:color="auto"/>
              <w:right w:val="single" w:sz="8" w:space="0" w:color="auto"/>
            </w:tcBorders>
            <w:shd w:val="clear" w:color="auto" w:fill="CCFFCC"/>
            <w:vAlign w:val="center"/>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1 714</w:t>
            </w:r>
          </w:p>
        </w:tc>
        <w:tc>
          <w:tcPr>
            <w:tcW w:w="788" w:type="pct"/>
            <w:tcBorders>
              <w:top w:val="single" w:sz="8" w:space="0" w:color="auto"/>
              <w:left w:val="nil"/>
              <w:bottom w:val="single" w:sz="8" w:space="0" w:color="auto"/>
              <w:right w:val="single" w:sz="8" w:space="0" w:color="auto"/>
            </w:tcBorders>
            <w:shd w:val="clear" w:color="auto" w:fill="CCFFCC"/>
            <w:vAlign w:val="center"/>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98,3</w:t>
            </w:r>
          </w:p>
        </w:tc>
        <w:tc>
          <w:tcPr>
            <w:tcW w:w="792"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129,1</w:t>
            </w:r>
          </w:p>
        </w:tc>
        <w:tc>
          <w:tcPr>
            <w:tcW w:w="1116" w:type="pct"/>
            <w:tcBorders>
              <w:top w:val="single" w:sz="8" w:space="0" w:color="auto"/>
              <w:left w:val="nil"/>
              <w:bottom w:val="single" w:sz="8" w:space="0" w:color="auto"/>
              <w:right w:val="single" w:sz="8" w:space="0" w:color="auto"/>
            </w:tcBorders>
            <w:shd w:val="clear" w:color="auto" w:fill="CCFFCC"/>
            <w:vAlign w:val="bottom"/>
            <w:hideMark/>
          </w:tcPr>
          <w:p w:rsidR="00F007AD" w:rsidRPr="00F007AD" w:rsidRDefault="00F007AD" w:rsidP="00157DB3">
            <w:pPr>
              <w:jc w:val="center"/>
              <w:rPr>
                <w:rFonts w:ascii="Segoe UI" w:hAnsi="Segoe UI" w:cs="Segoe UI"/>
                <w:color w:val="000000"/>
                <w:sz w:val="20"/>
                <w:szCs w:val="24"/>
              </w:rPr>
            </w:pPr>
            <w:r w:rsidRPr="00F007AD">
              <w:rPr>
                <w:rFonts w:ascii="Segoe UI" w:hAnsi="Segoe UI" w:cs="Segoe UI"/>
                <w:color w:val="000000"/>
                <w:sz w:val="20"/>
                <w:szCs w:val="24"/>
              </w:rPr>
              <w:t>31,3</w:t>
            </w:r>
          </w:p>
        </w:tc>
      </w:tr>
    </w:tbl>
    <w:p w:rsidR="00F007AD" w:rsidRPr="008F6824" w:rsidRDefault="00F007AD" w:rsidP="00F007AD">
      <w:pPr>
        <w:spacing w:line="360" w:lineRule="auto"/>
        <w:rPr>
          <w:rFonts w:ascii="Segoe UI" w:hAnsi="Segoe UI" w:cs="Segoe UI"/>
          <w:sz w:val="20"/>
        </w:rPr>
      </w:pPr>
      <w:r w:rsidRPr="008F6824">
        <w:rPr>
          <w:rFonts w:ascii="Segoe UI" w:hAnsi="Segoe UI" w:cs="Segoe UI"/>
          <w:sz w:val="20"/>
          <w:u w:val="single"/>
        </w:rPr>
        <w:t>Source</w:t>
      </w:r>
      <w:r w:rsidRPr="008F6824">
        <w:rPr>
          <w:rFonts w:ascii="Segoe UI" w:hAnsi="Segoe UI" w:cs="Segoe UI"/>
          <w:sz w:val="20"/>
        </w:rPr>
        <w:t> : DPC/DGAE, août 2017</w:t>
      </w:r>
    </w:p>
    <w:p w:rsidR="00F007AD" w:rsidRPr="008F6824" w:rsidRDefault="00F007AD" w:rsidP="00F007AD">
      <w:pPr>
        <w:spacing w:before="120" w:after="120" w:line="360" w:lineRule="auto"/>
        <w:jc w:val="both"/>
        <w:rPr>
          <w:rFonts w:ascii="Segoe UI" w:hAnsi="Segoe UI" w:cs="Segoe UI"/>
          <w:sz w:val="24"/>
          <w:szCs w:val="24"/>
        </w:rPr>
      </w:pPr>
      <w:r w:rsidRPr="008F6824">
        <w:rPr>
          <w:rFonts w:ascii="Segoe UI" w:hAnsi="Segoe UI" w:cs="Segoe UI"/>
          <w:b/>
          <w:sz w:val="24"/>
          <w:szCs w:val="24"/>
        </w:rPr>
        <w:t>Au niveau de l’emploi dans les grandes entreprises</w:t>
      </w:r>
      <w:r w:rsidRPr="008F6824">
        <w:rPr>
          <w:rFonts w:ascii="Segoe UI" w:hAnsi="Segoe UI" w:cs="Segoe UI"/>
          <w:sz w:val="24"/>
          <w:szCs w:val="24"/>
        </w:rPr>
        <w:t>, il est noté une modeste amélioration en moyenne de 0,1% sur les six (06) premiers mois de l’année bien que son évolution ait été erratique depuis le début de l’année.</w:t>
      </w:r>
    </w:p>
    <w:p w:rsidR="00F007AD" w:rsidRPr="007E3BE0" w:rsidRDefault="00F007AD" w:rsidP="007E3BE0">
      <w:pPr>
        <w:pStyle w:val="Graphique"/>
        <w:rPr>
          <w:sz w:val="24"/>
        </w:rPr>
      </w:pPr>
      <w:bookmarkStart w:id="7" w:name="_Toc495935951"/>
      <w:r w:rsidRPr="007E3BE0">
        <w:rPr>
          <w:sz w:val="24"/>
        </w:rPr>
        <w:t xml:space="preserve">Graphique </w:t>
      </w:r>
      <w:r w:rsidR="007E3BE0">
        <w:rPr>
          <w:sz w:val="24"/>
        </w:rPr>
        <w:t xml:space="preserve">n° </w:t>
      </w:r>
      <w:r w:rsidRPr="007E3BE0">
        <w:rPr>
          <w:sz w:val="24"/>
        </w:rPr>
        <w:t>1 : Evolution de l’emploi dans les grandes entreprises</w:t>
      </w:r>
      <w:bookmarkEnd w:id="7"/>
      <w:r w:rsidRPr="007E3BE0">
        <w:rPr>
          <w:sz w:val="24"/>
        </w:rPr>
        <w:t xml:space="preserve"> </w:t>
      </w:r>
    </w:p>
    <w:p w:rsidR="00F007AD" w:rsidRDefault="00F007AD" w:rsidP="00F007AD">
      <w:pPr>
        <w:spacing w:line="360" w:lineRule="auto"/>
        <w:jc w:val="both"/>
        <w:rPr>
          <w:rFonts w:ascii="Bookman Old Style" w:hAnsi="Bookman Old Style"/>
        </w:rPr>
      </w:pPr>
      <w:r>
        <w:rPr>
          <w:noProof/>
        </w:rPr>
        <w:drawing>
          <wp:inline distT="0" distB="0" distL="0" distR="0" wp14:anchorId="5BA2A684" wp14:editId="09DAF2F1">
            <wp:extent cx="6062345" cy="1390650"/>
            <wp:effectExtent l="0" t="0" r="14605"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007AD" w:rsidRPr="008F6824" w:rsidRDefault="00F007AD" w:rsidP="00157DB3">
      <w:pPr>
        <w:spacing w:line="360" w:lineRule="auto"/>
        <w:contextualSpacing/>
        <w:jc w:val="both"/>
        <w:rPr>
          <w:rFonts w:ascii="Segoe UI" w:hAnsi="Segoe UI" w:cs="Segoe UI"/>
          <w:sz w:val="24"/>
          <w:szCs w:val="24"/>
        </w:rPr>
      </w:pPr>
      <w:r w:rsidRPr="008F6824">
        <w:rPr>
          <w:rFonts w:ascii="Segoe UI" w:hAnsi="Segoe UI" w:cs="Segoe UI"/>
          <w:b/>
          <w:sz w:val="24"/>
          <w:szCs w:val="24"/>
        </w:rPr>
        <w:lastRenderedPageBreak/>
        <w:t>S’agissant des prix</w:t>
      </w:r>
      <w:r w:rsidRPr="008F6824">
        <w:rPr>
          <w:rFonts w:ascii="Segoe UI" w:hAnsi="Segoe UI" w:cs="Segoe UI"/>
          <w:sz w:val="24"/>
          <w:szCs w:val="24"/>
        </w:rPr>
        <w:t xml:space="preserve">, le taux d’inflation affiche une tendance baissière depuis le début de l’année. Il s’est établi à la fin du premier semestre 2017 à </w:t>
      </w:r>
      <w:r w:rsidRPr="008F6824">
        <w:rPr>
          <w:rFonts w:ascii="Segoe UI" w:hAnsi="Segoe UI" w:cs="Segoe UI"/>
          <w:b/>
          <w:sz w:val="24"/>
          <w:szCs w:val="24"/>
        </w:rPr>
        <w:t xml:space="preserve">-2,0% </w:t>
      </w:r>
      <w:r w:rsidRPr="008F6824">
        <w:rPr>
          <w:rFonts w:ascii="Segoe UI" w:hAnsi="Segoe UI" w:cs="Segoe UI"/>
          <w:sz w:val="24"/>
          <w:szCs w:val="24"/>
        </w:rPr>
        <w:t>contre un plafond communautaire de 3,0%. La baisse du niveau général des prix est principalement portée par les prix des produits alimentaires et boissons alcoolisées.</w:t>
      </w:r>
    </w:p>
    <w:p w:rsidR="00F007AD" w:rsidRPr="007E3BE0" w:rsidRDefault="007E3BE0" w:rsidP="007E3BE0">
      <w:pPr>
        <w:pStyle w:val="Graphique"/>
        <w:rPr>
          <w:sz w:val="24"/>
        </w:rPr>
      </w:pPr>
      <w:bookmarkStart w:id="8" w:name="_Toc495935952"/>
      <w:r>
        <w:rPr>
          <w:sz w:val="24"/>
        </w:rPr>
        <w:t>Graphique n°2</w:t>
      </w:r>
      <w:r w:rsidR="00F007AD" w:rsidRPr="007E3BE0">
        <w:rPr>
          <w:sz w:val="24"/>
        </w:rPr>
        <w:t> : Evolution de l’inflation</w:t>
      </w:r>
      <w:bookmarkEnd w:id="8"/>
    </w:p>
    <w:p w:rsidR="00F007AD" w:rsidRDefault="00F007AD" w:rsidP="00F007AD">
      <w:pPr>
        <w:spacing w:line="360" w:lineRule="auto"/>
        <w:jc w:val="both"/>
        <w:rPr>
          <w:rFonts w:ascii="Bookman Old Style" w:hAnsi="Bookman Old Style"/>
        </w:rPr>
      </w:pPr>
      <w:r>
        <w:rPr>
          <w:noProof/>
        </w:rPr>
        <w:drawing>
          <wp:inline distT="0" distB="0" distL="0" distR="0" wp14:anchorId="2FA6CAFD" wp14:editId="2CC611AB">
            <wp:extent cx="6211570" cy="1809750"/>
            <wp:effectExtent l="0" t="0" r="1778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007AD" w:rsidRPr="00157DB3" w:rsidRDefault="00F007AD" w:rsidP="00157DB3">
      <w:pPr>
        <w:spacing w:line="360" w:lineRule="auto"/>
        <w:jc w:val="both"/>
        <w:rPr>
          <w:rFonts w:ascii="Segoe UI" w:hAnsi="Segoe UI" w:cs="Segoe UI"/>
          <w:sz w:val="20"/>
        </w:rPr>
      </w:pPr>
      <w:r w:rsidRPr="00157DB3">
        <w:rPr>
          <w:rFonts w:ascii="Segoe UI" w:hAnsi="Segoe UI" w:cs="Segoe UI"/>
          <w:sz w:val="20"/>
          <w:u w:val="single"/>
        </w:rPr>
        <w:t>Source</w:t>
      </w:r>
      <w:r w:rsidRPr="00157DB3">
        <w:rPr>
          <w:rFonts w:ascii="Segoe UI" w:hAnsi="Segoe UI" w:cs="Segoe UI"/>
          <w:sz w:val="20"/>
        </w:rPr>
        <w:t> : INSAE, juillet 2017</w:t>
      </w:r>
    </w:p>
    <w:p w:rsidR="00F007AD" w:rsidRPr="00157DB3" w:rsidRDefault="00157DB3" w:rsidP="00157DB3">
      <w:pPr>
        <w:spacing w:before="120" w:after="120" w:line="360" w:lineRule="auto"/>
        <w:contextualSpacing/>
        <w:jc w:val="both"/>
        <w:rPr>
          <w:rFonts w:ascii="Segoe UI" w:hAnsi="Segoe UI" w:cs="Segoe UI"/>
          <w:b/>
          <w:sz w:val="24"/>
          <w:szCs w:val="24"/>
        </w:rPr>
      </w:pPr>
      <w:r w:rsidRPr="00157DB3">
        <w:rPr>
          <w:rFonts w:ascii="Segoe UI" w:hAnsi="Segoe UI" w:cs="Segoe UI"/>
          <w:b/>
          <w:sz w:val="24"/>
          <w:szCs w:val="24"/>
        </w:rPr>
        <w:t>Au niveau du c</w:t>
      </w:r>
      <w:r w:rsidR="00F007AD" w:rsidRPr="00157DB3">
        <w:rPr>
          <w:rFonts w:ascii="Segoe UI" w:hAnsi="Segoe UI" w:cs="Segoe UI"/>
          <w:b/>
          <w:sz w:val="24"/>
          <w:szCs w:val="24"/>
        </w:rPr>
        <w:t>ommerce extérieur</w:t>
      </w:r>
      <w:r w:rsidRPr="00157DB3">
        <w:rPr>
          <w:rFonts w:ascii="Segoe UI" w:hAnsi="Segoe UI" w:cs="Segoe UI"/>
          <w:b/>
          <w:sz w:val="24"/>
          <w:szCs w:val="24"/>
        </w:rPr>
        <w:t xml:space="preserve">, </w:t>
      </w:r>
      <w:r w:rsidRPr="00157DB3">
        <w:rPr>
          <w:rFonts w:ascii="Segoe UI" w:hAnsi="Segoe UI" w:cs="Segoe UI"/>
          <w:sz w:val="24"/>
          <w:szCs w:val="24"/>
        </w:rPr>
        <w:t>il</w:t>
      </w:r>
      <w:r w:rsidR="00F007AD" w:rsidRPr="00157DB3">
        <w:rPr>
          <w:rFonts w:ascii="Segoe UI" w:hAnsi="Segoe UI" w:cs="Segoe UI"/>
          <w:sz w:val="24"/>
          <w:szCs w:val="24"/>
        </w:rPr>
        <w:t xml:space="preserve"> ressort</w:t>
      </w:r>
      <w:r w:rsidRPr="00157DB3">
        <w:rPr>
          <w:rFonts w:ascii="Segoe UI" w:hAnsi="Segoe UI" w:cs="Segoe UI"/>
          <w:sz w:val="24"/>
          <w:szCs w:val="24"/>
        </w:rPr>
        <w:t>,</w:t>
      </w:r>
      <w:r w:rsidR="00F007AD" w:rsidRPr="00157DB3">
        <w:rPr>
          <w:rFonts w:ascii="Segoe UI" w:hAnsi="Segoe UI" w:cs="Segoe UI"/>
          <w:sz w:val="24"/>
          <w:szCs w:val="24"/>
        </w:rPr>
        <w:t xml:space="preserve"> </w:t>
      </w:r>
      <w:r w:rsidRPr="00157DB3">
        <w:rPr>
          <w:rFonts w:ascii="Segoe UI" w:hAnsi="Segoe UI" w:cs="Segoe UI"/>
          <w:sz w:val="24"/>
          <w:szCs w:val="24"/>
        </w:rPr>
        <w:t xml:space="preserve">à fin juin 2017, </w:t>
      </w:r>
      <w:r w:rsidR="00F007AD" w:rsidRPr="00157DB3">
        <w:rPr>
          <w:rFonts w:ascii="Segoe UI" w:hAnsi="Segoe UI" w:cs="Segoe UI"/>
          <w:sz w:val="24"/>
          <w:szCs w:val="24"/>
        </w:rPr>
        <w:t>que les importations affichent une baisse de 9,6% en volume mais enregistrent un accroissement de 10,4% en valeur. Cette amélioration des importations en valeur malgré une baisse en volume pourrait être imputable, entre autres, à l’appréciation du dollar face à l’euro sur la période.</w:t>
      </w:r>
    </w:p>
    <w:p w:rsidR="00157DB3" w:rsidRPr="0013433B" w:rsidRDefault="0013433B" w:rsidP="0013433B">
      <w:pPr>
        <w:pStyle w:val="Listedestableaux"/>
        <w:rPr>
          <w:rFonts w:ascii="Segoe UI" w:hAnsi="Segoe UI" w:cs="Segoe UI"/>
        </w:rPr>
      </w:pPr>
      <w:bookmarkStart w:id="9" w:name="_Toc495935937"/>
      <w:r>
        <w:rPr>
          <w:rFonts w:ascii="Segoe UI" w:hAnsi="Segoe UI" w:cs="Segoe UI"/>
          <w:u w:val="single"/>
        </w:rPr>
        <w:t>Tableau</w:t>
      </w:r>
      <w:r w:rsidR="00807BBA">
        <w:rPr>
          <w:rFonts w:ascii="Segoe UI" w:hAnsi="Segoe UI" w:cs="Segoe UI"/>
          <w:u w:val="single"/>
        </w:rPr>
        <w:t xml:space="preserve"> 2</w:t>
      </w:r>
      <w:r w:rsidR="00F007AD" w:rsidRPr="0013433B">
        <w:rPr>
          <w:rFonts w:ascii="Segoe UI" w:hAnsi="Segoe UI" w:cs="Segoe UI"/>
        </w:rPr>
        <w:t> : Quelques indicateurs du commerce extérieur à fin juin</w:t>
      </w:r>
      <w:r>
        <w:rPr>
          <w:rStyle w:val="Appelnotedebasdep"/>
          <w:rFonts w:ascii="Segoe UI" w:hAnsi="Segoe UI" w:cs="Segoe UI"/>
        </w:rPr>
        <w:footnoteReference w:id="1"/>
      </w:r>
      <w:bookmarkEnd w:id="9"/>
    </w:p>
    <w:tbl>
      <w:tblPr>
        <w:tblW w:w="9089" w:type="dxa"/>
        <w:tblInd w:w="75" w:type="dxa"/>
        <w:tblCellMar>
          <w:left w:w="70" w:type="dxa"/>
          <w:right w:w="70" w:type="dxa"/>
        </w:tblCellMar>
        <w:tblLook w:val="04A0" w:firstRow="1" w:lastRow="0" w:firstColumn="1" w:lastColumn="0" w:noHBand="0" w:noVBand="1"/>
      </w:tblPr>
      <w:tblGrid>
        <w:gridCol w:w="1604"/>
        <w:gridCol w:w="273"/>
        <w:gridCol w:w="1946"/>
        <w:gridCol w:w="2142"/>
        <w:gridCol w:w="1946"/>
        <w:gridCol w:w="1178"/>
      </w:tblGrid>
      <w:tr w:rsidR="00157DB3" w:rsidRPr="00157DB3" w:rsidTr="00157DB3">
        <w:trPr>
          <w:trHeight w:val="652"/>
        </w:trPr>
        <w:tc>
          <w:tcPr>
            <w:tcW w:w="1604" w:type="dxa"/>
            <w:tcBorders>
              <w:top w:val="single" w:sz="4" w:space="0" w:color="auto"/>
              <w:left w:val="single" w:sz="4" w:space="0" w:color="auto"/>
              <w:bottom w:val="single" w:sz="4" w:space="0" w:color="auto"/>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p>
        </w:tc>
        <w:tc>
          <w:tcPr>
            <w:tcW w:w="273" w:type="dxa"/>
            <w:tcBorders>
              <w:top w:val="single" w:sz="4" w:space="0" w:color="auto"/>
              <w:left w:val="nil"/>
              <w:bottom w:val="single" w:sz="4" w:space="0" w:color="auto"/>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1946" w:type="dxa"/>
            <w:tcBorders>
              <w:top w:val="single" w:sz="4" w:space="0" w:color="auto"/>
              <w:left w:val="nil"/>
              <w:bottom w:val="single" w:sz="4" w:space="0" w:color="auto"/>
              <w:right w:val="nil"/>
            </w:tcBorders>
            <w:shd w:val="clear" w:color="auto" w:fill="auto"/>
            <w:vAlign w:val="center"/>
            <w:hideMark/>
          </w:tcPr>
          <w:p w:rsidR="00157DB3" w:rsidRPr="00157DB3" w:rsidRDefault="00157DB3" w:rsidP="00157DB3">
            <w:pPr>
              <w:spacing w:line="240" w:lineRule="auto"/>
              <w:jc w:val="center"/>
              <w:rPr>
                <w:rFonts w:ascii="Segoe UI" w:hAnsi="Segoe UI" w:cs="Segoe UI"/>
                <w:b/>
                <w:bCs/>
                <w:color w:val="2F75B5"/>
                <w:sz w:val="18"/>
                <w:szCs w:val="18"/>
              </w:rPr>
            </w:pPr>
            <w:r w:rsidRPr="00157DB3">
              <w:rPr>
                <w:rFonts w:ascii="Segoe UI" w:hAnsi="Segoe UI" w:cs="Segoe UI"/>
                <w:b/>
                <w:bCs/>
                <w:color w:val="2F75B5"/>
                <w:sz w:val="18"/>
                <w:szCs w:val="18"/>
              </w:rPr>
              <w:t>Fin juin 2016</w:t>
            </w:r>
          </w:p>
        </w:tc>
        <w:tc>
          <w:tcPr>
            <w:tcW w:w="2142" w:type="dxa"/>
            <w:tcBorders>
              <w:top w:val="single" w:sz="4" w:space="0" w:color="auto"/>
              <w:left w:val="nil"/>
              <w:bottom w:val="single" w:sz="4" w:space="0" w:color="auto"/>
              <w:right w:val="nil"/>
            </w:tcBorders>
            <w:shd w:val="clear" w:color="auto" w:fill="auto"/>
            <w:vAlign w:val="center"/>
            <w:hideMark/>
          </w:tcPr>
          <w:p w:rsidR="00157DB3" w:rsidRPr="00157DB3" w:rsidRDefault="00157DB3" w:rsidP="00157DB3">
            <w:pPr>
              <w:spacing w:line="240" w:lineRule="auto"/>
              <w:jc w:val="center"/>
              <w:rPr>
                <w:rFonts w:ascii="Segoe UI" w:hAnsi="Segoe UI" w:cs="Segoe UI"/>
                <w:b/>
                <w:bCs/>
                <w:color w:val="2F75B5"/>
                <w:sz w:val="18"/>
                <w:szCs w:val="18"/>
              </w:rPr>
            </w:pPr>
            <w:r w:rsidRPr="00157DB3">
              <w:rPr>
                <w:rFonts w:ascii="Segoe UI" w:hAnsi="Segoe UI" w:cs="Segoe UI"/>
                <w:b/>
                <w:bCs/>
                <w:color w:val="2F75B5"/>
                <w:sz w:val="18"/>
                <w:szCs w:val="18"/>
              </w:rPr>
              <w:t xml:space="preserve">Fin </w:t>
            </w:r>
            <w:proofErr w:type="spellStart"/>
            <w:r w:rsidRPr="00157DB3">
              <w:rPr>
                <w:rFonts w:ascii="Segoe UI" w:hAnsi="Segoe UI" w:cs="Segoe UI"/>
                <w:b/>
                <w:bCs/>
                <w:color w:val="2F75B5"/>
                <w:sz w:val="18"/>
                <w:szCs w:val="18"/>
              </w:rPr>
              <w:t>déc</w:t>
            </w:r>
            <w:proofErr w:type="spellEnd"/>
            <w:r w:rsidRPr="00157DB3">
              <w:rPr>
                <w:rFonts w:ascii="Segoe UI" w:hAnsi="Segoe UI" w:cs="Segoe UI"/>
                <w:b/>
                <w:bCs/>
                <w:color w:val="2F75B5"/>
                <w:sz w:val="18"/>
                <w:szCs w:val="18"/>
              </w:rPr>
              <w:t xml:space="preserve"> 2016</w:t>
            </w:r>
          </w:p>
        </w:tc>
        <w:tc>
          <w:tcPr>
            <w:tcW w:w="1946" w:type="dxa"/>
            <w:tcBorders>
              <w:top w:val="single" w:sz="4" w:space="0" w:color="auto"/>
              <w:left w:val="nil"/>
              <w:bottom w:val="single" w:sz="4" w:space="0" w:color="auto"/>
              <w:right w:val="nil"/>
            </w:tcBorders>
            <w:shd w:val="clear" w:color="auto" w:fill="auto"/>
            <w:vAlign w:val="center"/>
            <w:hideMark/>
          </w:tcPr>
          <w:p w:rsidR="00157DB3" w:rsidRPr="00157DB3" w:rsidRDefault="00157DB3" w:rsidP="00157DB3">
            <w:pPr>
              <w:spacing w:line="240" w:lineRule="auto"/>
              <w:jc w:val="center"/>
              <w:rPr>
                <w:rFonts w:ascii="Segoe UI" w:hAnsi="Segoe UI" w:cs="Segoe UI"/>
                <w:b/>
                <w:bCs/>
                <w:color w:val="2F75B5"/>
                <w:sz w:val="18"/>
                <w:szCs w:val="18"/>
              </w:rPr>
            </w:pPr>
            <w:r w:rsidRPr="00157DB3">
              <w:rPr>
                <w:rFonts w:ascii="Segoe UI" w:hAnsi="Segoe UI" w:cs="Segoe UI"/>
                <w:b/>
                <w:bCs/>
                <w:color w:val="2F75B5"/>
                <w:sz w:val="18"/>
                <w:szCs w:val="18"/>
              </w:rPr>
              <w:t>Fin juin 2017</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157DB3" w:rsidRPr="00157DB3" w:rsidRDefault="00157DB3" w:rsidP="00157DB3">
            <w:pPr>
              <w:spacing w:line="240" w:lineRule="auto"/>
              <w:jc w:val="center"/>
              <w:rPr>
                <w:rFonts w:ascii="Segoe UI" w:hAnsi="Segoe UI" w:cs="Segoe UI"/>
                <w:b/>
                <w:bCs/>
                <w:color w:val="2F75B5"/>
                <w:sz w:val="18"/>
                <w:szCs w:val="18"/>
              </w:rPr>
            </w:pPr>
            <w:r w:rsidRPr="00157DB3">
              <w:rPr>
                <w:rFonts w:ascii="Segoe UI" w:hAnsi="Segoe UI" w:cs="Segoe UI"/>
                <w:b/>
                <w:bCs/>
                <w:color w:val="2F75B5"/>
                <w:sz w:val="18"/>
                <w:szCs w:val="18"/>
              </w:rPr>
              <w:t>Variation fin juin 2016-2017</w:t>
            </w:r>
          </w:p>
        </w:tc>
      </w:tr>
      <w:tr w:rsidR="00157DB3" w:rsidRPr="00157DB3" w:rsidTr="00157DB3">
        <w:trPr>
          <w:trHeight w:val="160"/>
        </w:trPr>
        <w:tc>
          <w:tcPr>
            <w:tcW w:w="1877" w:type="dxa"/>
            <w:gridSpan w:val="2"/>
            <w:tcBorders>
              <w:top w:val="single" w:sz="4" w:space="0" w:color="auto"/>
              <w:left w:val="single" w:sz="4" w:space="0" w:color="auto"/>
              <w:bottom w:val="nil"/>
              <w:right w:val="single" w:sz="4" w:space="0" w:color="000000"/>
            </w:tcBorders>
            <w:shd w:val="clear" w:color="auto" w:fill="auto"/>
            <w:noWrap/>
            <w:vAlign w:val="bottom"/>
            <w:hideMark/>
          </w:tcPr>
          <w:p w:rsidR="00157DB3" w:rsidRPr="00157DB3" w:rsidRDefault="00157DB3" w:rsidP="00157DB3">
            <w:pPr>
              <w:spacing w:line="240" w:lineRule="auto"/>
              <w:rPr>
                <w:rFonts w:ascii="Segoe UI" w:hAnsi="Segoe UI" w:cs="Segoe UI"/>
                <w:b/>
                <w:bCs/>
                <w:color w:val="000000"/>
                <w:sz w:val="18"/>
                <w:szCs w:val="18"/>
              </w:rPr>
            </w:pPr>
            <w:r w:rsidRPr="00157DB3">
              <w:rPr>
                <w:rFonts w:ascii="Segoe UI" w:hAnsi="Segoe UI" w:cs="Segoe UI"/>
                <w:b/>
                <w:bCs/>
                <w:color w:val="000000"/>
                <w:sz w:val="18"/>
                <w:szCs w:val="18"/>
              </w:rPr>
              <w:t xml:space="preserve"> IMPORTATION</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2142"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1178" w:type="dxa"/>
            <w:tcBorders>
              <w:top w:val="nil"/>
              <w:left w:val="nil"/>
              <w:bottom w:val="nil"/>
              <w:right w:val="single" w:sz="4" w:space="0" w:color="auto"/>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r>
      <w:tr w:rsidR="00157DB3" w:rsidRPr="00157DB3" w:rsidTr="00157DB3">
        <w:trPr>
          <w:trHeight w:val="173"/>
        </w:trPr>
        <w:tc>
          <w:tcPr>
            <w:tcW w:w="1877" w:type="dxa"/>
            <w:gridSpan w:val="2"/>
            <w:tcBorders>
              <w:top w:val="nil"/>
              <w:left w:val="single" w:sz="4" w:space="0" w:color="auto"/>
              <w:bottom w:val="nil"/>
              <w:right w:val="single" w:sz="4" w:space="0" w:color="000000"/>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xml:space="preserve">     En volume</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2 395 640 522</w:t>
            </w:r>
          </w:p>
        </w:tc>
        <w:tc>
          <w:tcPr>
            <w:tcW w:w="2142"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4 676 053 725</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2 165 873 957</w:t>
            </w:r>
          </w:p>
        </w:tc>
        <w:tc>
          <w:tcPr>
            <w:tcW w:w="1178" w:type="dxa"/>
            <w:tcBorders>
              <w:top w:val="nil"/>
              <w:left w:val="nil"/>
              <w:bottom w:val="nil"/>
              <w:right w:val="single" w:sz="4" w:space="0" w:color="auto"/>
            </w:tcBorders>
            <w:shd w:val="clear" w:color="auto" w:fill="auto"/>
            <w:noWrap/>
            <w:vAlign w:val="bottom"/>
            <w:hideMark/>
          </w:tcPr>
          <w:p w:rsidR="00157DB3" w:rsidRPr="00157DB3" w:rsidRDefault="00157DB3" w:rsidP="00157DB3">
            <w:pPr>
              <w:spacing w:line="240" w:lineRule="auto"/>
              <w:jc w:val="right"/>
              <w:rPr>
                <w:rFonts w:ascii="Segoe UI" w:hAnsi="Segoe UI" w:cs="Segoe UI"/>
                <w:b/>
                <w:bCs/>
                <w:color w:val="C65911"/>
                <w:sz w:val="18"/>
                <w:szCs w:val="18"/>
              </w:rPr>
            </w:pPr>
            <w:r w:rsidRPr="00157DB3">
              <w:rPr>
                <w:rFonts w:ascii="Segoe UI" w:hAnsi="Segoe UI" w:cs="Segoe UI"/>
                <w:b/>
                <w:bCs/>
                <w:color w:val="C65911"/>
                <w:sz w:val="18"/>
                <w:szCs w:val="18"/>
              </w:rPr>
              <w:t>-9,6%</w:t>
            </w:r>
          </w:p>
        </w:tc>
      </w:tr>
      <w:tr w:rsidR="00157DB3" w:rsidRPr="00157DB3" w:rsidTr="00157DB3">
        <w:trPr>
          <w:trHeight w:val="173"/>
        </w:trPr>
        <w:tc>
          <w:tcPr>
            <w:tcW w:w="1604" w:type="dxa"/>
            <w:tcBorders>
              <w:top w:val="nil"/>
              <w:left w:val="single" w:sz="4" w:space="0" w:color="auto"/>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xml:space="preserve">     En valeur</w:t>
            </w:r>
          </w:p>
        </w:tc>
        <w:tc>
          <w:tcPr>
            <w:tcW w:w="273" w:type="dxa"/>
            <w:tcBorders>
              <w:top w:val="nil"/>
              <w:left w:val="nil"/>
              <w:bottom w:val="nil"/>
              <w:right w:val="single" w:sz="4" w:space="0" w:color="auto"/>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633 143 909 533</w:t>
            </w:r>
          </w:p>
        </w:tc>
        <w:tc>
          <w:tcPr>
            <w:tcW w:w="2142"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1 335 219 290 383</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699 244 356 132</w:t>
            </w:r>
          </w:p>
        </w:tc>
        <w:tc>
          <w:tcPr>
            <w:tcW w:w="1178" w:type="dxa"/>
            <w:tcBorders>
              <w:top w:val="nil"/>
              <w:left w:val="nil"/>
              <w:bottom w:val="nil"/>
              <w:right w:val="single" w:sz="4" w:space="0" w:color="auto"/>
            </w:tcBorders>
            <w:shd w:val="clear" w:color="auto" w:fill="auto"/>
            <w:noWrap/>
            <w:vAlign w:val="bottom"/>
            <w:hideMark/>
          </w:tcPr>
          <w:p w:rsidR="00157DB3" w:rsidRPr="00157DB3" w:rsidRDefault="00157DB3" w:rsidP="00157DB3">
            <w:pPr>
              <w:spacing w:line="240" w:lineRule="auto"/>
              <w:jc w:val="right"/>
              <w:rPr>
                <w:rFonts w:ascii="Segoe UI" w:hAnsi="Segoe UI" w:cs="Segoe UI"/>
                <w:b/>
                <w:bCs/>
                <w:color w:val="C65911"/>
                <w:sz w:val="18"/>
                <w:szCs w:val="18"/>
              </w:rPr>
            </w:pPr>
            <w:r w:rsidRPr="00157DB3">
              <w:rPr>
                <w:rFonts w:ascii="Segoe UI" w:hAnsi="Segoe UI" w:cs="Segoe UI"/>
                <w:b/>
                <w:bCs/>
                <w:color w:val="C65911"/>
                <w:sz w:val="18"/>
                <w:szCs w:val="18"/>
              </w:rPr>
              <w:t>10,4%</w:t>
            </w:r>
          </w:p>
        </w:tc>
      </w:tr>
      <w:tr w:rsidR="00157DB3" w:rsidRPr="00157DB3" w:rsidTr="00157DB3">
        <w:trPr>
          <w:trHeight w:val="173"/>
        </w:trPr>
        <w:tc>
          <w:tcPr>
            <w:tcW w:w="1877" w:type="dxa"/>
            <w:gridSpan w:val="2"/>
            <w:tcBorders>
              <w:top w:val="nil"/>
              <w:left w:val="single" w:sz="4" w:space="0" w:color="auto"/>
              <w:bottom w:val="nil"/>
              <w:right w:val="single" w:sz="4" w:space="0" w:color="000000"/>
            </w:tcBorders>
            <w:shd w:val="clear" w:color="auto" w:fill="auto"/>
            <w:noWrap/>
            <w:vAlign w:val="bottom"/>
            <w:hideMark/>
          </w:tcPr>
          <w:p w:rsidR="00157DB3" w:rsidRPr="00157DB3" w:rsidRDefault="00157DB3" w:rsidP="00157DB3">
            <w:pPr>
              <w:spacing w:line="240" w:lineRule="auto"/>
              <w:rPr>
                <w:rFonts w:ascii="Segoe UI" w:hAnsi="Segoe UI" w:cs="Segoe UI"/>
                <w:b/>
                <w:bCs/>
                <w:color w:val="000000"/>
                <w:sz w:val="18"/>
                <w:szCs w:val="18"/>
              </w:rPr>
            </w:pPr>
            <w:r w:rsidRPr="00157DB3">
              <w:rPr>
                <w:rFonts w:ascii="Segoe UI" w:hAnsi="Segoe UI" w:cs="Segoe UI"/>
                <w:b/>
                <w:bCs/>
                <w:color w:val="000000"/>
                <w:sz w:val="18"/>
                <w:szCs w:val="18"/>
              </w:rPr>
              <w:t>EXPORTATION</w:t>
            </w: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p>
        </w:tc>
        <w:tc>
          <w:tcPr>
            <w:tcW w:w="2142"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p>
        </w:tc>
        <w:tc>
          <w:tcPr>
            <w:tcW w:w="1946" w:type="dxa"/>
            <w:tcBorders>
              <w:top w:val="nil"/>
              <w:left w:val="nil"/>
              <w:bottom w:val="nil"/>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p>
        </w:tc>
        <w:tc>
          <w:tcPr>
            <w:tcW w:w="1178" w:type="dxa"/>
            <w:tcBorders>
              <w:top w:val="nil"/>
              <w:left w:val="nil"/>
              <w:bottom w:val="nil"/>
              <w:right w:val="single" w:sz="4" w:space="0" w:color="auto"/>
            </w:tcBorders>
            <w:shd w:val="clear" w:color="auto" w:fill="auto"/>
            <w:noWrap/>
            <w:vAlign w:val="bottom"/>
            <w:hideMark/>
          </w:tcPr>
          <w:p w:rsidR="00157DB3" w:rsidRPr="00157DB3" w:rsidRDefault="00157DB3" w:rsidP="00157DB3">
            <w:pPr>
              <w:spacing w:line="240" w:lineRule="auto"/>
              <w:rPr>
                <w:rFonts w:ascii="Segoe UI" w:hAnsi="Segoe UI" w:cs="Segoe UI"/>
                <w:b/>
                <w:bCs/>
                <w:color w:val="C65911"/>
                <w:sz w:val="18"/>
                <w:szCs w:val="18"/>
              </w:rPr>
            </w:pPr>
            <w:r w:rsidRPr="00157DB3">
              <w:rPr>
                <w:rFonts w:ascii="Segoe UI" w:hAnsi="Segoe UI" w:cs="Segoe UI"/>
                <w:b/>
                <w:bCs/>
                <w:color w:val="C65911"/>
                <w:sz w:val="18"/>
                <w:szCs w:val="18"/>
              </w:rPr>
              <w:t> </w:t>
            </w:r>
          </w:p>
        </w:tc>
      </w:tr>
      <w:tr w:rsidR="00157DB3" w:rsidRPr="00157DB3" w:rsidTr="00157DB3">
        <w:trPr>
          <w:trHeight w:val="173"/>
        </w:trPr>
        <w:tc>
          <w:tcPr>
            <w:tcW w:w="1877" w:type="dxa"/>
            <w:gridSpan w:val="2"/>
            <w:tcBorders>
              <w:top w:val="nil"/>
              <w:left w:val="single" w:sz="4" w:space="0" w:color="auto"/>
              <w:right w:val="single" w:sz="4" w:space="0" w:color="000000"/>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xml:space="preserve">     En volume</w:t>
            </w:r>
          </w:p>
        </w:tc>
        <w:tc>
          <w:tcPr>
            <w:tcW w:w="1946" w:type="dxa"/>
            <w:tcBorders>
              <w:top w:val="nil"/>
              <w:left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471 899 837</w:t>
            </w:r>
          </w:p>
        </w:tc>
        <w:tc>
          <w:tcPr>
            <w:tcW w:w="2142" w:type="dxa"/>
            <w:tcBorders>
              <w:top w:val="nil"/>
              <w:left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471 899 837</w:t>
            </w:r>
          </w:p>
        </w:tc>
        <w:tc>
          <w:tcPr>
            <w:tcW w:w="1946" w:type="dxa"/>
            <w:tcBorders>
              <w:top w:val="nil"/>
              <w:left w:val="nil"/>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549 645 310</w:t>
            </w:r>
          </w:p>
        </w:tc>
        <w:tc>
          <w:tcPr>
            <w:tcW w:w="1178" w:type="dxa"/>
            <w:tcBorders>
              <w:top w:val="nil"/>
              <w:left w:val="nil"/>
              <w:right w:val="single" w:sz="4" w:space="0" w:color="auto"/>
            </w:tcBorders>
            <w:shd w:val="clear" w:color="auto" w:fill="auto"/>
            <w:noWrap/>
            <w:vAlign w:val="bottom"/>
            <w:hideMark/>
          </w:tcPr>
          <w:p w:rsidR="00157DB3" w:rsidRPr="00157DB3" w:rsidRDefault="00157DB3" w:rsidP="00157DB3">
            <w:pPr>
              <w:spacing w:line="240" w:lineRule="auto"/>
              <w:jc w:val="right"/>
              <w:rPr>
                <w:rFonts w:ascii="Segoe UI" w:hAnsi="Segoe UI" w:cs="Segoe UI"/>
                <w:b/>
                <w:bCs/>
                <w:color w:val="C65911"/>
                <w:sz w:val="18"/>
                <w:szCs w:val="18"/>
              </w:rPr>
            </w:pPr>
            <w:r w:rsidRPr="00157DB3">
              <w:rPr>
                <w:rFonts w:ascii="Segoe UI" w:hAnsi="Segoe UI" w:cs="Segoe UI"/>
                <w:b/>
                <w:bCs/>
                <w:color w:val="C65911"/>
                <w:sz w:val="18"/>
                <w:szCs w:val="18"/>
              </w:rPr>
              <w:t>16,5%</w:t>
            </w:r>
          </w:p>
        </w:tc>
      </w:tr>
      <w:tr w:rsidR="00157DB3" w:rsidRPr="00157DB3" w:rsidTr="00157DB3">
        <w:trPr>
          <w:trHeight w:val="173"/>
        </w:trPr>
        <w:tc>
          <w:tcPr>
            <w:tcW w:w="1604" w:type="dxa"/>
            <w:tcBorders>
              <w:top w:val="nil"/>
              <w:left w:val="single" w:sz="4" w:space="0" w:color="auto"/>
              <w:bottom w:val="single" w:sz="4" w:space="0" w:color="auto"/>
              <w:right w:val="nil"/>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xml:space="preserve">     En valeur</w:t>
            </w:r>
          </w:p>
        </w:tc>
        <w:tc>
          <w:tcPr>
            <w:tcW w:w="273" w:type="dxa"/>
            <w:tcBorders>
              <w:top w:val="nil"/>
              <w:left w:val="nil"/>
              <w:bottom w:val="single" w:sz="4" w:space="0" w:color="auto"/>
              <w:right w:val="single" w:sz="4" w:space="0" w:color="auto"/>
            </w:tcBorders>
            <w:shd w:val="clear" w:color="auto" w:fill="auto"/>
            <w:noWrap/>
            <w:vAlign w:val="bottom"/>
            <w:hideMark/>
          </w:tcPr>
          <w:p w:rsidR="00157DB3" w:rsidRPr="00157DB3" w:rsidRDefault="00157DB3" w:rsidP="00157DB3">
            <w:pPr>
              <w:spacing w:line="240" w:lineRule="auto"/>
              <w:rPr>
                <w:rFonts w:ascii="Segoe UI" w:hAnsi="Segoe UI" w:cs="Segoe UI"/>
                <w:color w:val="000000"/>
                <w:sz w:val="18"/>
                <w:szCs w:val="18"/>
              </w:rPr>
            </w:pPr>
            <w:r w:rsidRPr="00157DB3">
              <w:rPr>
                <w:rFonts w:ascii="Segoe UI" w:hAnsi="Segoe UI" w:cs="Segoe UI"/>
                <w:color w:val="000000"/>
                <w:sz w:val="18"/>
                <w:szCs w:val="18"/>
              </w:rPr>
              <w:t> </w:t>
            </w:r>
          </w:p>
        </w:tc>
        <w:tc>
          <w:tcPr>
            <w:tcW w:w="1946" w:type="dxa"/>
            <w:tcBorders>
              <w:top w:val="nil"/>
              <w:left w:val="nil"/>
              <w:bottom w:val="single" w:sz="4" w:space="0" w:color="auto"/>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137 915 233 421</w:t>
            </w:r>
          </w:p>
        </w:tc>
        <w:tc>
          <w:tcPr>
            <w:tcW w:w="2142" w:type="dxa"/>
            <w:tcBorders>
              <w:top w:val="nil"/>
              <w:left w:val="nil"/>
              <w:bottom w:val="single" w:sz="4" w:space="0" w:color="auto"/>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137 915 233 421</w:t>
            </w:r>
          </w:p>
        </w:tc>
        <w:tc>
          <w:tcPr>
            <w:tcW w:w="1946" w:type="dxa"/>
            <w:tcBorders>
              <w:top w:val="nil"/>
              <w:left w:val="nil"/>
              <w:bottom w:val="single" w:sz="4" w:space="0" w:color="auto"/>
              <w:right w:val="nil"/>
            </w:tcBorders>
            <w:shd w:val="clear" w:color="auto" w:fill="auto"/>
            <w:noWrap/>
            <w:vAlign w:val="bottom"/>
            <w:hideMark/>
          </w:tcPr>
          <w:p w:rsidR="00157DB3" w:rsidRPr="00157DB3" w:rsidRDefault="00157DB3" w:rsidP="00157DB3">
            <w:pPr>
              <w:spacing w:line="240" w:lineRule="auto"/>
              <w:jc w:val="right"/>
              <w:rPr>
                <w:rFonts w:ascii="Segoe UI" w:hAnsi="Segoe UI" w:cs="Segoe UI"/>
                <w:color w:val="000000"/>
                <w:sz w:val="18"/>
                <w:szCs w:val="18"/>
              </w:rPr>
            </w:pPr>
            <w:r w:rsidRPr="00157DB3">
              <w:rPr>
                <w:rFonts w:ascii="Segoe UI" w:hAnsi="Segoe UI" w:cs="Segoe UI"/>
                <w:color w:val="000000"/>
                <w:sz w:val="18"/>
                <w:szCs w:val="18"/>
              </w:rPr>
              <w:t>249 197 961 917</w:t>
            </w:r>
          </w:p>
        </w:tc>
        <w:tc>
          <w:tcPr>
            <w:tcW w:w="1178" w:type="dxa"/>
            <w:tcBorders>
              <w:top w:val="nil"/>
              <w:left w:val="nil"/>
              <w:bottom w:val="single" w:sz="4" w:space="0" w:color="auto"/>
              <w:right w:val="single" w:sz="4" w:space="0" w:color="auto"/>
            </w:tcBorders>
            <w:shd w:val="clear" w:color="auto" w:fill="auto"/>
            <w:noWrap/>
            <w:vAlign w:val="bottom"/>
            <w:hideMark/>
          </w:tcPr>
          <w:p w:rsidR="00157DB3" w:rsidRPr="00157DB3" w:rsidRDefault="00157DB3" w:rsidP="00157DB3">
            <w:pPr>
              <w:spacing w:line="240" w:lineRule="auto"/>
              <w:jc w:val="right"/>
              <w:rPr>
                <w:rFonts w:ascii="Segoe UI" w:hAnsi="Segoe UI" w:cs="Segoe UI"/>
                <w:b/>
                <w:bCs/>
                <w:color w:val="C65911"/>
                <w:sz w:val="18"/>
                <w:szCs w:val="18"/>
              </w:rPr>
            </w:pPr>
            <w:r w:rsidRPr="00157DB3">
              <w:rPr>
                <w:rFonts w:ascii="Segoe UI" w:hAnsi="Segoe UI" w:cs="Segoe UI"/>
                <w:b/>
                <w:bCs/>
                <w:color w:val="C65911"/>
                <w:sz w:val="18"/>
                <w:szCs w:val="18"/>
              </w:rPr>
              <w:t>80,7%</w:t>
            </w:r>
          </w:p>
        </w:tc>
      </w:tr>
    </w:tbl>
    <w:p w:rsidR="00F007AD" w:rsidRPr="00157DB3" w:rsidRDefault="00F007AD" w:rsidP="00F007AD">
      <w:pPr>
        <w:spacing w:before="120" w:after="120" w:line="360" w:lineRule="auto"/>
        <w:rPr>
          <w:rFonts w:ascii="Segoe UI" w:hAnsi="Segoe UI" w:cs="Segoe UI"/>
          <w:sz w:val="20"/>
        </w:rPr>
      </w:pPr>
      <w:r w:rsidRPr="00157DB3">
        <w:rPr>
          <w:rFonts w:ascii="Segoe UI" w:hAnsi="Segoe UI" w:cs="Segoe UI"/>
          <w:sz w:val="20"/>
          <w:u w:val="single"/>
        </w:rPr>
        <w:t>Source</w:t>
      </w:r>
      <w:r w:rsidRPr="00157DB3">
        <w:rPr>
          <w:rFonts w:ascii="Segoe UI" w:hAnsi="Segoe UI" w:cs="Segoe UI"/>
          <w:sz w:val="20"/>
        </w:rPr>
        <w:t> : DGAE, sur la base des données de l’INSAE</w:t>
      </w:r>
    </w:p>
    <w:p w:rsidR="00F007AD" w:rsidRPr="001B7453" w:rsidRDefault="00F007AD" w:rsidP="00F007AD">
      <w:pPr>
        <w:spacing w:before="120" w:after="120" w:line="360" w:lineRule="auto"/>
        <w:jc w:val="both"/>
        <w:rPr>
          <w:rFonts w:ascii="Segoe UI" w:hAnsi="Segoe UI" w:cs="Segoe UI"/>
          <w:sz w:val="24"/>
        </w:rPr>
      </w:pPr>
      <w:r w:rsidRPr="001B7453">
        <w:rPr>
          <w:rFonts w:ascii="Segoe UI" w:hAnsi="Segoe UI" w:cs="Segoe UI"/>
          <w:sz w:val="24"/>
        </w:rPr>
        <w:lastRenderedPageBreak/>
        <w:t>Contrairement aux importations, les exportations affichent une nette progression, aussi bien en volume qu’en valeur. Cette hausse serait due principalement à la hausse des exportations de produits agricoles, notamment le coton, sur la période.</w:t>
      </w:r>
    </w:p>
    <w:p w:rsidR="00F007AD" w:rsidRPr="001B7453" w:rsidRDefault="00F007AD" w:rsidP="00F007AD">
      <w:pPr>
        <w:spacing w:before="120" w:after="120" w:line="360" w:lineRule="auto"/>
        <w:jc w:val="both"/>
        <w:rPr>
          <w:rFonts w:ascii="Bookman Old Style" w:hAnsi="Bookman Old Style"/>
          <w:sz w:val="4"/>
        </w:rPr>
      </w:pPr>
    </w:p>
    <w:p w:rsidR="00F007AD" w:rsidRPr="005C3206" w:rsidRDefault="005C3206" w:rsidP="005C3206">
      <w:pPr>
        <w:spacing w:before="120" w:after="120" w:line="360" w:lineRule="auto"/>
        <w:contextualSpacing/>
        <w:jc w:val="both"/>
        <w:rPr>
          <w:rFonts w:ascii="Segoe UI" w:hAnsi="Segoe UI" w:cs="Segoe UI"/>
          <w:sz w:val="24"/>
        </w:rPr>
      </w:pPr>
      <w:r w:rsidRPr="005C3206">
        <w:rPr>
          <w:rFonts w:ascii="Segoe UI" w:hAnsi="Segoe UI" w:cs="Segoe UI"/>
          <w:b/>
          <w:sz w:val="24"/>
        </w:rPr>
        <w:t>En ce qui concerne la situation m</w:t>
      </w:r>
      <w:r w:rsidR="00F007AD" w:rsidRPr="005C3206">
        <w:rPr>
          <w:rFonts w:ascii="Segoe UI" w:hAnsi="Segoe UI" w:cs="Segoe UI"/>
          <w:b/>
          <w:sz w:val="24"/>
        </w:rPr>
        <w:t>onétaire</w:t>
      </w:r>
      <w:r w:rsidRPr="005C3206">
        <w:rPr>
          <w:rFonts w:ascii="Segoe UI" w:hAnsi="Segoe UI" w:cs="Segoe UI"/>
          <w:b/>
          <w:sz w:val="24"/>
        </w:rPr>
        <w:t xml:space="preserve">, </w:t>
      </w:r>
      <w:r w:rsidRPr="005C3206">
        <w:rPr>
          <w:rFonts w:ascii="Segoe UI" w:hAnsi="Segoe UI" w:cs="Segoe UI"/>
          <w:sz w:val="24"/>
        </w:rPr>
        <w:t xml:space="preserve">elle est, à fin juin 2017, </w:t>
      </w:r>
      <w:r w:rsidR="00F007AD" w:rsidRPr="005C3206">
        <w:rPr>
          <w:rFonts w:ascii="Segoe UI" w:hAnsi="Segoe UI" w:cs="Segoe UI"/>
          <w:sz w:val="24"/>
        </w:rPr>
        <w:t>caractérisée par une progression de 3,5%</w:t>
      </w:r>
      <w:r w:rsidR="001B7453">
        <w:rPr>
          <w:rStyle w:val="Appelnotedebasdep"/>
          <w:rFonts w:ascii="Segoe UI" w:hAnsi="Segoe UI" w:cs="Segoe UI"/>
          <w:sz w:val="24"/>
        </w:rPr>
        <w:footnoteReference w:id="2"/>
      </w:r>
      <w:r w:rsidR="00F007AD" w:rsidRPr="005C3206">
        <w:rPr>
          <w:rFonts w:ascii="Segoe UI" w:hAnsi="Segoe UI" w:cs="Segoe UI"/>
          <w:sz w:val="24"/>
        </w:rPr>
        <w:t xml:space="preserve"> de la masse monétaire. Cette amélioration de la masse monétaire se justifie par les évolutions de ses contreparties que sont les avoirs extérieurs nets et le crédit intérieur. </w:t>
      </w:r>
    </w:p>
    <w:p w:rsidR="00F007AD" w:rsidRPr="001B7453" w:rsidRDefault="00F007AD" w:rsidP="00F007AD">
      <w:pPr>
        <w:spacing w:before="120" w:after="120" w:line="360" w:lineRule="auto"/>
        <w:jc w:val="both"/>
        <w:rPr>
          <w:rFonts w:ascii="Segoe UI" w:hAnsi="Segoe UI" w:cs="Segoe UI"/>
          <w:sz w:val="24"/>
          <w:szCs w:val="24"/>
        </w:rPr>
      </w:pPr>
      <w:r w:rsidRPr="001B7453">
        <w:rPr>
          <w:rFonts w:ascii="Segoe UI" w:hAnsi="Segoe UI" w:cs="Segoe UI"/>
          <w:b/>
          <w:sz w:val="24"/>
          <w:szCs w:val="24"/>
        </w:rPr>
        <w:t>En perspectives pour l’ensemble de l’année</w:t>
      </w:r>
      <w:r w:rsidRPr="001B7453">
        <w:rPr>
          <w:rFonts w:ascii="Segoe UI" w:hAnsi="Segoe UI" w:cs="Segoe UI"/>
          <w:sz w:val="24"/>
          <w:szCs w:val="24"/>
        </w:rPr>
        <w:t xml:space="preserve">, il est attendu une amélioration de la croissance économique par rapport à 2016. </w:t>
      </w:r>
    </w:p>
    <w:p w:rsidR="00F007AD" w:rsidRPr="001B7453" w:rsidRDefault="00F007AD" w:rsidP="00F007AD">
      <w:pPr>
        <w:spacing w:before="120" w:after="120" w:line="360" w:lineRule="auto"/>
        <w:jc w:val="both"/>
        <w:rPr>
          <w:rFonts w:ascii="Segoe UI" w:hAnsi="Segoe UI" w:cs="Segoe UI"/>
          <w:sz w:val="24"/>
          <w:szCs w:val="24"/>
        </w:rPr>
      </w:pPr>
      <w:r w:rsidRPr="001B7453">
        <w:rPr>
          <w:rFonts w:ascii="Segoe UI" w:hAnsi="Segoe UI" w:cs="Segoe UI"/>
          <w:sz w:val="24"/>
          <w:szCs w:val="24"/>
        </w:rPr>
        <w:t>En effet, le taux de croissance du PIB devrait s’établir entre 5,4% et 6,0% en 2017 contre une estimation de 4,0% en 2016. Cette accélération par rapport à 2016, sera portée par la poursuite de la mise en œuvre du PAG et le renforcement de la lutte contre la fraude et l’évasion fiscales.</w:t>
      </w:r>
    </w:p>
    <w:p w:rsidR="00F007AD" w:rsidRPr="001B7453" w:rsidRDefault="00F007AD" w:rsidP="00F007AD">
      <w:pPr>
        <w:spacing w:before="120" w:after="120" w:line="360" w:lineRule="auto"/>
        <w:jc w:val="both"/>
        <w:rPr>
          <w:rFonts w:ascii="Segoe UI" w:hAnsi="Segoe UI" w:cs="Segoe UI"/>
          <w:sz w:val="24"/>
          <w:szCs w:val="24"/>
        </w:rPr>
      </w:pPr>
      <w:r w:rsidRPr="001B7453">
        <w:rPr>
          <w:rFonts w:ascii="Segoe UI" w:hAnsi="Segoe UI" w:cs="Segoe UI"/>
          <w:sz w:val="24"/>
          <w:szCs w:val="24"/>
        </w:rPr>
        <w:t>Elle s’inscrirait dans un contexte non inflationniste, avec un taux d’inflation contenu en deçà de la norme communautaire de 3,0%.</w:t>
      </w:r>
    </w:p>
    <w:p w:rsidR="002C11DF" w:rsidRPr="00215B3D" w:rsidRDefault="00381F7F" w:rsidP="007B150D">
      <w:pPr>
        <w:pStyle w:val="Titre1"/>
        <w:numPr>
          <w:ilvl w:val="0"/>
          <w:numId w:val="1"/>
        </w:numPr>
        <w:spacing w:before="360"/>
        <w:rPr>
          <w:rFonts w:ascii="Segoe UI" w:hAnsi="Segoe UI" w:cs="Segoe UI"/>
        </w:rPr>
      </w:pPr>
      <w:bookmarkStart w:id="10" w:name="_Toc496024999"/>
      <w:r w:rsidRPr="00215B3D">
        <w:rPr>
          <w:rFonts w:ascii="Segoe UI" w:hAnsi="Segoe UI" w:cs="Segoe UI"/>
        </w:rPr>
        <w:t>SITUATION D’</w:t>
      </w:r>
      <w:r w:rsidR="002C11DF" w:rsidRPr="00215B3D">
        <w:rPr>
          <w:rFonts w:ascii="Segoe UI" w:hAnsi="Segoe UI" w:cs="Segoe UI"/>
        </w:rPr>
        <w:t xml:space="preserve">EXECUTION DU BUDGET DE L’ETAT </w:t>
      </w:r>
      <w:r w:rsidRPr="00215B3D">
        <w:rPr>
          <w:rFonts w:ascii="Segoe UI" w:hAnsi="Segoe UI" w:cs="Segoe UI"/>
        </w:rPr>
        <w:t>AU 3</w:t>
      </w:r>
      <w:r w:rsidR="008A7DEC" w:rsidRPr="00215B3D">
        <w:rPr>
          <w:rFonts w:ascii="Segoe UI" w:hAnsi="Segoe UI" w:cs="Segoe UI"/>
          <w:lang w:eastAsia="x-none"/>
        </w:rPr>
        <w:t>O JUIN</w:t>
      </w:r>
      <w:r w:rsidR="00A4184A" w:rsidRPr="00215B3D">
        <w:rPr>
          <w:rFonts w:ascii="Segoe UI" w:hAnsi="Segoe UI" w:cs="Segoe UI"/>
        </w:rPr>
        <w:t xml:space="preserve"> </w:t>
      </w:r>
      <w:r w:rsidR="002C11DF" w:rsidRPr="00215B3D">
        <w:rPr>
          <w:rFonts w:ascii="Segoe UI" w:hAnsi="Segoe UI" w:cs="Segoe UI"/>
        </w:rPr>
        <w:t>201</w:t>
      </w:r>
      <w:r w:rsidR="008A7DEC" w:rsidRPr="00215B3D">
        <w:rPr>
          <w:rFonts w:ascii="Segoe UI" w:hAnsi="Segoe UI" w:cs="Segoe UI"/>
          <w:lang w:eastAsia="x-none"/>
        </w:rPr>
        <w:t>7</w:t>
      </w:r>
      <w:bookmarkEnd w:id="10"/>
    </w:p>
    <w:p w:rsidR="002C11DF" w:rsidRPr="00215B3D" w:rsidRDefault="002C11DF" w:rsidP="0013433B">
      <w:pPr>
        <w:pStyle w:val="Titre2"/>
        <w:numPr>
          <w:ilvl w:val="0"/>
          <w:numId w:val="45"/>
        </w:numPr>
        <w:spacing w:before="0"/>
        <w:rPr>
          <w:rFonts w:ascii="Segoe UI" w:hAnsi="Segoe UI" w:cs="Segoe UI"/>
        </w:rPr>
      </w:pPr>
      <w:bookmarkStart w:id="11" w:name="_Toc496025000"/>
      <w:r w:rsidRPr="00215B3D">
        <w:rPr>
          <w:rFonts w:ascii="Segoe UI" w:hAnsi="Segoe UI" w:cs="Segoe UI"/>
        </w:rPr>
        <w:t>Recettes budgétaires</w:t>
      </w:r>
      <w:bookmarkEnd w:id="11"/>
    </w:p>
    <w:p w:rsidR="002C11DF" w:rsidRPr="00215B3D" w:rsidRDefault="002C11DF" w:rsidP="001656E1">
      <w:pPr>
        <w:spacing w:after="0"/>
        <w:rPr>
          <w:rFonts w:ascii="Segoe UI" w:hAnsi="Segoe UI" w:cs="Segoe UI"/>
          <w:sz w:val="16"/>
          <w:szCs w:val="16"/>
        </w:rPr>
      </w:pPr>
    </w:p>
    <w:p w:rsidR="0058349A" w:rsidRPr="00C849D8" w:rsidRDefault="0058349A" w:rsidP="0058349A">
      <w:pPr>
        <w:spacing w:after="0"/>
        <w:jc w:val="both"/>
        <w:rPr>
          <w:rFonts w:ascii="Segoe UI" w:hAnsi="Segoe UI" w:cs="Segoe UI"/>
          <w:bCs/>
          <w:iCs/>
          <w:sz w:val="24"/>
          <w:szCs w:val="24"/>
        </w:rPr>
      </w:pPr>
      <w:r w:rsidRPr="00C849D8">
        <w:rPr>
          <w:rFonts w:ascii="Segoe UI" w:hAnsi="Segoe UI" w:cs="Segoe UI"/>
          <w:bCs/>
          <w:iCs/>
          <w:sz w:val="24"/>
          <w:szCs w:val="24"/>
        </w:rPr>
        <w:t>Les recettes budgétaires réalisées à fin juin 2017 ressortent globalement à </w:t>
      </w:r>
      <w:r w:rsidRPr="00C849D8">
        <w:rPr>
          <w:rFonts w:ascii="Segoe UI" w:hAnsi="Segoe UI" w:cs="Segoe UI"/>
          <w:b/>
          <w:bCs/>
          <w:iCs/>
          <w:sz w:val="24"/>
          <w:szCs w:val="24"/>
        </w:rPr>
        <w:t xml:space="preserve">468 250,4 millions de FCFA, </w:t>
      </w:r>
      <w:r w:rsidRPr="00C849D8">
        <w:rPr>
          <w:rFonts w:ascii="Segoe UI" w:hAnsi="Segoe UI" w:cs="Segoe UI"/>
          <w:bCs/>
          <w:iCs/>
          <w:sz w:val="24"/>
          <w:szCs w:val="24"/>
        </w:rPr>
        <w:t>soit</w:t>
      </w:r>
      <w:r w:rsidRPr="00C849D8">
        <w:rPr>
          <w:rFonts w:ascii="Segoe UI" w:hAnsi="Segoe UI" w:cs="Segoe UI"/>
          <w:b/>
          <w:bCs/>
          <w:iCs/>
          <w:sz w:val="24"/>
          <w:szCs w:val="24"/>
        </w:rPr>
        <w:t xml:space="preserve"> 46,5%</w:t>
      </w:r>
      <w:r w:rsidRPr="00C849D8">
        <w:rPr>
          <w:rFonts w:ascii="Segoe UI" w:hAnsi="Segoe UI" w:cs="Segoe UI"/>
          <w:bCs/>
          <w:iCs/>
          <w:sz w:val="24"/>
          <w:szCs w:val="24"/>
        </w:rPr>
        <w:t xml:space="preserve"> de l’objectif annuel fixé à 1 007 725 millions de FCFA. A la même date en 2016, les produits de recettes enregistrés s’élevaient à </w:t>
      </w:r>
      <w:r w:rsidRPr="00C849D8">
        <w:rPr>
          <w:rFonts w:ascii="Segoe UI" w:hAnsi="Segoe UI" w:cs="Segoe UI"/>
          <w:b/>
          <w:bCs/>
          <w:iCs/>
          <w:sz w:val="24"/>
          <w:szCs w:val="24"/>
        </w:rPr>
        <w:t>412 008 millions de FCFA</w:t>
      </w:r>
      <w:r w:rsidRPr="00C849D8">
        <w:rPr>
          <w:rFonts w:ascii="Segoe UI" w:hAnsi="Segoe UI" w:cs="Segoe UI"/>
          <w:bCs/>
          <w:iCs/>
          <w:sz w:val="24"/>
          <w:szCs w:val="24"/>
        </w:rPr>
        <w:t xml:space="preserve">, correspondant à 43,4% des prévisions annuelles de montant </w:t>
      </w:r>
      <w:r w:rsidR="007D078F">
        <w:rPr>
          <w:rFonts w:ascii="Segoe UI" w:hAnsi="Segoe UI" w:cs="Segoe UI"/>
          <w:bCs/>
          <w:iCs/>
          <w:sz w:val="24"/>
          <w:szCs w:val="24"/>
        </w:rPr>
        <w:t xml:space="preserve">           </w:t>
      </w:r>
      <w:r w:rsidRPr="00C849D8">
        <w:rPr>
          <w:rFonts w:ascii="Segoe UI" w:hAnsi="Segoe UI" w:cs="Segoe UI"/>
          <w:bCs/>
          <w:iCs/>
          <w:sz w:val="24"/>
          <w:szCs w:val="24"/>
        </w:rPr>
        <w:t xml:space="preserve">948 519 millions de FCFA. </w:t>
      </w:r>
    </w:p>
    <w:p w:rsidR="0058349A" w:rsidRPr="00C849D8" w:rsidRDefault="0058349A" w:rsidP="0058349A">
      <w:pPr>
        <w:spacing w:after="0"/>
        <w:jc w:val="both"/>
        <w:rPr>
          <w:rFonts w:ascii="Segoe UI" w:hAnsi="Segoe UI" w:cs="Segoe UI"/>
          <w:bCs/>
          <w:iCs/>
          <w:sz w:val="24"/>
          <w:szCs w:val="24"/>
        </w:rPr>
      </w:pPr>
      <w:r w:rsidRPr="00C849D8">
        <w:rPr>
          <w:rFonts w:ascii="Segoe UI" w:hAnsi="Segoe UI" w:cs="Segoe UI"/>
          <w:bCs/>
          <w:iCs/>
          <w:sz w:val="24"/>
          <w:szCs w:val="24"/>
        </w:rPr>
        <w:t xml:space="preserve">La situation infra annuelle présente ainsi en 2017, un effort de mobilisation de 56 242 millions de FCFA, correspondant à un taux d’accroissement de 13,7%. </w:t>
      </w:r>
    </w:p>
    <w:p w:rsidR="0058349A" w:rsidRPr="00C849D8" w:rsidRDefault="0058349A" w:rsidP="0058349A">
      <w:pPr>
        <w:spacing w:after="0"/>
        <w:jc w:val="both"/>
        <w:rPr>
          <w:rFonts w:ascii="Segoe UI" w:hAnsi="Segoe UI" w:cs="Segoe UI"/>
          <w:bCs/>
          <w:iCs/>
          <w:sz w:val="16"/>
          <w:szCs w:val="24"/>
        </w:rPr>
      </w:pPr>
    </w:p>
    <w:p w:rsidR="0058349A" w:rsidRPr="00C849D8" w:rsidRDefault="0058349A" w:rsidP="0058349A">
      <w:pPr>
        <w:spacing w:after="0"/>
        <w:jc w:val="both"/>
        <w:rPr>
          <w:rFonts w:ascii="Segoe UI" w:hAnsi="Segoe UI" w:cs="Segoe UI"/>
          <w:bCs/>
          <w:iCs/>
          <w:sz w:val="24"/>
          <w:szCs w:val="24"/>
        </w:rPr>
      </w:pPr>
      <w:r w:rsidRPr="00C849D8">
        <w:rPr>
          <w:rFonts w:ascii="Segoe UI" w:hAnsi="Segoe UI" w:cs="Segoe UI"/>
          <w:bCs/>
          <w:iCs/>
          <w:sz w:val="24"/>
          <w:szCs w:val="24"/>
        </w:rPr>
        <w:t xml:space="preserve">Cet effort est essentiellement porté par les réformes engagées par le Gouvernement pour un meilleur recouvrement des produits des services intermédiaires de recettes et la mise à jour systématique de la base de données des contribuables et sa connexion </w:t>
      </w:r>
      <w:r w:rsidRPr="00C849D8">
        <w:rPr>
          <w:rFonts w:ascii="Segoe UI" w:hAnsi="Segoe UI" w:cs="Segoe UI"/>
          <w:bCs/>
          <w:iCs/>
          <w:sz w:val="24"/>
          <w:szCs w:val="24"/>
        </w:rPr>
        <w:lastRenderedPageBreak/>
        <w:t>avec le Système Intégré des Gestion des Finances Publiques (</w:t>
      </w:r>
      <w:proofErr w:type="spellStart"/>
      <w:r w:rsidRPr="00C849D8">
        <w:rPr>
          <w:rFonts w:ascii="Segoe UI" w:hAnsi="Segoe UI" w:cs="Segoe UI"/>
          <w:bCs/>
          <w:iCs/>
          <w:sz w:val="24"/>
          <w:szCs w:val="24"/>
        </w:rPr>
        <w:t>SIGFiP</w:t>
      </w:r>
      <w:proofErr w:type="spellEnd"/>
      <w:r w:rsidRPr="00C849D8">
        <w:rPr>
          <w:rFonts w:ascii="Segoe UI" w:hAnsi="Segoe UI" w:cs="Segoe UI"/>
          <w:bCs/>
          <w:iCs/>
          <w:sz w:val="24"/>
          <w:szCs w:val="24"/>
        </w:rPr>
        <w:t>). Il se poursuivra tout au long de l’année et permettra d’atteindre environ 977 000 millions de FCFA à fin décembre. Ce qui représenterait un taux de recouvrement d’environ 97% des objectifs annuels.</w:t>
      </w:r>
    </w:p>
    <w:p w:rsidR="0087628B" w:rsidRPr="00215B3D" w:rsidRDefault="0087628B" w:rsidP="0087628B">
      <w:pPr>
        <w:spacing w:after="0" w:line="360" w:lineRule="auto"/>
        <w:jc w:val="both"/>
        <w:rPr>
          <w:rFonts w:ascii="Segoe UI" w:hAnsi="Segoe UI" w:cs="Segoe UI"/>
          <w:bCs/>
          <w:iCs/>
          <w:sz w:val="24"/>
          <w:szCs w:val="26"/>
        </w:rPr>
      </w:pPr>
      <w:r w:rsidRPr="00C849D8">
        <w:rPr>
          <w:rFonts w:ascii="Segoe UI" w:hAnsi="Segoe UI" w:cs="Segoe UI"/>
          <w:bCs/>
          <w:iCs/>
          <w:sz w:val="24"/>
          <w:szCs w:val="26"/>
        </w:rPr>
        <w:t>Les éléments constitutifs des recettes budgétaires ainsi que les produits enregistrés par les différents services se présentent comme suit :</w:t>
      </w:r>
    </w:p>
    <w:p w:rsidR="00ED48B7" w:rsidRPr="00ED48B7" w:rsidRDefault="00ED48B7" w:rsidP="00562761">
      <w:pPr>
        <w:spacing w:after="0" w:line="360" w:lineRule="auto"/>
        <w:jc w:val="both"/>
        <w:rPr>
          <w:rFonts w:ascii="Segoe UI" w:hAnsi="Segoe UI" w:cs="Segoe UI"/>
          <w:bCs/>
          <w:iCs/>
          <w:sz w:val="6"/>
          <w:szCs w:val="26"/>
        </w:rPr>
      </w:pPr>
    </w:p>
    <w:p w:rsidR="00D63E15" w:rsidRPr="00215B3D" w:rsidRDefault="00381F7F" w:rsidP="00381F7F">
      <w:pPr>
        <w:pStyle w:val="Titre3"/>
        <w:ind w:left="720"/>
        <w:rPr>
          <w:rFonts w:ascii="Segoe UI" w:hAnsi="Segoe UI" w:cs="Segoe UI"/>
          <w:sz w:val="26"/>
          <w:szCs w:val="26"/>
        </w:rPr>
      </w:pPr>
      <w:bookmarkStart w:id="12" w:name="_Toc496025001"/>
      <w:r w:rsidRPr="00215B3D">
        <w:rPr>
          <w:rFonts w:ascii="Segoe UI" w:hAnsi="Segoe UI" w:cs="Segoe UI"/>
          <w:sz w:val="26"/>
          <w:szCs w:val="26"/>
        </w:rPr>
        <w:t xml:space="preserve">A-1 </w:t>
      </w:r>
      <w:r w:rsidR="00D63E15" w:rsidRPr="00215B3D">
        <w:rPr>
          <w:rFonts w:ascii="Segoe UI" w:hAnsi="Segoe UI" w:cs="Segoe UI"/>
          <w:sz w:val="26"/>
          <w:szCs w:val="26"/>
        </w:rPr>
        <w:t xml:space="preserve">Recettes </w:t>
      </w:r>
      <w:r w:rsidR="00635183">
        <w:rPr>
          <w:rFonts w:ascii="Segoe UI" w:hAnsi="Segoe UI" w:cs="Segoe UI"/>
          <w:sz w:val="26"/>
          <w:szCs w:val="26"/>
        </w:rPr>
        <w:t>du budget général</w:t>
      </w:r>
      <w:bookmarkEnd w:id="12"/>
    </w:p>
    <w:p w:rsidR="003729F6" w:rsidRPr="00215B3D" w:rsidRDefault="003729F6" w:rsidP="001656E1">
      <w:pPr>
        <w:spacing w:after="0"/>
        <w:rPr>
          <w:rFonts w:ascii="Segoe UI" w:hAnsi="Segoe UI" w:cs="Segoe UI"/>
          <w:sz w:val="16"/>
          <w:szCs w:val="16"/>
        </w:rPr>
      </w:pPr>
    </w:p>
    <w:p w:rsidR="00A80AB0" w:rsidRPr="00215B3D" w:rsidRDefault="009E7E40" w:rsidP="009C2FE2">
      <w:pPr>
        <w:spacing w:after="0" w:line="360" w:lineRule="auto"/>
        <w:jc w:val="both"/>
        <w:rPr>
          <w:rFonts w:ascii="Segoe UI" w:hAnsi="Segoe UI" w:cs="Segoe UI"/>
          <w:sz w:val="24"/>
          <w:szCs w:val="24"/>
        </w:rPr>
      </w:pPr>
      <w:r>
        <w:rPr>
          <w:rFonts w:ascii="Segoe UI" w:hAnsi="Segoe UI" w:cs="Segoe UI"/>
          <w:bCs/>
          <w:iCs/>
          <w:sz w:val="24"/>
          <w:szCs w:val="24"/>
        </w:rPr>
        <w:t>Au premier semestre de l’année 2017, les produits de recettes collectés par les services de la Douane, des Imp</w:t>
      </w:r>
      <w:r w:rsidR="009C2FE2">
        <w:rPr>
          <w:rFonts w:ascii="Segoe UI" w:hAnsi="Segoe UI" w:cs="Segoe UI"/>
          <w:bCs/>
          <w:iCs/>
          <w:sz w:val="24"/>
          <w:szCs w:val="24"/>
        </w:rPr>
        <w:t>ôts, du Trésor s’établissent à 410 344,1 millions de FCFA contre 385 053,9 millions de FCFA, soit une augmentation de 25 290,2 millions de FCFA. La situation infra annuelle par régie financière est</w:t>
      </w:r>
      <w:r w:rsidR="0064746D" w:rsidRPr="00215B3D">
        <w:rPr>
          <w:rFonts w:ascii="Segoe UI" w:hAnsi="Segoe UI" w:cs="Segoe UI"/>
          <w:sz w:val="24"/>
          <w:szCs w:val="24"/>
        </w:rPr>
        <w:t xml:space="preserve"> récapitulée</w:t>
      </w:r>
      <w:r w:rsidR="009C2FE2">
        <w:rPr>
          <w:rFonts w:ascii="Segoe UI" w:hAnsi="Segoe UI" w:cs="Segoe UI"/>
          <w:sz w:val="24"/>
          <w:szCs w:val="24"/>
        </w:rPr>
        <w:t xml:space="preserve"> </w:t>
      </w:r>
      <w:r w:rsidR="00E13D25" w:rsidRPr="00215B3D">
        <w:rPr>
          <w:rFonts w:ascii="Segoe UI" w:hAnsi="Segoe UI" w:cs="Segoe UI"/>
          <w:sz w:val="24"/>
          <w:szCs w:val="24"/>
        </w:rPr>
        <w:t>dans</w:t>
      </w:r>
      <w:r w:rsidR="00A90F42" w:rsidRPr="00215B3D">
        <w:rPr>
          <w:rFonts w:ascii="Segoe UI" w:hAnsi="Segoe UI" w:cs="Segoe UI"/>
          <w:sz w:val="24"/>
          <w:szCs w:val="24"/>
        </w:rPr>
        <w:t xml:space="preserve"> l</w:t>
      </w:r>
      <w:r w:rsidR="0019532B" w:rsidRPr="00215B3D">
        <w:rPr>
          <w:rFonts w:ascii="Segoe UI" w:hAnsi="Segoe UI" w:cs="Segoe UI"/>
          <w:sz w:val="24"/>
          <w:szCs w:val="24"/>
        </w:rPr>
        <w:t>e tableau</w:t>
      </w:r>
      <w:r w:rsidR="007E3BE0">
        <w:rPr>
          <w:rFonts w:ascii="Segoe UI" w:hAnsi="Segoe UI" w:cs="Segoe UI"/>
          <w:sz w:val="24"/>
          <w:szCs w:val="24"/>
        </w:rPr>
        <w:t xml:space="preserve"> n° 3</w:t>
      </w:r>
      <w:r w:rsidR="001E3863" w:rsidRPr="00215B3D">
        <w:rPr>
          <w:rFonts w:ascii="Segoe UI" w:hAnsi="Segoe UI" w:cs="Segoe UI"/>
          <w:sz w:val="24"/>
          <w:szCs w:val="24"/>
        </w:rPr>
        <w:t xml:space="preserve"> ci-après</w:t>
      </w:r>
      <w:r w:rsidR="00A80AB0" w:rsidRPr="00215B3D">
        <w:rPr>
          <w:rFonts w:ascii="Segoe UI" w:hAnsi="Segoe UI" w:cs="Segoe UI"/>
          <w:sz w:val="24"/>
          <w:szCs w:val="24"/>
        </w:rPr>
        <w:t> :</w:t>
      </w:r>
    </w:p>
    <w:p w:rsidR="00904CD3" w:rsidRPr="00552020" w:rsidRDefault="00904CD3" w:rsidP="004A1038">
      <w:pPr>
        <w:spacing w:after="0" w:line="360" w:lineRule="auto"/>
        <w:jc w:val="both"/>
        <w:rPr>
          <w:rFonts w:ascii="Segoe UI" w:hAnsi="Segoe UI" w:cs="Segoe UI"/>
          <w:sz w:val="10"/>
          <w:szCs w:val="24"/>
        </w:rPr>
      </w:pPr>
    </w:p>
    <w:p w:rsidR="005B7E1D" w:rsidRPr="00215B3D" w:rsidRDefault="0019532B" w:rsidP="00735E57">
      <w:pPr>
        <w:pStyle w:val="Listedestableaux"/>
        <w:rPr>
          <w:rFonts w:ascii="Segoe UI" w:hAnsi="Segoe UI" w:cs="Segoe UI"/>
        </w:rPr>
      </w:pPr>
      <w:bookmarkStart w:id="13" w:name="_Toc495935938"/>
      <w:r w:rsidRPr="00215B3D">
        <w:rPr>
          <w:rFonts w:ascii="Segoe UI" w:hAnsi="Segoe UI" w:cs="Segoe UI"/>
          <w:u w:val="single"/>
        </w:rPr>
        <w:t>Tableau</w:t>
      </w:r>
      <w:r w:rsidR="00826AFB" w:rsidRPr="00215B3D">
        <w:rPr>
          <w:rFonts w:ascii="Segoe UI" w:hAnsi="Segoe UI" w:cs="Segoe UI"/>
          <w:u w:val="single"/>
        </w:rPr>
        <w:t xml:space="preserve"> </w:t>
      </w:r>
      <w:r w:rsidR="00807BBA">
        <w:rPr>
          <w:rFonts w:ascii="Segoe UI" w:hAnsi="Segoe UI" w:cs="Segoe UI"/>
          <w:u w:val="single"/>
        </w:rPr>
        <w:t>3</w:t>
      </w:r>
      <w:r w:rsidRPr="00215B3D">
        <w:rPr>
          <w:rFonts w:ascii="Segoe UI" w:hAnsi="Segoe UI" w:cs="Segoe UI"/>
          <w:u w:val="single"/>
        </w:rPr>
        <w:t> :</w:t>
      </w:r>
      <w:r w:rsidRPr="00215B3D">
        <w:rPr>
          <w:rFonts w:ascii="Segoe UI" w:hAnsi="Segoe UI" w:cs="Segoe UI"/>
        </w:rPr>
        <w:t xml:space="preserve"> </w:t>
      </w:r>
      <w:r w:rsidR="001E6017">
        <w:rPr>
          <w:rFonts w:ascii="Segoe UI" w:hAnsi="Segoe UI" w:cs="Segoe UI"/>
        </w:rPr>
        <w:t>R</w:t>
      </w:r>
      <w:r w:rsidRPr="00215B3D">
        <w:rPr>
          <w:rFonts w:ascii="Segoe UI" w:hAnsi="Segoe UI" w:cs="Segoe UI"/>
        </w:rPr>
        <w:t>ecettes</w:t>
      </w:r>
      <w:r w:rsidR="00BA246D" w:rsidRPr="00215B3D">
        <w:rPr>
          <w:rFonts w:ascii="Segoe UI" w:hAnsi="Segoe UI" w:cs="Segoe UI"/>
        </w:rPr>
        <w:t xml:space="preserve"> </w:t>
      </w:r>
      <w:r w:rsidR="000D523A" w:rsidRPr="00215B3D">
        <w:rPr>
          <w:rFonts w:ascii="Segoe UI" w:hAnsi="Segoe UI" w:cs="Segoe UI"/>
        </w:rPr>
        <w:t xml:space="preserve">brutes </w:t>
      </w:r>
      <w:r w:rsidRPr="00215B3D">
        <w:rPr>
          <w:rFonts w:ascii="Segoe UI" w:hAnsi="Segoe UI" w:cs="Segoe UI"/>
        </w:rPr>
        <w:t xml:space="preserve">des </w:t>
      </w:r>
      <w:r w:rsidR="00647A82" w:rsidRPr="00215B3D">
        <w:rPr>
          <w:rFonts w:ascii="Segoe UI" w:hAnsi="Segoe UI" w:cs="Segoe UI"/>
        </w:rPr>
        <w:t>administrations financières au 30 juin</w:t>
      </w:r>
      <w:r w:rsidRPr="00215B3D">
        <w:rPr>
          <w:rFonts w:ascii="Segoe UI" w:hAnsi="Segoe UI" w:cs="Segoe UI"/>
        </w:rPr>
        <w:t xml:space="preserve"> 201</w:t>
      </w:r>
      <w:r w:rsidR="00647A82" w:rsidRPr="00215B3D">
        <w:rPr>
          <w:rFonts w:ascii="Segoe UI" w:hAnsi="Segoe UI" w:cs="Segoe UI"/>
        </w:rPr>
        <w:t>6</w:t>
      </w:r>
      <w:r w:rsidRPr="00215B3D">
        <w:rPr>
          <w:rFonts w:ascii="Segoe UI" w:hAnsi="Segoe UI" w:cs="Segoe UI"/>
        </w:rPr>
        <w:t xml:space="preserve"> et 201</w:t>
      </w:r>
      <w:r w:rsidR="00647A82" w:rsidRPr="00215B3D">
        <w:rPr>
          <w:rFonts w:ascii="Segoe UI" w:hAnsi="Segoe UI" w:cs="Segoe UI"/>
        </w:rPr>
        <w:t>7</w:t>
      </w:r>
      <w:bookmarkEnd w:id="13"/>
    </w:p>
    <w:tbl>
      <w:tblPr>
        <w:tblW w:w="9923" w:type="dxa"/>
        <w:tblInd w:w="70" w:type="dxa"/>
        <w:tblLayout w:type="fixed"/>
        <w:tblCellMar>
          <w:left w:w="70" w:type="dxa"/>
          <w:right w:w="70" w:type="dxa"/>
        </w:tblCellMar>
        <w:tblLook w:val="04A0" w:firstRow="1" w:lastRow="0" w:firstColumn="1" w:lastColumn="0" w:noHBand="0" w:noVBand="1"/>
      </w:tblPr>
      <w:tblGrid>
        <w:gridCol w:w="1038"/>
        <w:gridCol w:w="799"/>
        <w:gridCol w:w="389"/>
        <w:gridCol w:w="1374"/>
        <w:gridCol w:w="653"/>
        <w:gridCol w:w="1276"/>
        <w:gridCol w:w="104"/>
        <w:gridCol w:w="1313"/>
        <w:gridCol w:w="709"/>
        <w:gridCol w:w="1134"/>
        <w:gridCol w:w="1134"/>
      </w:tblGrid>
      <w:tr w:rsidR="00533449" w:rsidRPr="00215B3D" w:rsidTr="00DA7D63">
        <w:trPr>
          <w:trHeight w:val="305"/>
        </w:trPr>
        <w:tc>
          <w:tcPr>
            <w:tcW w:w="1038" w:type="dxa"/>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c>
          <w:tcPr>
            <w:tcW w:w="799" w:type="dxa"/>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c>
          <w:tcPr>
            <w:tcW w:w="1763" w:type="dxa"/>
            <w:gridSpan w:val="2"/>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c>
          <w:tcPr>
            <w:tcW w:w="653" w:type="dxa"/>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c>
          <w:tcPr>
            <w:tcW w:w="1380" w:type="dxa"/>
            <w:gridSpan w:val="2"/>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c>
          <w:tcPr>
            <w:tcW w:w="3156" w:type="dxa"/>
            <w:gridSpan w:val="3"/>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r w:rsidRPr="00215B3D">
              <w:rPr>
                <w:rFonts w:ascii="Segoe UI" w:hAnsi="Segoe UI" w:cs="Segoe UI"/>
              </w:rPr>
              <w:t>En millions de FCFA</w:t>
            </w:r>
          </w:p>
        </w:tc>
        <w:tc>
          <w:tcPr>
            <w:tcW w:w="1134" w:type="dxa"/>
            <w:tcBorders>
              <w:top w:val="nil"/>
              <w:left w:val="nil"/>
              <w:bottom w:val="nil"/>
              <w:right w:val="nil"/>
            </w:tcBorders>
            <w:noWrap/>
            <w:vAlign w:val="bottom"/>
            <w:hideMark/>
          </w:tcPr>
          <w:p w:rsidR="00533449" w:rsidRPr="00215B3D" w:rsidRDefault="00533449" w:rsidP="005B7E1D">
            <w:pPr>
              <w:spacing w:after="0" w:line="240" w:lineRule="auto"/>
              <w:rPr>
                <w:rFonts w:ascii="Segoe UI" w:hAnsi="Segoe UI" w:cs="Segoe UI"/>
              </w:rPr>
            </w:pPr>
          </w:p>
        </w:tc>
      </w:tr>
      <w:tr w:rsidR="005B7E1D" w:rsidRPr="00215B3D" w:rsidTr="00DA7D63">
        <w:trPr>
          <w:trHeight w:val="427"/>
        </w:trPr>
        <w:tc>
          <w:tcPr>
            <w:tcW w:w="1038" w:type="dxa"/>
            <w:vMerge w:val="restart"/>
            <w:tcBorders>
              <w:top w:val="single" w:sz="4" w:space="0" w:color="auto"/>
              <w:left w:val="single" w:sz="4" w:space="0" w:color="auto"/>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Régies</w:t>
            </w:r>
          </w:p>
        </w:tc>
        <w:tc>
          <w:tcPr>
            <w:tcW w:w="2562" w:type="dxa"/>
            <w:gridSpan w:val="3"/>
            <w:tcBorders>
              <w:top w:val="single" w:sz="4" w:space="0" w:color="auto"/>
              <w:left w:val="nil"/>
              <w:bottom w:val="single" w:sz="4" w:space="0" w:color="auto"/>
              <w:right w:val="single" w:sz="4" w:space="0" w:color="auto"/>
            </w:tcBorders>
            <w:noWrap/>
            <w:vAlign w:val="center"/>
            <w:hideMark/>
          </w:tcPr>
          <w:p w:rsidR="005B7E1D" w:rsidRPr="00215B3D" w:rsidRDefault="005B7E1D" w:rsidP="008B7DAE">
            <w:pPr>
              <w:spacing w:after="0" w:line="240" w:lineRule="auto"/>
              <w:jc w:val="center"/>
              <w:rPr>
                <w:rFonts w:ascii="Segoe UI" w:hAnsi="Segoe UI" w:cs="Segoe UI"/>
                <w:b/>
                <w:bCs/>
              </w:rPr>
            </w:pPr>
            <w:r w:rsidRPr="00215B3D">
              <w:rPr>
                <w:rFonts w:ascii="Segoe UI" w:hAnsi="Segoe UI" w:cs="Segoe UI"/>
                <w:b/>
                <w:bCs/>
              </w:rPr>
              <w:t>201</w:t>
            </w:r>
            <w:r w:rsidR="006E0E17" w:rsidRPr="00215B3D">
              <w:rPr>
                <w:rFonts w:ascii="Segoe UI" w:hAnsi="Segoe UI" w:cs="Segoe UI"/>
                <w:b/>
                <w:bCs/>
              </w:rPr>
              <w:t>6</w:t>
            </w:r>
          </w:p>
        </w:tc>
        <w:tc>
          <w:tcPr>
            <w:tcW w:w="653" w:type="dxa"/>
            <w:vMerge w:val="restart"/>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Taux (%)</w:t>
            </w:r>
          </w:p>
        </w:tc>
        <w:tc>
          <w:tcPr>
            <w:tcW w:w="2693" w:type="dxa"/>
            <w:gridSpan w:val="3"/>
            <w:tcBorders>
              <w:top w:val="single" w:sz="4" w:space="0" w:color="auto"/>
              <w:left w:val="nil"/>
              <w:bottom w:val="single" w:sz="4" w:space="0" w:color="auto"/>
              <w:right w:val="single" w:sz="4" w:space="0" w:color="auto"/>
            </w:tcBorders>
            <w:noWrap/>
            <w:vAlign w:val="center"/>
            <w:hideMark/>
          </w:tcPr>
          <w:p w:rsidR="005B7E1D" w:rsidRPr="00215B3D" w:rsidRDefault="005B7E1D" w:rsidP="006E0E17">
            <w:pPr>
              <w:spacing w:after="0" w:line="240" w:lineRule="auto"/>
              <w:jc w:val="center"/>
              <w:rPr>
                <w:rFonts w:ascii="Segoe UI" w:hAnsi="Segoe UI" w:cs="Segoe UI"/>
                <w:b/>
                <w:bCs/>
              </w:rPr>
            </w:pPr>
            <w:r w:rsidRPr="00215B3D">
              <w:rPr>
                <w:rFonts w:ascii="Segoe UI" w:hAnsi="Segoe UI" w:cs="Segoe UI"/>
                <w:b/>
                <w:bCs/>
              </w:rPr>
              <w:t>201</w:t>
            </w:r>
            <w:r w:rsidR="006E0E17" w:rsidRPr="00215B3D">
              <w:rPr>
                <w:rFonts w:ascii="Segoe UI" w:hAnsi="Segoe UI" w:cs="Segoe UI"/>
                <w:b/>
                <w:bCs/>
              </w:rPr>
              <w:t>7</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Taux (%)</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Ecarts</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sz w:val="18"/>
              </w:rPr>
              <w:t>Taux  d'accroiss</w:t>
            </w:r>
            <w:r w:rsidR="002E47DA" w:rsidRPr="00215B3D">
              <w:rPr>
                <w:rFonts w:ascii="Segoe UI" w:hAnsi="Segoe UI" w:cs="Segoe UI"/>
                <w:b/>
                <w:bCs/>
                <w:sz w:val="18"/>
              </w:rPr>
              <w:t>ement</w:t>
            </w:r>
            <w:r w:rsidR="00DF15E6" w:rsidRPr="00215B3D">
              <w:rPr>
                <w:rFonts w:ascii="Segoe UI" w:hAnsi="Segoe UI" w:cs="Segoe UI"/>
                <w:b/>
                <w:bCs/>
                <w:sz w:val="18"/>
              </w:rPr>
              <w:t xml:space="preserve"> (%)</w:t>
            </w:r>
          </w:p>
        </w:tc>
      </w:tr>
      <w:tr w:rsidR="005B7E1D" w:rsidRPr="00215B3D" w:rsidTr="00DA7D63">
        <w:trPr>
          <w:trHeight w:val="427"/>
        </w:trPr>
        <w:tc>
          <w:tcPr>
            <w:tcW w:w="1038" w:type="dxa"/>
            <w:vMerge/>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rPr>
                <w:rFonts w:ascii="Segoe UI" w:hAnsi="Segoe UI" w:cs="Segoe UI"/>
                <w:b/>
                <w:bCs/>
              </w:rPr>
            </w:pPr>
          </w:p>
        </w:tc>
        <w:tc>
          <w:tcPr>
            <w:tcW w:w="1188" w:type="dxa"/>
            <w:gridSpan w:val="2"/>
            <w:tcBorders>
              <w:top w:val="nil"/>
              <w:left w:val="nil"/>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Prévisions</w:t>
            </w:r>
          </w:p>
        </w:tc>
        <w:tc>
          <w:tcPr>
            <w:tcW w:w="1374" w:type="dxa"/>
            <w:tcBorders>
              <w:top w:val="nil"/>
              <w:left w:val="nil"/>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Réalisations</w:t>
            </w:r>
          </w:p>
          <w:p w:rsidR="002F0F42" w:rsidRPr="00215B3D" w:rsidRDefault="002F0F42" w:rsidP="005B7E1D">
            <w:pPr>
              <w:spacing w:after="0" w:line="240" w:lineRule="auto"/>
              <w:jc w:val="center"/>
              <w:rPr>
                <w:rFonts w:ascii="Segoe UI" w:hAnsi="Segoe UI" w:cs="Segoe UI"/>
                <w:b/>
                <w:bCs/>
              </w:rPr>
            </w:pPr>
          </w:p>
        </w:tc>
        <w:tc>
          <w:tcPr>
            <w:tcW w:w="653" w:type="dxa"/>
            <w:vMerge/>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rPr>
                <w:rFonts w:ascii="Segoe UI" w:hAnsi="Segoe UI" w:cs="Segoe UI"/>
                <w:b/>
                <w:bCs/>
              </w:rPr>
            </w:pPr>
          </w:p>
        </w:tc>
        <w:tc>
          <w:tcPr>
            <w:tcW w:w="1276" w:type="dxa"/>
            <w:tcBorders>
              <w:top w:val="nil"/>
              <w:left w:val="nil"/>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Prévisions</w:t>
            </w:r>
          </w:p>
        </w:tc>
        <w:tc>
          <w:tcPr>
            <w:tcW w:w="1417" w:type="dxa"/>
            <w:gridSpan w:val="2"/>
            <w:tcBorders>
              <w:top w:val="nil"/>
              <w:left w:val="nil"/>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Réalisations</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rPr>
                <w:rFonts w:ascii="Segoe UI" w:hAnsi="Segoe UI" w:cs="Segoe UI"/>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rPr>
                <w:rFonts w:ascii="Segoe UI" w:hAnsi="Segoe UI" w:cs="Segoe UI"/>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B7E1D" w:rsidRPr="00215B3D" w:rsidRDefault="005B7E1D" w:rsidP="005B7E1D">
            <w:pPr>
              <w:spacing w:after="0" w:line="240" w:lineRule="auto"/>
              <w:rPr>
                <w:rFonts w:ascii="Segoe UI" w:hAnsi="Segoe UI" w:cs="Segoe UI"/>
                <w:b/>
                <w:bCs/>
              </w:rPr>
            </w:pPr>
          </w:p>
        </w:tc>
      </w:tr>
      <w:tr w:rsidR="006E0E17" w:rsidRPr="00215B3D" w:rsidTr="00DA7D63">
        <w:trPr>
          <w:trHeight w:val="505"/>
        </w:trPr>
        <w:tc>
          <w:tcPr>
            <w:tcW w:w="1038" w:type="dxa"/>
            <w:tcBorders>
              <w:top w:val="nil"/>
              <w:left w:val="single" w:sz="4" w:space="0" w:color="auto"/>
              <w:bottom w:val="single" w:sz="4" w:space="0" w:color="auto"/>
              <w:right w:val="single" w:sz="4" w:space="0" w:color="auto"/>
            </w:tcBorders>
            <w:noWrap/>
            <w:vAlign w:val="center"/>
            <w:hideMark/>
          </w:tcPr>
          <w:p w:rsidR="006E0E17" w:rsidRPr="00215B3D" w:rsidRDefault="006E0E17" w:rsidP="005B7E1D">
            <w:pPr>
              <w:spacing w:after="0" w:line="240" w:lineRule="auto"/>
              <w:rPr>
                <w:rFonts w:ascii="Segoe UI" w:hAnsi="Segoe UI" w:cs="Segoe UI"/>
                <w:b/>
                <w:bCs/>
              </w:rPr>
            </w:pPr>
            <w:r w:rsidRPr="00215B3D">
              <w:rPr>
                <w:rFonts w:ascii="Segoe UI" w:hAnsi="Segoe UI" w:cs="Segoe UI"/>
                <w:b/>
                <w:bCs/>
              </w:rPr>
              <w:t>Douanes</w:t>
            </w:r>
          </w:p>
        </w:tc>
        <w:tc>
          <w:tcPr>
            <w:tcW w:w="1188" w:type="dxa"/>
            <w:gridSpan w:val="2"/>
            <w:tcBorders>
              <w:top w:val="nil"/>
              <w:left w:val="nil"/>
              <w:bottom w:val="single" w:sz="4" w:space="0" w:color="auto"/>
              <w:right w:val="single" w:sz="4" w:space="0" w:color="auto"/>
            </w:tcBorders>
            <w:noWrap/>
            <w:vAlign w:val="center"/>
            <w:hideMark/>
          </w:tcPr>
          <w:p w:rsidR="006E0E17" w:rsidRPr="00215B3D" w:rsidRDefault="006E0E17" w:rsidP="00441371">
            <w:pPr>
              <w:spacing w:after="0" w:line="240" w:lineRule="auto"/>
              <w:jc w:val="right"/>
              <w:rPr>
                <w:rFonts w:ascii="Segoe UI" w:hAnsi="Segoe UI" w:cs="Segoe UI"/>
              </w:rPr>
            </w:pPr>
            <w:r w:rsidRPr="00215B3D">
              <w:rPr>
                <w:rFonts w:ascii="Segoe UI" w:hAnsi="Segoe UI" w:cs="Segoe UI"/>
              </w:rPr>
              <w:t>363</w:t>
            </w:r>
            <w:r w:rsidR="008B6DA2" w:rsidRPr="00215B3D">
              <w:rPr>
                <w:rFonts w:ascii="Segoe UI" w:hAnsi="Segoe UI" w:cs="Segoe UI"/>
              </w:rPr>
              <w:t> </w:t>
            </w:r>
            <w:r w:rsidRPr="00215B3D">
              <w:rPr>
                <w:rFonts w:ascii="Segoe UI" w:hAnsi="Segoe UI" w:cs="Segoe UI"/>
              </w:rPr>
              <w:t>702</w:t>
            </w:r>
            <w:r w:rsidR="008B6DA2" w:rsidRPr="00215B3D">
              <w:rPr>
                <w:rFonts w:ascii="Segoe UI" w:hAnsi="Segoe UI" w:cs="Segoe UI"/>
              </w:rPr>
              <w:t>,2</w:t>
            </w:r>
          </w:p>
        </w:tc>
        <w:tc>
          <w:tcPr>
            <w:tcW w:w="1374" w:type="dxa"/>
            <w:tcBorders>
              <w:top w:val="nil"/>
              <w:left w:val="nil"/>
              <w:bottom w:val="single" w:sz="4" w:space="0" w:color="auto"/>
              <w:right w:val="single" w:sz="4" w:space="0" w:color="auto"/>
            </w:tcBorders>
            <w:noWrap/>
            <w:vAlign w:val="center"/>
            <w:hideMark/>
          </w:tcPr>
          <w:p w:rsidR="006E0E17" w:rsidRPr="00215B3D" w:rsidRDefault="008B6DA2" w:rsidP="00294458">
            <w:pPr>
              <w:spacing w:after="0" w:line="240" w:lineRule="auto"/>
              <w:jc w:val="right"/>
              <w:rPr>
                <w:rFonts w:ascii="Segoe UI" w:hAnsi="Segoe UI" w:cs="Segoe UI"/>
              </w:rPr>
            </w:pPr>
            <w:r w:rsidRPr="00215B3D">
              <w:rPr>
                <w:rFonts w:ascii="Segoe UI" w:hAnsi="Segoe UI" w:cs="Segoe UI"/>
              </w:rPr>
              <w:t>151 193,9</w:t>
            </w:r>
          </w:p>
        </w:tc>
        <w:tc>
          <w:tcPr>
            <w:tcW w:w="653" w:type="dxa"/>
            <w:tcBorders>
              <w:top w:val="nil"/>
              <w:left w:val="nil"/>
              <w:bottom w:val="single" w:sz="4" w:space="0" w:color="auto"/>
              <w:right w:val="single" w:sz="4" w:space="0" w:color="auto"/>
            </w:tcBorders>
            <w:noWrap/>
            <w:vAlign w:val="center"/>
            <w:hideMark/>
          </w:tcPr>
          <w:p w:rsidR="006E0E17" w:rsidRPr="00215B3D" w:rsidRDefault="006E0E17" w:rsidP="008B6DA2">
            <w:pPr>
              <w:spacing w:after="0" w:line="240" w:lineRule="auto"/>
              <w:jc w:val="center"/>
              <w:rPr>
                <w:rFonts w:ascii="Segoe UI" w:hAnsi="Segoe UI" w:cs="Segoe UI"/>
              </w:rPr>
            </w:pPr>
            <w:r w:rsidRPr="00215B3D">
              <w:rPr>
                <w:rFonts w:ascii="Segoe UI" w:hAnsi="Segoe UI" w:cs="Segoe UI"/>
              </w:rPr>
              <w:t>4</w:t>
            </w:r>
            <w:r w:rsidR="008B6DA2" w:rsidRPr="00215B3D">
              <w:rPr>
                <w:rFonts w:ascii="Segoe UI" w:hAnsi="Segoe UI" w:cs="Segoe UI"/>
              </w:rPr>
              <w:t>1</w:t>
            </w:r>
            <w:r w:rsidRPr="00215B3D">
              <w:rPr>
                <w:rFonts w:ascii="Segoe UI" w:hAnsi="Segoe UI" w:cs="Segoe UI"/>
              </w:rPr>
              <w:t>,</w:t>
            </w:r>
            <w:r w:rsidR="008B6DA2" w:rsidRPr="00215B3D">
              <w:rPr>
                <w:rFonts w:ascii="Segoe UI" w:hAnsi="Segoe UI" w:cs="Segoe UI"/>
              </w:rPr>
              <w:t>6</w:t>
            </w:r>
          </w:p>
        </w:tc>
        <w:tc>
          <w:tcPr>
            <w:tcW w:w="1276" w:type="dxa"/>
            <w:tcBorders>
              <w:top w:val="nil"/>
              <w:left w:val="nil"/>
              <w:bottom w:val="single" w:sz="4" w:space="0" w:color="auto"/>
              <w:right w:val="single" w:sz="4" w:space="0" w:color="auto"/>
            </w:tcBorders>
            <w:noWrap/>
            <w:vAlign w:val="center"/>
            <w:hideMark/>
          </w:tcPr>
          <w:p w:rsidR="006E0E17" w:rsidRPr="00215B3D" w:rsidRDefault="006E0E17" w:rsidP="006736DB">
            <w:pPr>
              <w:spacing w:after="0" w:line="240" w:lineRule="auto"/>
              <w:jc w:val="right"/>
              <w:rPr>
                <w:rFonts w:ascii="Segoe UI" w:hAnsi="Segoe UI" w:cs="Segoe UI"/>
              </w:rPr>
            </w:pPr>
            <w:r w:rsidRPr="00215B3D">
              <w:rPr>
                <w:rFonts w:ascii="Segoe UI" w:hAnsi="Segoe UI" w:cs="Segoe UI"/>
              </w:rPr>
              <w:t>383 500,0</w:t>
            </w:r>
          </w:p>
        </w:tc>
        <w:tc>
          <w:tcPr>
            <w:tcW w:w="1417" w:type="dxa"/>
            <w:gridSpan w:val="2"/>
            <w:tcBorders>
              <w:top w:val="nil"/>
              <w:left w:val="nil"/>
              <w:bottom w:val="single" w:sz="4" w:space="0" w:color="auto"/>
              <w:right w:val="single" w:sz="4" w:space="0" w:color="auto"/>
            </w:tcBorders>
            <w:noWrap/>
            <w:vAlign w:val="center"/>
            <w:hideMark/>
          </w:tcPr>
          <w:p w:rsidR="006E0E17" w:rsidRPr="00215B3D" w:rsidRDefault="006E0E17" w:rsidP="000505FF">
            <w:pPr>
              <w:spacing w:after="0" w:line="240" w:lineRule="auto"/>
              <w:jc w:val="right"/>
              <w:rPr>
                <w:rFonts w:ascii="Segoe UI" w:hAnsi="Segoe UI" w:cs="Segoe UI"/>
              </w:rPr>
            </w:pPr>
            <w:r w:rsidRPr="00215B3D">
              <w:rPr>
                <w:rFonts w:ascii="Segoe UI" w:hAnsi="Segoe UI" w:cs="Segoe UI"/>
              </w:rPr>
              <w:t>141 355,3</w:t>
            </w:r>
          </w:p>
        </w:tc>
        <w:tc>
          <w:tcPr>
            <w:tcW w:w="709" w:type="dxa"/>
            <w:tcBorders>
              <w:top w:val="nil"/>
              <w:left w:val="nil"/>
              <w:bottom w:val="single" w:sz="4" w:space="0" w:color="auto"/>
              <w:right w:val="single" w:sz="4" w:space="0" w:color="auto"/>
            </w:tcBorders>
            <w:noWrap/>
            <w:vAlign w:val="center"/>
            <w:hideMark/>
          </w:tcPr>
          <w:p w:rsidR="006E0E17" w:rsidRPr="00215B3D" w:rsidRDefault="006E0E17" w:rsidP="00294458">
            <w:pPr>
              <w:spacing w:after="0" w:line="240" w:lineRule="auto"/>
              <w:jc w:val="center"/>
              <w:rPr>
                <w:rFonts w:ascii="Segoe UI" w:hAnsi="Segoe UI" w:cs="Segoe UI"/>
              </w:rPr>
            </w:pPr>
            <w:r w:rsidRPr="00215B3D">
              <w:rPr>
                <w:rFonts w:ascii="Segoe UI" w:hAnsi="Segoe UI" w:cs="Segoe UI"/>
              </w:rPr>
              <w:t>36,9</w:t>
            </w:r>
          </w:p>
        </w:tc>
        <w:tc>
          <w:tcPr>
            <w:tcW w:w="1134" w:type="dxa"/>
            <w:tcBorders>
              <w:top w:val="nil"/>
              <w:left w:val="nil"/>
              <w:bottom w:val="single" w:sz="4" w:space="0" w:color="auto"/>
              <w:right w:val="single" w:sz="4" w:space="0" w:color="auto"/>
            </w:tcBorders>
            <w:noWrap/>
            <w:vAlign w:val="center"/>
            <w:hideMark/>
          </w:tcPr>
          <w:p w:rsidR="006E0E17" w:rsidRPr="00215B3D" w:rsidRDefault="006E0E17" w:rsidP="00996979">
            <w:pPr>
              <w:spacing w:after="0" w:line="240" w:lineRule="auto"/>
              <w:jc w:val="center"/>
              <w:rPr>
                <w:rFonts w:ascii="Segoe UI" w:hAnsi="Segoe UI" w:cs="Segoe UI"/>
              </w:rPr>
            </w:pPr>
            <w:r w:rsidRPr="00215B3D">
              <w:rPr>
                <w:rFonts w:ascii="Segoe UI" w:hAnsi="Segoe UI" w:cs="Segoe UI"/>
              </w:rPr>
              <w:t>-</w:t>
            </w:r>
            <w:r w:rsidR="008B6DA2" w:rsidRPr="00215B3D">
              <w:rPr>
                <w:rFonts w:ascii="Segoe UI" w:hAnsi="Segoe UI" w:cs="Segoe UI"/>
              </w:rPr>
              <w:t>9 838,</w:t>
            </w:r>
            <w:r w:rsidR="00996979">
              <w:rPr>
                <w:rFonts w:ascii="Segoe UI" w:hAnsi="Segoe UI" w:cs="Segoe UI"/>
              </w:rPr>
              <w:t>4</w:t>
            </w:r>
          </w:p>
        </w:tc>
        <w:tc>
          <w:tcPr>
            <w:tcW w:w="1134" w:type="dxa"/>
            <w:tcBorders>
              <w:top w:val="nil"/>
              <w:left w:val="nil"/>
              <w:bottom w:val="single" w:sz="4" w:space="0" w:color="auto"/>
              <w:right w:val="single" w:sz="4" w:space="0" w:color="auto"/>
            </w:tcBorders>
            <w:noWrap/>
            <w:vAlign w:val="center"/>
            <w:hideMark/>
          </w:tcPr>
          <w:p w:rsidR="006E0E17" w:rsidRPr="00215B3D" w:rsidRDefault="00AF7DF2" w:rsidP="008B6DA2">
            <w:pPr>
              <w:spacing w:after="0" w:line="240" w:lineRule="auto"/>
              <w:jc w:val="center"/>
              <w:rPr>
                <w:rFonts w:ascii="Segoe UI" w:hAnsi="Segoe UI" w:cs="Segoe UI"/>
              </w:rPr>
            </w:pPr>
            <w:r w:rsidRPr="00215B3D">
              <w:rPr>
                <w:rFonts w:ascii="Segoe UI" w:hAnsi="Segoe UI" w:cs="Segoe UI"/>
              </w:rPr>
              <w:t>-</w:t>
            </w:r>
            <w:r w:rsidR="008B6DA2" w:rsidRPr="00215B3D">
              <w:rPr>
                <w:rFonts w:ascii="Segoe UI" w:hAnsi="Segoe UI" w:cs="Segoe UI"/>
              </w:rPr>
              <w:t>6,5</w:t>
            </w:r>
          </w:p>
        </w:tc>
      </w:tr>
      <w:tr w:rsidR="006E0E17" w:rsidRPr="00215B3D" w:rsidTr="00DA7D63">
        <w:trPr>
          <w:trHeight w:val="473"/>
        </w:trPr>
        <w:tc>
          <w:tcPr>
            <w:tcW w:w="1038" w:type="dxa"/>
            <w:tcBorders>
              <w:top w:val="nil"/>
              <w:left w:val="single" w:sz="4" w:space="0" w:color="auto"/>
              <w:bottom w:val="single" w:sz="4" w:space="0" w:color="auto"/>
              <w:right w:val="single" w:sz="4" w:space="0" w:color="auto"/>
            </w:tcBorders>
            <w:noWrap/>
            <w:vAlign w:val="center"/>
            <w:hideMark/>
          </w:tcPr>
          <w:p w:rsidR="006E0E17" w:rsidRPr="00215B3D" w:rsidRDefault="006E0E17" w:rsidP="005B7E1D">
            <w:pPr>
              <w:spacing w:after="0" w:line="240" w:lineRule="auto"/>
              <w:rPr>
                <w:rFonts w:ascii="Segoe UI" w:hAnsi="Segoe UI" w:cs="Segoe UI"/>
                <w:b/>
                <w:bCs/>
              </w:rPr>
            </w:pPr>
            <w:r w:rsidRPr="00215B3D">
              <w:rPr>
                <w:rFonts w:ascii="Segoe UI" w:hAnsi="Segoe UI" w:cs="Segoe UI"/>
                <w:b/>
                <w:bCs/>
              </w:rPr>
              <w:t>Impôts</w:t>
            </w:r>
          </w:p>
        </w:tc>
        <w:tc>
          <w:tcPr>
            <w:tcW w:w="1188" w:type="dxa"/>
            <w:gridSpan w:val="2"/>
            <w:tcBorders>
              <w:top w:val="nil"/>
              <w:left w:val="nil"/>
              <w:bottom w:val="single" w:sz="4" w:space="0" w:color="auto"/>
              <w:right w:val="single" w:sz="4" w:space="0" w:color="auto"/>
            </w:tcBorders>
            <w:noWrap/>
            <w:vAlign w:val="center"/>
            <w:hideMark/>
          </w:tcPr>
          <w:p w:rsidR="006E0E17" w:rsidRPr="00215B3D" w:rsidRDefault="006E0E17" w:rsidP="00441371">
            <w:pPr>
              <w:spacing w:after="0" w:line="240" w:lineRule="auto"/>
              <w:jc w:val="right"/>
              <w:rPr>
                <w:rFonts w:ascii="Segoe UI" w:hAnsi="Segoe UI" w:cs="Segoe UI"/>
              </w:rPr>
            </w:pPr>
            <w:r w:rsidRPr="00215B3D">
              <w:rPr>
                <w:rFonts w:ascii="Segoe UI" w:hAnsi="Segoe UI" w:cs="Segoe UI"/>
              </w:rPr>
              <w:t>407 700</w:t>
            </w:r>
          </w:p>
        </w:tc>
        <w:tc>
          <w:tcPr>
            <w:tcW w:w="1374" w:type="dxa"/>
            <w:tcBorders>
              <w:top w:val="nil"/>
              <w:left w:val="nil"/>
              <w:bottom w:val="single" w:sz="4" w:space="0" w:color="auto"/>
              <w:right w:val="single" w:sz="4" w:space="0" w:color="auto"/>
            </w:tcBorders>
            <w:noWrap/>
            <w:vAlign w:val="center"/>
            <w:hideMark/>
          </w:tcPr>
          <w:p w:rsidR="006E0E17" w:rsidRPr="00215B3D" w:rsidRDefault="006E0E17" w:rsidP="00DF15E6">
            <w:pPr>
              <w:spacing w:after="0" w:line="240" w:lineRule="auto"/>
              <w:jc w:val="right"/>
              <w:rPr>
                <w:rFonts w:ascii="Segoe UI" w:hAnsi="Segoe UI" w:cs="Segoe UI"/>
                <w:color w:val="000000"/>
              </w:rPr>
            </w:pPr>
            <w:r w:rsidRPr="00215B3D">
              <w:rPr>
                <w:rFonts w:ascii="Segoe UI" w:hAnsi="Segoe UI" w:cs="Segoe UI"/>
                <w:color w:val="000000"/>
              </w:rPr>
              <w:t>210</w:t>
            </w:r>
            <w:r w:rsidR="008B6DA2" w:rsidRPr="00215B3D">
              <w:rPr>
                <w:rFonts w:ascii="Segoe UI" w:hAnsi="Segoe UI" w:cs="Segoe UI"/>
                <w:color w:val="000000"/>
              </w:rPr>
              <w:t xml:space="preserve"> </w:t>
            </w:r>
            <w:r w:rsidRPr="00215B3D">
              <w:rPr>
                <w:rFonts w:ascii="Segoe UI" w:hAnsi="Segoe UI" w:cs="Segoe UI"/>
                <w:color w:val="000000"/>
              </w:rPr>
              <w:t xml:space="preserve"> 418,0</w:t>
            </w:r>
          </w:p>
        </w:tc>
        <w:tc>
          <w:tcPr>
            <w:tcW w:w="653" w:type="dxa"/>
            <w:tcBorders>
              <w:top w:val="nil"/>
              <w:left w:val="nil"/>
              <w:bottom w:val="single" w:sz="4" w:space="0" w:color="auto"/>
              <w:right w:val="single" w:sz="4" w:space="0" w:color="auto"/>
            </w:tcBorders>
            <w:noWrap/>
            <w:vAlign w:val="center"/>
            <w:hideMark/>
          </w:tcPr>
          <w:p w:rsidR="006E0E17" w:rsidRPr="00215B3D" w:rsidRDefault="006E0E17" w:rsidP="00294458">
            <w:pPr>
              <w:spacing w:after="0" w:line="240" w:lineRule="auto"/>
              <w:jc w:val="center"/>
              <w:rPr>
                <w:rFonts w:ascii="Segoe UI" w:hAnsi="Segoe UI" w:cs="Segoe UI"/>
              </w:rPr>
            </w:pPr>
            <w:r w:rsidRPr="00215B3D">
              <w:rPr>
                <w:rFonts w:ascii="Segoe UI" w:hAnsi="Segoe UI" w:cs="Segoe UI"/>
              </w:rPr>
              <w:t>51,6</w:t>
            </w:r>
          </w:p>
        </w:tc>
        <w:tc>
          <w:tcPr>
            <w:tcW w:w="1276" w:type="dxa"/>
            <w:tcBorders>
              <w:top w:val="nil"/>
              <w:left w:val="nil"/>
              <w:bottom w:val="single" w:sz="4" w:space="0" w:color="auto"/>
              <w:right w:val="single" w:sz="4" w:space="0" w:color="auto"/>
            </w:tcBorders>
            <w:noWrap/>
            <w:vAlign w:val="center"/>
            <w:hideMark/>
          </w:tcPr>
          <w:p w:rsidR="006E0E17" w:rsidRPr="00215B3D" w:rsidRDefault="006E0E17" w:rsidP="006736DB">
            <w:pPr>
              <w:spacing w:after="0" w:line="240" w:lineRule="auto"/>
              <w:jc w:val="right"/>
              <w:rPr>
                <w:rFonts w:ascii="Segoe UI" w:hAnsi="Segoe UI" w:cs="Segoe UI"/>
              </w:rPr>
            </w:pPr>
            <w:r w:rsidRPr="00215B3D">
              <w:rPr>
                <w:rFonts w:ascii="Segoe UI" w:hAnsi="Segoe UI" w:cs="Segoe UI"/>
              </w:rPr>
              <w:t>415 200,0</w:t>
            </w:r>
          </w:p>
        </w:tc>
        <w:tc>
          <w:tcPr>
            <w:tcW w:w="1417" w:type="dxa"/>
            <w:gridSpan w:val="2"/>
            <w:tcBorders>
              <w:top w:val="nil"/>
              <w:left w:val="nil"/>
              <w:bottom w:val="single" w:sz="4" w:space="0" w:color="auto"/>
              <w:right w:val="single" w:sz="4" w:space="0" w:color="auto"/>
            </w:tcBorders>
            <w:noWrap/>
            <w:vAlign w:val="center"/>
            <w:hideMark/>
          </w:tcPr>
          <w:p w:rsidR="006E0E17" w:rsidRPr="00215B3D" w:rsidRDefault="008B6DA2" w:rsidP="00643CE0">
            <w:pPr>
              <w:spacing w:after="0" w:line="240" w:lineRule="auto"/>
              <w:jc w:val="right"/>
              <w:rPr>
                <w:rFonts w:ascii="Segoe UI" w:hAnsi="Segoe UI" w:cs="Segoe UI"/>
                <w:color w:val="000000"/>
              </w:rPr>
            </w:pPr>
            <w:r w:rsidRPr="00215B3D">
              <w:rPr>
                <w:rFonts w:ascii="Segoe UI" w:hAnsi="Segoe UI" w:cs="Segoe UI"/>
                <w:color w:val="000000"/>
              </w:rPr>
              <w:t>19</w:t>
            </w:r>
            <w:r w:rsidR="00643CE0">
              <w:rPr>
                <w:rFonts w:ascii="Segoe UI" w:hAnsi="Segoe UI" w:cs="Segoe UI"/>
                <w:color w:val="000000"/>
              </w:rPr>
              <w:t>8 617</w:t>
            </w:r>
            <w:r w:rsidR="006E0E17" w:rsidRPr="00215B3D">
              <w:rPr>
                <w:rFonts w:ascii="Segoe UI" w:hAnsi="Segoe UI" w:cs="Segoe UI"/>
                <w:color w:val="000000"/>
              </w:rPr>
              <w:t>,</w:t>
            </w:r>
            <w:r w:rsidR="00643CE0">
              <w:rPr>
                <w:rFonts w:ascii="Segoe UI" w:hAnsi="Segoe UI" w:cs="Segoe UI"/>
                <w:color w:val="000000"/>
              </w:rPr>
              <w:t>9</w:t>
            </w:r>
          </w:p>
        </w:tc>
        <w:tc>
          <w:tcPr>
            <w:tcW w:w="709" w:type="dxa"/>
            <w:tcBorders>
              <w:top w:val="nil"/>
              <w:left w:val="nil"/>
              <w:bottom w:val="single" w:sz="4" w:space="0" w:color="auto"/>
              <w:right w:val="single" w:sz="4" w:space="0" w:color="auto"/>
            </w:tcBorders>
            <w:noWrap/>
            <w:vAlign w:val="center"/>
            <w:hideMark/>
          </w:tcPr>
          <w:p w:rsidR="006E0E17" w:rsidRPr="00215B3D" w:rsidRDefault="006E0E17" w:rsidP="00643CE0">
            <w:pPr>
              <w:spacing w:after="0" w:line="240" w:lineRule="auto"/>
              <w:jc w:val="center"/>
              <w:rPr>
                <w:rFonts w:ascii="Segoe UI" w:hAnsi="Segoe UI" w:cs="Segoe UI"/>
              </w:rPr>
            </w:pPr>
            <w:r w:rsidRPr="00215B3D">
              <w:rPr>
                <w:rFonts w:ascii="Segoe UI" w:hAnsi="Segoe UI" w:cs="Segoe UI"/>
              </w:rPr>
              <w:t>4</w:t>
            </w:r>
            <w:r w:rsidR="00643CE0">
              <w:rPr>
                <w:rFonts w:ascii="Segoe UI" w:hAnsi="Segoe UI" w:cs="Segoe UI"/>
              </w:rPr>
              <w:t>7</w:t>
            </w:r>
            <w:r w:rsidRPr="00215B3D">
              <w:rPr>
                <w:rFonts w:ascii="Segoe UI" w:hAnsi="Segoe UI" w:cs="Segoe UI"/>
              </w:rPr>
              <w:t>,</w:t>
            </w:r>
            <w:r w:rsidR="00643CE0">
              <w:rPr>
                <w:rFonts w:ascii="Segoe UI" w:hAnsi="Segoe UI" w:cs="Segoe UI"/>
              </w:rPr>
              <w:t>8</w:t>
            </w:r>
          </w:p>
        </w:tc>
        <w:tc>
          <w:tcPr>
            <w:tcW w:w="1134" w:type="dxa"/>
            <w:tcBorders>
              <w:top w:val="nil"/>
              <w:left w:val="nil"/>
              <w:bottom w:val="single" w:sz="4" w:space="0" w:color="auto"/>
              <w:right w:val="single" w:sz="4" w:space="0" w:color="auto"/>
            </w:tcBorders>
            <w:noWrap/>
            <w:vAlign w:val="center"/>
            <w:hideMark/>
          </w:tcPr>
          <w:p w:rsidR="006E0E17" w:rsidRPr="00215B3D" w:rsidRDefault="006E0E17" w:rsidP="00643CE0">
            <w:pPr>
              <w:spacing w:after="0" w:line="240" w:lineRule="auto"/>
              <w:rPr>
                <w:rFonts w:ascii="Segoe UI" w:hAnsi="Segoe UI" w:cs="Segoe UI"/>
              </w:rPr>
            </w:pPr>
            <w:r w:rsidRPr="00215B3D">
              <w:rPr>
                <w:rFonts w:ascii="Segoe UI" w:hAnsi="Segoe UI" w:cs="Segoe UI"/>
              </w:rPr>
              <w:t>-</w:t>
            </w:r>
            <w:r w:rsidR="00643CE0">
              <w:rPr>
                <w:rFonts w:ascii="Segoe UI" w:hAnsi="Segoe UI" w:cs="Segoe UI"/>
              </w:rPr>
              <w:t xml:space="preserve"> 11</w:t>
            </w:r>
            <w:r w:rsidRPr="00215B3D">
              <w:rPr>
                <w:rFonts w:ascii="Segoe UI" w:hAnsi="Segoe UI" w:cs="Segoe UI"/>
              </w:rPr>
              <w:t> </w:t>
            </w:r>
            <w:r w:rsidR="00643CE0">
              <w:rPr>
                <w:rFonts w:ascii="Segoe UI" w:hAnsi="Segoe UI" w:cs="Segoe UI"/>
              </w:rPr>
              <w:t>800</w:t>
            </w:r>
            <w:r w:rsidRPr="00215B3D">
              <w:rPr>
                <w:rFonts w:ascii="Segoe UI" w:hAnsi="Segoe UI" w:cs="Segoe UI"/>
              </w:rPr>
              <w:t>,</w:t>
            </w:r>
            <w:r w:rsidR="00643CE0">
              <w:rPr>
                <w:rFonts w:ascii="Segoe UI" w:hAnsi="Segoe UI" w:cs="Segoe UI"/>
              </w:rPr>
              <w:t>1</w:t>
            </w:r>
          </w:p>
        </w:tc>
        <w:tc>
          <w:tcPr>
            <w:tcW w:w="1134" w:type="dxa"/>
            <w:tcBorders>
              <w:top w:val="nil"/>
              <w:left w:val="nil"/>
              <w:bottom w:val="single" w:sz="4" w:space="0" w:color="auto"/>
              <w:right w:val="single" w:sz="4" w:space="0" w:color="auto"/>
            </w:tcBorders>
            <w:noWrap/>
            <w:vAlign w:val="center"/>
            <w:hideMark/>
          </w:tcPr>
          <w:p w:rsidR="006E0E17" w:rsidRPr="00215B3D" w:rsidRDefault="00643CE0" w:rsidP="00AF7DF2">
            <w:pPr>
              <w:spacing w:after="0" w:line="240" w:lineRule="auto"/>
              <w:jc w:val="center"/>
              <w:rPr>
                <w:rFonts w:ascii="Segoe UI" w:hAnsi="Segoe UI" w:cs="Segoe UI"/>
              </w:rPr>
            </w:pPr>
            <w:r>
              <w:rPr>
                <w:rFonts w:ascii="Segoe UI" w:hAnsi="Segoe UI" w:cs="Segoe UI"/>
              </w:rPr>
              <w:t>- 5,6</w:t>
            </w:r>
          </w:p>
        </w:tc>
      </w:tr>
      <w:tr w:rsidR="006E0E17" w:rsidRPr="00215B3D" w:rsidTr="00DA7D63">
        <w:trPr>
          <w:trHeight w:val="443"/>
        </w:trPr>
        <w:tc>
          <w:tcPr>
            <w:tcW w:w="1038" w:type="dxa"/>
            <w:tcBorders>
              <w:top w:val="nil"/>
              <w:left w:val="single" w:sz="4" w:space="0" w:color="auto"/>
              <w:bottom w:val="single" w:sz="4" w:space="0" w:color="auto"/>
              <w:right w:val="single" w:sz="4" w:space="0" w:color="auto"/>
            </w:tcBorders>
            <w:noWrap/>
            <w:vAlign w:val="center"/>
            <w:hideMark/>
          </w:tcPr>
          <w:p w:rsidR="006E0E17" w:rsidRPr="00215B3D" w:rsidRDefault="006E0E17" w:rsidP="005B7E1D">
            <w:pPr>
              <w:spacing w:after="0" w:line="240" w:lineRule="auto"/>
              <w:rPr>
                <w:rFonts w:ascii="Segoe UI" w:hAnsi="Segoe UI" w:cs="Segoe UI"/>
                <w:b/>
                <w:bCs/>
              </w:rPr>
            </w:pPr>
            <w:r w:rsidRPr="00215B3D">
              <w:rPr>
                <w:rFonts w:ascii="Segoe UI" w:hAnsi="Segoe UI" w:cs="Segoe UI"/>
                <w:b/>
                <w:bCs/>
              </w:rPr>
              <w:t>Trésor</w:t>
            </w:r>
          </w:p>
        </w:tc>
        <w:tc>
          <w:tcPr>
            <w:tcW w:w="1188" w:type="dxa"/>
            <w:gridSpan w:val="2"/>
            <w:tcBorders>
              <w:top w:val="nil"/>
              <w:left w:val="nil"/>
              <w:bottom w:val="single" w:sz="4" w:space="0" w:color="auto"/>
              <w:right w:val="single" w:sz="4" w:space="0" w:color="auto"/>
            </w:tcBorders>
            <w:noWrap/>
            <w:vAlign w:val="center"/>
            <w:hideMark/>
          </w:tcPr>
          <w:p w:rsidR="006E0E17" w:rsidRPr="00215B3D" w:rsidRDefault="006E0E17" w:rsidP="00441371">
            <w:pPr>
              <w:spacing w:after="0" w:line="240" w:lineRule="auto"/>
              <w:jc w:val="right"/>
              <w:rPr>
                <w:rFonts w:ascii="Segoe UI" w:hAnsi="Segoe UI" w:cs="Segoe UI"/>
              </w:rPr>
            </w:pPr>
            <w:r w:rsidRPr="00215B3D">
              <w:rPr>
                <w:rFonts w:ascii="Segoe UI" w:hAnsi="Segoe UI" w:cs="Segoe UI"/>
              </w:rPr>
              <w:t>67 346</w:t>
            </w:r>
          </w:p>
        </w:tc>
        <w:tc>
          <w:tcPr>
            <w:tcW w:w="1374" w:type="dxa"/>
            <w:tcBorders>
              <w:top w:val="nil"/>
              <w:left w:val="nil"/>
              <w:bottom w:val="single" w:sz="4" w:space="0" w:color="auto"/>
              <w:right w:val="single" w:sz="4" w:space="0" w:color="auto"/>
            </w:tcBorders>
            <w:noWrap/>
            <w:vAlign w:val="center"/>
            <w:hideMark/>
          </w:tcPr>
          <w:p w:rsidR="006E0E17" w:rsidRPr="00215B3D" w:rsidRDefault="006E0E17" w:rsidP="00294458">
            <w:pPr>
              <w:spacing w:after="0" w:line="240" w:lineRule="auto"/>
              <w:jc w:val="right"/>
              <w:rPr>
                <w:rFonts w:ascii="Segoe UI" w:hAnsi="Segoe UI" w:cs="Segoe UI"/>
              </w:rPr>
            </w:pPr>
            <w:r w:rsidRPr="00215B3D">
              <w:rPr>
                <w:rFonts w:ascii="Segoe UI" w:hAnsi="Segoe UI" w:cs="Segoe UI"/>
              </w:rPr>
              <w:t>23</w:t>
            </w:r>
            <w:r w:rsidR="008B6DA2" w:rsidRPr="00215B3D">
              <w:rPr>
                <w:rFonts w:ascii="Segoe UI" w:hAnsi="Segoe UI" w:cs="Segoe UI"/>
              </w:rPr>
              <w:t xml:space="preserve"> </w:t>
            </w:r>
            <w:r w:rsidRPr="00215B3D">
              <w:rPr>
                <w:rFonts w:ascii="Segoe UI" w:hAnsi="Segoe UI" w:cs="Segoe UI"/>
              </w:rPr>
              <w:t>442,0</w:t>
            </w:r>
          </w:p>
        </w:tc>
        <w:tc>
          <w:tcPr>
            <w:tcW w:w="653" w:type="dxa"/>
            <w:tcBorders>
              <w:top w:val="nil"/>
              <w:left w:val="nil"/>
              <w:bottom w:val="single" w:sz="4" w:space="0" w:color="auto"/>
              <w:right w:val="single" w:sz="4" w:space="0" w:color="auto"/>
            </w:tcBorders>
            <w:noWrap/>
            <w:vAlign w:val="center"/>
            <w:hideMark/>
          </w:tcPr>
          <w:p w:rsidR="006E0E17" w:rsidRPr="00215B3D" w:rsidRDefault="006E0E17" w:rsidP="00294458">
            <w:pPr>
              <w:spacing w:after="0" w:line="240" w:lineRule="auto"/>
              <w:jc w:val="center"/>
              <w:rPr>
                <w:rFonts w:ascii="Segoe UI" w:hAnsi="Segoe UI" w:cs="Segoe UI"/>
              </w:rPr>
            </w:pPr>
            <w:r w:rsidRPr="00215B3D">
              <w:rPr>
                <w:rFonts w:ascii="Segoe UI" w:hAnsi="Segoe UI" w:cs="Segoe UI"/>
              </w:rPr>
              <w:t>34,8</w:t>
            </w:r>
          </w:p>
        </w:tc>
        <w:tc>
          <w:tcPr>
            <w:tcW w:w="1276" w:type="dxa"/>
            <w:tcBorders>
              <w:top w:val="nil"/>
              <w:left w:val="nil"/>
              <w:bottom w:val="single" w:sz="4" w:space="0" w:color="auto"/>
              <w:right w:val="single" w:sz="4" w:space="0" w:color="auto"/>
            </w:tcBorders>
            <w:noWrap/>
            <w:vAlign w:val="center"/>
            <w:hideMark/>
          </w:tcPr>
          <w:p w:rsidR="006E0E17" w:rsidRPr="00215B3D" w:rsidRDefault="006E0E17" w:rsidP="006736DB">
            <w:pPr>
              <w:spacing w:after="0" w:line="240" w:lineRule="auto"/>
              <w:jc w:val="right"/>
              <w:rPr>
                <w:rFonts w:ascii="Segoe UI" w:hAnsi="Segoe UI" w:cs="Segoe UI"/>
              </w:rPr>
            </w:pPr>
            <w:r w:rsidRPr="00215B3D">
              <w:rPr>
                <w:rFonts w:ascii="Segoe UI" w:hAnsi="Segoe UI" w:cs="Segoe UI"/>
              </w:rPr>
              <w:t>68 000,0</w:t>
            </w:r>
          </w:p>
        </w:tc>
        <w:tc>
          <w:tcPr>
            <w:tcW w:w="1417" w:type="dxa"/>
            <w:gridSpan w:val="2"/>
            <w:tcBorders>
              <w:top w:val="nil"/>
              <w:left w:val="nil"/>
              <w:bottom w:val="single" w:sz="4" w:space="0" w:color="auto"/>
              <w:right w:val="single" w:sz="4" w:space="0" w:color="auto"/>
            </w:tcBorders>
            <w:noWrap/>
            <w:vAlign w:val="center"/>
            <w:hideMark/>
          </w:tcPr>
          <w:p w:rsidR="006E0E17" w:rsidRPr="00215B3D" w:rsidRDefault="00643CE0" w:rsidP="008C7C46">
            <w:pPr>
              <w:spacing w:after="0" w:line="240" w:lineRule="auto"/>
              <w:jc w:val="right"/>
              <w:rPr>
                <w:rFonts w:ascii="Segoe UI" w:hAnsi="Segoe UI" w:cs="Segoe UI"/>
              </w:rPr>
            </w:pPr>
            <w:r>
              <w:rPr>
                <w:rFonts w:ascii="Segoe UI" w:hAnsi="Segoe UI" w:cs="Segoe UI"/>
              </w:rPr>
              <w:t>70 370,7</w:t>
            </w:r>
          </w:p>
        </w:tc>
        <w:tc>
          <w:tcPr>
            <w:tcW w:w="709" w:type="dxa"/>
            <w:tcBorders>
              <w:top w:val="nil"/>
              <w:left w:val="nil"/>
              <w:bottom w:val="single" w:sz="4" w:space="0" w:color="auto"/>
              <w:right w:val="single" w:sz="4" w:space="0" w:color="auto"/>
            </w:tcBorders>
            <w:noWrap/>
            <w:vAlign w:val="center"/>
            <w:hideMark/>
          </w:tcPr>
          <w:p w:rsidR="006E0E17" w:rsidRPr="00215B3D" w:rsidRDefault="00643CE0" w:rsidP="00294458">
            <w:pPr>
              <w:spacing w:after="0" w:line="240" w:lineRule="auto"/>
              <w:jc w:val="center"/>
              <w:rPr>
                <w:rFonts w:ascii="Segoe UI" w:hAnsi="Segoe UI" w:cs="Segoe UI"/>
              </w:rPr>
            </w:pPr>
            <w:r>
              <w:rPr>
                <w:rFonts w:ascii="Segoe UI" w:hAnsi="Segoe UI" w:cs="Segoe UI"/>
              </w:rPr>
              <w:t>103,5</w:t>
            </w:r>
          </w:p>
        </w:tc>
        <w:tc>
          <w:tcPr>
            <w:tcW w:w="1134" w:type="dxa"/>
            <w:tcBorders>
              <w:top w:val="nil"/>
              <w:left w:val="nil"/>
              <w:bottom w:val="single" w:sz="4" w:space="0" w:color="auto"/>
              <w:right w:val="single" w:sz="4" w:space="0" w:color="auto"/>
            </w:tcBorders>
            <w:noWrap/>
            <w:vAlign w:val="center"/>
            <w:hideMark/>
          </w:tcPr>
          <w:p w:rsidR="006E0E17" w:rsidRPr="00215B3D" w:rsidRDefault="00643CE0" w:rsidP="006E0E17">
            <w:pPr>
              <w:spacing w:after="0" w:line="240" w:lineRule="auto"/>
              <w:jc w:val="right"/>
              <w:rPr>
                <w:rFonts w:ascii="Segoe UI" w:hAnsi="Segoe UI" w:cs="Segoe UI"/>
              </w:rPr>
            </w:pPr>
            <w:r>
              <w:rPr>
                <w:rFonts w:ascii="Segoe UI" w:hAnsi="Segoe UI" w:cs="Segoe UI"/>
              </w:rPr>
              <w:t>46 928,7</w:t>
            </w:r>
          </w:p>
        </w:tc>
        <w:tc>
          <w:tcPr>
            <w:tcW w:w="1134" w:type="dxa"/>
            <w:tcBorders>
              <w:top w:val="nil"/>
              <w:left w:val="nil"/>
              <w:bottom w:val="single" w:sz="4" w:space="0" w:color="auto"/>
              <w:right w:val="single" w:sz="4" w:space="0" w:color="auto"/>
            </w:tcBorders>
            <w:noWrap/>
            <w:vAlign w:val="center"/>
            <w:hideMark/>
          </w:tcPr>
          <w:p w:rsidR="006E0E17" w:rsidRPr="00215B3D" w:rsidRDefault="00643CE0" w:rsidP="00294458">
            <w:pPr>
              <w:spacing w:after="0" w:line="240" w:lineRule="auto"/>
              <w:jc w:val="center"/>
              <w:rPr>
                <w:rFonts w:ascii="Segoe UI" w:hAnsi="Segoe UI" w:cs="Segoe UI"/>
              </w:rPr>
            </w:pPr>
            <w:r>
              <w:rPr>
                <w:rFonts w:ascii="Segoe UI" w:hAnsi="Segoe UI" w:cs="Segoe UI"/>
              </w:rPr>
              <w:t>200,2</w:t>
            </w:r>
          </w:p>
        </w:tc>
      </w:tr>
      <w:tr w:rsidR="005B7E1D" w:rsidRPr="00215B3D" w:rsidTr="00DA7D63">
        <w:trPr>
          <w:trHeight w:val="535"/>
        </w:trPr>
        <w:tc>
          <w:tcPr>
            <w:tcW w:w="1038" w:type="dxa"/>
            <w:tcBorders>
              <w:top w:val="nil"/>
              <w:left w:val="single" w:sz="4" w:space="0" w:color="auto"/>
              <w:bottom w:val="single" w:sz="4" w:space="0" w:color="auto"/>
              <w:right w:val="single" w:sz="4" w:space="0" w:color="auto"/>
            </w:tcBorders>
            <w:noWrap/>
            <w:vAlign w:val="center"/>
            <w:hideMark/>
          </w:tcPr>
          <w:p w:rsidR="005B7E1D" w:rsidRPr="00215B3D" w:rsidRDefault="005B7E1D" w:rsidP="005B7E1D">
            <w:pPr>
              <w:spacing w:after="0" w:line="240" w:lineRule="auto"/>
              <w:jc w:val="center"/>
              <w:rPr>
                <w:rFonts w:ascii="Segoe UI" w:hAnsi="Segoe UI" w:cs="Segoe UI"/>
                <w:b/>
                <w:bCs/>
              </w:rPr>
            </w:pPr>
            <w:r w:rsidRPr="00215B3D">
              <w:rPr>
                <w:rFonts w:ascii="Segoe UI" w:hAnsi="Segoe UI" w:cs="Segoe UI"/>
                <w:b/>
                <w:bCs/>
              </w:rPr>
              <w:t>Total</w:t>
            </w:r>
          </w:p>
        </w:tc>
        <w:tc>
          <w:tcPr>
            <w:tcW w:w="1188" w:type="dxa"/>
            <w:gridSpan w:val="2"/>
            <w:tcBorders>
              <w:top w:val="nil"/>
              <w:left w:val="nil"/>
              <w:bottom w:val="single" w:sz="4" w:space="0" w:color="auto"/>
              <w:right w:val="single" w:sz="4" w:space="0" w:color="auto"/>
            </w:tcBorders>
            <w:noWrap/>
            <w:vAlign w:val="center"/>
            <w:hideMark/>
          </w:tcPr>
          <w:p w:rsidR="005B7E1D" w:rsidRPr="00215B3D" w:rsidRDefault="006E0E17" w:rsidP="005B7E1D">
            <w:pPr>
              <w:spacing w:after="0" w:line="240" w:lineRule="auto"/>
              <w:jc w:val="right"/>
              <w:rPr>
                <w:rFonts w:ascii="Segoe UI" w:hAnsi="Segoe UI" w:cs="Segoe UI"/>
                <w:b/>
                <w:bCs/>
              </w:rPr>
            </w:pPr>
            <w:r w:rsidRPr="00215B3D">
              <w:rPr>
                <w:rFonts w:ascii="Segoe UI" w:hAnsi="Segoe UI" w:cs="Segoe UI"/>
                <w:b/>
                <w:bCs/>
              </w:rPr>
              <w:t>838 748</w:t>
            </w:r>
          </w:p>
        </w:tc>
        <w:tc>
          <w:tcPr>
            <w:tcW w:w="1374" w:type="dxa"/>
            <w:tcBorders>
              <w:top w:val="nil"/>
              <w:left w:val="nil"/>
              <w:bottom w:val="single" w:sz="4" w:space="0" w:color="auto"/>
              <w:right w:val="single" w:sz="4" w:space="0" w:color="auto"/>
            </w:tcBorders>
            <w:noWrap/>
            <w:vAlign w:val="center"/>
            <w:hideMark/>
          </w:tcPr>
          <w:p w:rsidR="005B7E1D" w:rsidRPr="00215B3D" w:rsidRDefault="008B6DA2" w:rsidP="00227B73">
            <w:pPr>
              <w:spacing w:after="0" w:line="240" w:lineRule="auto"/>
              <w:jc w:val="right"/>
              <w:rPr>
                <w:rFonts w:ascii="Segoe UI" w:hAnsi="Segoe UI" w:cs="Segoe UI"/>
                <w:b/>
                <w:bCs/>
              </w:rPr>
            </w:pPr>
            <w:r w:rsidRPr="00215B3D">
              <w:rPr>
                <w:rFonts w:ascii="Segoe UI" w:hAnsi="Segoe UI" w:cs="Segoe UI"/>
                <w:b/>
                <w:bCs/>
              </w:rPr>
              <w:t>385 053,9</w:t>
            </w:r>
          </w:p>
        </w:tc>
        <w:tc>
          <w:tcPr>
            <w:tcW w:w="653" w:type="dxa"/>
            <w:tcBorders>
              <w:top w:val="nil"/>
              <w:left w:val="nil"/>
              <w:bottom w:val="single" w:sz="4" w:space="0" w:color="auto"/>
              <w:right w:val="single" w:sz="4" w:space="0" w:color="auto"/>
            </w:tcBorders>
            <w:noWrap/>
            <w:vAlign w:val="center"/>
            <w:hideMark/>
          </w:tcPr>
          <w:p w:rsidR="005B7E1D" w:rsidRPr="00215B3D" w:rsidRDefault="008B6DA2" w:rsidP="00364117">
            <w:pPr>
              <w:spacing w:after="0" w:line="240" w:lineRule="auto"/>
              <w:jc w:val="center"/>
              <w:rPr>
                <w:rFonts w:ascii="Segoe UI" w:hAnsi="Segoe UI" w:cs="Segoe UI"/>
                <w:b/>
                <w:bCs/>
              </w:rPr>
            </w:pPr>
            <w:r w:rsidRPr="00215B3D">
              <w:rPr>
                <w:rFonts w:ascii="Segoe UI" w:hAnsi="Segoe UI" w:cs="Segoe UI"/>
                <w:b/>
                <w:bCs/>
              </w:rPr>
              <w:t>45,9</w:t>
            </w:r>
          </w:p>
        </w:tc>
        <w:tc>
          <w:tcPr>
            <w:tcW w:w="1276" w:type="dxa"/>
            <w:tcBorders>
              <w:top w:val="nil"/>
              <w:left w:val="nil"/>
              <w:bottom w:val="single" w:sz="4" w:space="0" w:color="auto"/>
              <w:right w:val="single" w:sz="4" w:space="0" w:color="auto"/>
            </w:tcBorders>
            <w:noWrap/>
            <w:vAlign w:val="center"/>
            <w:hideMark/>
          </w:tcPr>
          <w:p w:rsidR="005B7E1D" w:rsidRPr="00215B3D" w:rsidRDefault="00285BC3" w:rsidP="00294458">
            <w:pPr>
              <w:spacing w:after="0" w:line="240" w:lineRule="auto"/>
              <w:jc w:val="center"/>
              <w:rPr>
                <w:rFonts w:ascii="Segoe UI" w:hAnsi="Segoe UI" w:cs="Segoe UI"/>
                <w:b/>
                <w:bCs/>
              </w:rPr>
            </w:pPr>
            <w:r w:rsidRPr="00215B3D">
              <w:rPr>
                <w:rFonts w:ascii="Segoe UI" w:hAnsi="Segoe UI" w:cs="Segoe UI"/>
                <w:b/>
                <w:bCs/>
              </w:rPr>
              <w:t>866 700</w:t>
            </w:r>
          </w:p>
        </w:tc>
        <w:tc>
          <w:tcPr>
            <w:tcW w:w="1417" w:type="dxa"/>
            <w:gridSpan w:val="2"/>
            <w:tcBorders>
              <w:top w:val="nil"/>
              <w:left w:val="nil"/>
              <w:bottom w:val="single" w:sz="4" w:space="0" w:color="auto"/>
              <w:right w:val="single" w:sz="4" w:space="0" w:color="auto"/>
            </w:tcBorders>
            <w:noWrap/>
            <w:vAlign w:val="center"/>
            <w:hideMark/>
          </w:tcPr>
          <w:p w:rsidR="005B7E1D" w:rsidRPr="00215B3D" w:rsidRDefault="00643CE0" w:rsidP="00DD56B0">
            <w:pPr>
              <w:spacing w:after="0" w:line="240" w:lineRule="auto"/>
              <w:jc w:val="right"/>
              <w:rPr>
                <w:rFonts w:ascii="Segoe UI" w:hAnsi="Segoe UI" w:cs="Segoe UI"/>
                <w:b/>
                <w:bCs/>
              </w:rPr>
            </w:pPr>
            <w:r>
              <w:rPr>
                <w:rFonts w:ascii="Segoe UI" w:hAnsi="Segoe UI" w:cs="Segoe UI"/>
                <w:b/>
                <w:bCs/>
              </w:rPr>
              <w:t>410 344,1</w:t>
            </w:r>
          </w:p>
        </w:tc>
        <w:tc>
          <w:tcPr>
            <w:tcW w:w="709" w:type="dxa"/>
            <w:tcBorders>
              <w:top w:val="nil"/>
              <w:left w:val="nil"/>
              <w:bottom w:val="single" w:sz="4" w:space="0" w:color="auto"/>
              <w:right w:val="single" w:sz="4" w:space="0" w:color="auto"/>
            </w:tcBorders>
            <w:noWrap/>
            <w:vAlign w:val="center"/>
            <w:hideMark/>
          </w:tcPr>
          <w:p w:rsidR="005B7E1D" w:rsidRPr="00215B3D" w:rsidRDefault="00643CE0" w:rsidP="00DD56B0">
            <w:pPr>
              <w:spacing w:after="0" w:line="240" w:lineRule="auto"/>
              <w:jc w:val="right"/>
              <w:rPr>
                <w:rFonts w:ascii="Segoe UI" w:hAnsi="Segoe UI" w:cs="Segoe UI"/>
                <w:b/>
                <w:bCs/>
              </w:rPr>
            </w:pPr>
            <w:r>
              <w:rPr>
                <w:rFonts w:ascii="Segoe UI" w:hAnsi="Segoe UI" w:cs="Segoe UI"/>
                <w:b/>
                <w:bCs/>
              </w:rPr>
              <w:t>47,3</w:t>
            </w:r>
          </w:p>
        </w:tc>
        <w:tc>
          <w:tcPr>
            <w:tcW w:w="1134" w:type="dxa"/>
            <w:tcBorders>
              <w:top w:val="nil"/>
              <w:left w:val="nil"/>
              <w:bottom w:val="single" w:sz="4" w:space="0" w:color="auto"/>
              <w:right w:val="single" w:sz="4" w:space="0" w:color="auto"/>
            </w:tcBorders>
            <w:noWrap/>
            <w:vAlign w:val="center"/>
            <w:hideMark/>
          </w:tcPr>
          <w:p w:rsidR="005B7E1D" w:rsidRPr="00215B3D" w:rsidRDefault="00643CE0" w:rsidP="00643CE0">
            <w:pPr>
              <w:spacing w:after="0" w:line="240" w:lineRule="auto"/>
              <w:jc w:val="right"/>
              <w:rPr>
                <w:rFonts w:ascii="Segoe UI" w:hAnsi="Segoe UI" w:cs="Segoe UI"/>
                <w:b/>
                <w:bCs/>
              </w:rPr>
            </w:pPr>
            <w:r>
              <w:rPr>
                <w:rFonts w:ascii="Segoe UI" w:hAnsi="Segoe UI" w:cs="Segoe UI"/>
                <w:b/>
                <w:bCs/>
              </w:rPr>
              <w:t>25</w:t>
            </w:r>
            <w:r w:rsidR="00345567">
              <w:rPr>
                <w:rFonts w:ascii="Segoe UI" w:hAnsi="Segoe UI" w:cs="Segoe UI"/>
                <w:b/>
                <w:bCs/>
              </w:rPr>
              <w:t> </w:t>
            </w:r>
            <w:r>
              <w:rPr>
                <w:rFonts w:ascii="Segoe UI" w:hAnsi="Segoe UI" w:cs="Segoe UI"/>
                <w:b/>
                <w:bCs/>
              </w:rPr>
              <w:t>290</w:t>
            </w:r>
            <w:r w:rsidR="00345567">
              <w:rPr>
                <w:rFonts w:ascii="Segoe UI" w:hAnsi="Segoe UI" w:cs="Segoe UI"/>
                <w:b/>
                <w:bCs/>
              </w:rPr>
              <w:t>,2</w:t>
            </w:r>
          </w:p>
        </w:tc>
        <w:tc>
          <w:tcPr>
            <w:tcW w:w="1134" w:type="dxa"/>
            <w:tcBorders>
              <w:top w:val="nil"/>
              <w:left w:val="nil"/>
              <w:bottom w:val="single" w:sz="4" w:space="0" w:color="auto"/>
              <w:right w:val="single" w:sz="4" w:space="0" w:color="auto"/>
            </w:tcBorders>
            <w:noWrap/>
            <w:vAlign w:val="center"/>
            <w:hideMark/>
          </w:tcPr>
          <w:p w:rsidR="005B7E1D" w:rsidRPr="00215B3D" w:rsidRDefault="00643CE0" w:rsidP="00643CE0">
            <w:pPr>
              <w:spacing w:after="0" w:line="240" w:lineRule="auto"/>
              <w:jc w:val="center"/>
              <w:rPr>
                <w:rFonts w:ascii="Segoe UI" w:hAnsi="Segoe UI" w:cs="Segoe UI"/>
                <w:b/>
                <w:bCs/>
              </w:rPr>
            </w:pPr>
            <w:r>
              <w:rPr>
                <w:rFonts w:ascii="Segoe UI" w:hAnsi="Segoe UI" w:cs="Segoe UI"/>
                <w:b/>
                <w:bCs/>
              </w:rPr>
              <w:t>6,6</w:t>
            </w:r>
          </w:p>
        </w:tc>
      </w:tr>
    </w:tbl>
    <w:p w:rsidR="005B7E1D" w:rsidRPr="00215B3D" w:rsidRDefault="005B7E1D" w:rsidP="00EB5D35">
      <w:pPr>
        <w:spacing w:after="0" w:line="240" w:lineRule="auto"/>
        <w:ind w:left="360"/>
        <w:jc w:val="both"/>
        <w:rPr>
          <w:rFonts w:ascii="Segoe UI" w:hAnsi="Segoe UI" w:cs="Segoe UI"/>
          <w:sz w:val="16"/>
          <w:szCs w:val="16"/>
        </w:rPr>
      </w:pPr>
    </w:p>
    <w:p w:rsidR="0019532B" w:rsidRPr="00215B3D" w:rsidRDefault="0019532B" w:rsidP="00EB5D35">
      <w:pPr>
        <w:spacing w:after="0" w:line="240" w:lineRule="auto"/>
        <w:ind w:left="360"/>
        <w:jc w:val="both"/>
        <w:rPr>
          <w:rFonts w:ascii="Segoe UI" w:hAnsi="Segoe UI" w:cs="Segoe UI"/>
          <w:sz w:val="20"/>
          <w:szCs w:val="20"/>
        </w:rPr>
      </w:pPr>
      <w:r w:rsidRPr="00215B3D">
        <w:rPr>
          <w:rFonts w:ascii="Segoe UI" w:hAnsi="Segoe UI" w:cs="Segoe UI"/>
          <w:b/>
          <w:sz w:val="20"/>
          <w:szCs w:val="20"/>
          <w:u w:val="single"/>
        </w:rPr>
        <w:t>Source </w:t>
      </w:r>
      <w:r w:rsidRPr="00215B3D">
        <w:rPr>
          <w:rFonts w:ascii="Segoe UI" w:hAnsi="Segoe UI" w:cs="Segoe UI"/>
          <w:b/>
          <w:sz w:val="20"/>
          <w:szCs w:val="20"/>
        </w:rPr>
        <w:t xml:space="preserve">: </w:t>
      </w:r>
      <w:r w:rsidR="00B860BF" w:rsidRPr="00215B3D">
        <w:rPr>
          <w:rFonts w:ascii="Segoe UI" w:hAnsi="Segoe UI" w:cs="Segoe UI"/>
          <w:sz w:val="20"/>
          <w:szCs w:val="20"/>
        </w:rPr>
        <w:t>DGB, sur la base des données fournies par les administrations f</w:t>
      </w:r>
      <w:r w:rsidR="000D523A" w:rsidRPr="00215B3D">
        <w:rPr>
          <w:rFonts w:ascii="Segoe UI" w:hAnsi="Segoe UI" w:cs="Segoe UI"/>
          <w:sz w:val="20"/>
          <w:szCs w:val="20"/>
        </w:rPr>
        <w:t>inancières</w:t>
      </w:r>
      <w:r w:rsidR="002A01BB" w:rsidRPr="00215B3D">
        <w:rPr>
          <w:rFonts w:ascii="Segoe UI" w:hAnsi="Segoe UI" w:cs="Segoe UI"/>
          <w:sz w:val="20"/>
          <w:szCs w:val="20"/>
        </w:rPr>
        <w:t xml:space="preserve">, </w:t>
      </w:r>
      <w:r w:rsidR="000935B7" w:rsidRPr="00215B3D">
        <w:rPr>
          <w:rFonts w:ascii="Segoe UI" w:hAnsi="Segoe UI" w:cs="Segoe UI"/>
          <w:sz w:val="20"/>
          <w:szCs w:val="20"/>
        </w:rPr>
        <w:t>juin</w:t>
      </w:r>
      <w:r w:rsidR="002A01BB" w:rsidRPr="00215B3D">
        <w:rPr>
          <w:rFonts w:ascii="Segoe UI" w:hAnsi="Segoe UI" w:cs="Segoe UI"/>
          <w:sz w:val="20"/>
          <w:szCs w:val="20"/>
        </w:rPr>
        <w:t xml:space="preserve"> 201</w:t>
      </w:r>
      <w:r w:rsidR="00DF15E6" w:rsidRPr="00215B3D">
        <w:rPr>
          <w:rFonts w:ascii="Segoe UI" w:hAnsi="Segoe UI" w:cs="Segoe UI"/>
          <w:sz w:val="20"/>
          <w:szCs w:val="20"/>
        </w:rPr>
        <w:t>7</w:t>
      </w:r>
    </w:p>
    <w:p w:rsidR="00F40838" w:rsidRPr="00215B3D" w:rsidRDefault="00743B5B" w:rsidP="00562761">
      <w:pPr>
        <w:spacing w:after="0" w:line="360" w:lineRule="auto"/>
        <w:jc w:val="both"/>
        <w:rPr>
          <w:rFonts w:ascii="Segoe UI" w:hAnsi="Segoe UI" w:cs="Segoe UI"/>
          <w:sz w:val="24"/>
          <w:szCs w:val="26"/>
        </w:rPr>
      </w:pPr>
      <w:r w:rsidRPr="00215B3D">
        <w:rPr>
          <w:rFonts w:ascii="Segoe UI" w:hAnsi="Segoe UI" w:cs="Segoe UI"/>
          <w:sz w:val="24"/>
          <w:szCs w:val="26"/>
        </w:rPr>
        <w:t>L</w:t>
      </w:r>
      <w:r w:rsidR="000D523A" w:rsidRPr="00215B3D">
        <w:rPr>
          <w:rFonts w:ascii="Segoe UI" w:hAnsi="Segoe UI" w:cs="Segoe UI"/>
          <w:sz w:val="24"/>
          <w:szCs w:val="26"/>
        </w:rPr>
        <w:t>es recouvrements de recettes par régie financière ainsi que les éléments explicatifs des niveaux de réalisation</w:t>
      </w:r>
      <w:r w:rsidRPr="00215B3D">
        <w:rPr>
          <w:rFonts w:ascii="Segoe UI" w:hAnsi="Segoe UI" w:cs="Segoe UI"/>
          <w:sz w:val="24"/>
          <w:szCs w:val="26"/>
        </w:rPr>
        <w:t xml:space="preserve"> </w:t>
      </w:r>
      <w:r w:rsidR="008664D1" w:rsidRPr="00215B3D">
        <w:rPr>
          <w:rFonts w:ascii="Segoe UI" w:hAnsi="Segoe UI" w:cs="Segoe UI"/>
          <w:sz w:val="24"/>
          <w:szCs w:val="26"/>
        </w:rPr>
        <w:t>à fin juin</w:t>
      </w:r>
      <w:r w:rsidR="005D2F0C" w:rsidRPr="00215B3D">
        <w:rPr>
          <w:rFonts w:ascii="Segoe UI" w:hAnsi="Segoe UI" w:cs="Segoe UI"/>
          <w:sz w:val="24"/>
          <w:szCs w:val="26"/>
        </w:rPr>
        <w:t xml:space="preserve"> 201</w:t>
      </w:r>
      <w:r w:rsidR="008664D1" w:rsidRPr="00215B3D">
        <w:rPr>
          <w:rFonts w:ascii="Segoe UI" w:hAnsi="Segoe UI" w:cs="Segoe UI"/>
          <w:sz w:val="24"/>
          <w:szCs w:val="26"/>
        </w:rPr>
        <w:t>7</w:t>
      </w:r>
      <w:r w:rsidR="001A68B3" w:rsidRPr="00215B3D">
        <w:rPr>
          <w:rFonts w:ascii="Segoe UI" w:hAnsi="Segoe UI" w:cs="Segoe UI"/>
          <w:sz w:val="24"/>
          <w:szCs w:val="26"/>
        </w:rPr>
        <w:t xml:space="preserve"> </w:t>
      </w:r>
      <w:r w:rsidR="00E00DA8" w:rsidRPr="00215B3D">
        <w:rPr>
          <w:rFonts w:ascii="Segoe UI" w:hAnsi="Segoe UI" w:cs="Segoe UI"/>
          <w:sz w:val="24"/>
          <w:szCs w:val="26"/>
        </w:rPr>
        <w:t xml:space="preserve">se </w:t>
      </w:r>
      <w:r w:rsidR="0036033E" w:rsidRPr="00215B3D">
        <w:rPr>
          <w:rFonts w:ascii="Segoe UI" w:hAnsi="Segoe UI" w:cs="Segoe UI"/>
          <w:sz w:val="24"/>
          <w:szCs w:val="26"/>
        </w:rPr>
        <w:t>présente</w:t>
      </w:r>
      <w:r w:rsidR="000D523A" w:rsidRPr="00215B3D">
        <w:rPr>
          <w:rFonts w:ascii="Segoe UI" w:hAnsi="Segoe UI" w:cs="Segoe UI"/>
          <w:sz w:val="24"/>
          <w:szCs w:val="26"/>
        </w:rPr>
        <w:t>nt</w:t>
      </w:r>
      <w:r w:rsidR="0036033E" w:rsidRPr="00215B3D">
        <w:rPr>
          <w:rFonts w:ascii="Segoe UI" w:hAnsi="Segoe UI" w:cs="Segoe UI"/>
          <w:sz w:val="24"/>
          <w:szCs w:val="26"/>
        </w:rPr>
        <w:t xml:space="preserve"> ainsi qu’il suit :</w:t>
      </w:r>
    </w:p>
    <w:p w:rsidR="00F40838" w:rsidRPr="00552020" w:rsidRDefault="00F40838" w:rsidP="00562761">
      <w:pPr>
        <w:spacing w:after="0" w:line="360" w:lineRule="auto"/>
        <w:jc w:val="both"/>
        <w:rPr>
          <w:rFonts w:ascii="Segoe UI" w:hAnsi="Segoe UI" w:cs="Segoe UI"/>
          <w:sz w:val="14"/>
          <w:szCs w:val="26"/>
        </w:rPr>
      </w:pPr>
    </w:p>
    <w:p w:rsidR="002F5D00" w:rsidRPr="00215B3D" w:rsidRDefault="00811DB1" w:rsidP="00811DB1">
      <w:pPr>
        <w:spacing w:after="0" w:line="360" w:lineRule="auto"/>
        <w:jc w:val="both"/>
        <w:rPr>
          <w:rFonts w:ascii="Segoe UI" w:hAnsi="Segoe UI" w:cs="Segoe UI"/>
          <w:b/>
          <w:sz w:val="26"/>
          <w:szCs w:val="26"/>
        </w:rPr>
      </w:pPr>
      <w:r w:rsidRPr="00215B3D">
        <w:rPr>
          <w:rFonts w:ascii="Segoe UI" w:hAnsi="Segoe UI" w:cs="Segoe UI"/>
          <w:b/>
          <w:sz w:val="26"/>
          <w:szCs w:val="26"/>
        </w:rPr>
        <w:t xml:space="preserve">A-1-1 </w:t>
      </w:r>
      <w:r w:rsidR="00872C08" w:rsidRPr="00215B3D">
        <w:rPr>
          <w:rFonts w:ascii="Segoe UI" w:hAnsi="Segoe UI" w:cs="Segoe UI"/>
          <w:b/>
          <w:sz w:val="26"/>
          <w:szCs w:val="26"/>
        </w:rPr>
        <w:t>Direction Générale des Douanes et Droits Indirects</w:t>
      </w:r>
      <w:r w:rsidR="00BA246D" w:rsidRPr="00215B3D">
        <w:rPr>
          <w:rFonts w:ascii="Segoe UI" w:hAnsi="Segoe UI" w:cs="Segoe UI"/>
          <w:b/>
          <w:sz w:val="26"/>
          <w:szCs w:val="26"/>
        </w:rPr>
        <w:t xml:space="preserve"> </w:t>
      </w:r>
      <w:r w:rsidR="00872C08" w:rsidRPr="00215B3D">
        <w:rPr>
          <w:rFonts w:ascii="Segoe UI" w:hAnsi="Segoe UI" w:cs="Segoe UI"/>
          <w:b/>
          <w:sz w:val="26"/>
          <w:szCs w:val="26"/>
        </w:rPr>
        <w:t>(DGDDI)</w:t>
      </w:r>
    </w:p>
    <w:p w:rsidR="00D9740A" w:rsidRDefault="00AE66F4" w:rsidP="008474F6">
      <w:pPr>
        <w:spacing w:after="0" w:line="360" w:lineRule="auto"/>
        <w:jc w:val="both"/>
        <w:rPr>
          <w:rFonts w:ascii="Segoe UI" w:hAnsi="Segoe UI" w:cs="Segoe UI"/>
          <w:sz w:val="24"/>
          <w:szCs w:val="26"/>
        </w:rPr>
      </w:pPr>
      <w:r w:rsidRPr="00215B3D">
        <w:rPr>
          <w:rFonts w:ascii="Segoe UI" w:hAnsi="Segoe UI" w:cs="Segoe UI"/>
          <w:sz w:val="24"/>
          <w:szCs w:val="26"/>
        </w:rPr>
        <w:t>Le</w:t>
      </w:r>
      <w:r w:rsidR="00BF2B4F" w:rsidRPr="00215B3D">
        <w:rPr>
          <w:rFonts w:ascii="Segoe UI" w:hAnsi="Segoe UI" w:cs="Segoe UI"/>
          <w:sz w:val="24"/>
          <w:szCs w:val="26"/>
        </w:rPr>
        <w:t xml:space="preserve"> premier semestre de l’</w:t>
      </w:r>
      <w:r w:rsidRPr="00215B3D">
        <w:rPr>
          <w:rFonts w:ascii="Segoe UI" w:hAnsi="Segoe UI" w:cs="Segoe UI"/>
          <w:sz w:val="24"/>
          <w:szCs w:val="26"/>
        </w:rPr>
        <w:t>année 2017 a connu la mobilisation</w:t>
      </w:r>
      <w:r w:rsidR="00040CF0" w:rsidRPr="00215B3D">
        <w:rPr>
          <w:rFonts w:ascii="Segoe UI" w:hAnsi="Segoe UI" w:cs="Segoe UI"/>
          <w:sz w:val="24"/>
          <w:szCs w:val="26"/>
        </w:rPr>
        <w:t>,</w:t>
      </w:r>
      <w:r w:rsidRPr="00215B3D">
        <w:rPr>
          <w:rFonts w:ascii="Segoe UI" w:hAnsi="Segoe UI" w:cs="Segoe UI"/>
          <w:sz w:val="24"/>
          <w:szCs w:val="26"/>
        </w:rPr>
        <w:t xml:space="preserve"> par </w:t>
      </w:r>
      <w:r w:rsidR="00BF2B4F" w:rsidRPr="00215B3D">
        <w:rPr>
          <w:rFonts w:ascii="Segoe UI" w:hAnsi="Segoe UI" w:cs="Segoe UI"/>
          <w:sz w:val="24"/>
          <w:szCs w:val="26"/>
        </w:rPr>
        <w:t>la DGDDI</w:t>
      </w:r>
      <w:r w:rsidR="00040CF0" w:rsidRPr="00215B3D">
        <w:rPr>
          <w:rFonts w:ascii="Segoe UI" w:hAnsi="Segoe UI" w:cs="Segoe UI"/>
          <w:sz w:val="24"/>
          <w:szCs w:val="26"/>
        </w:rPr>
        <w:t>,</w:t>
      </w:r>
      <w:r w:rsidR="00BF2B4F" w:rsidRPr="00215B3D">
        <w:rPr>
          <w:rFonts w:ascii="Segoe UI" w:hAnsi="Segoe UI" w:cs="Segoe UI"/>
          <w:sz w:val="24"/>
          <w:szCs w:val="26"/>
        </w:rPr>
        <w:t xml:space="preserve"> </w:t>
      </w:r>
      <w:r w:rsidRPr="00215B3D">
        <w:rPr>
          <w:rFonts w:ascii="Segoe UI" w:hAnsi="Segoe UI" w:cs="Segoe UI"/>
          <w:sz w:val="24"/>
          <w:szCs w:val="26"/>
        </w:rPr>
        <w:t>de</w:t>
      </w:r>
      <w:r w:rsidR="001E6017">
        <w:rPr>
          <w:rFonts w:ascii="Segoe UI" w:hAnsi="Segoe UI" w:cs="Segoe UI"/>
          <w:sz w:val="24"/>
          <w:szCs w:val="26"/>
        </w:rPr>
        <w:t xml:space="preserve"> recettes de montant</w:t>
      </w:r>
      <w:r w:rsidR="00BF2B4F" w:rsidRPr="00215B3D">
        <w:rPr>
          <w:rFonts w:ascii="Segoe UI" w:hAnsi="Segoe UI" w:cs="Segoe UI"/>
          <w:sz w:val="24"/>
          <w:szCs w:val="26"/>
        </w:rPr>
        <w:t xml:space="preserve"> </w:t>
      </w:r>
      <w:r w:rsidR="00BF2B4F" w:rsidRPr="00215B3D">
        <w:rPr>
          <w:rFonts w:ascii="Segoe UI" w:hAnsi="Segoe UI" w:cs="Segoe UI"/>
          <w:b/>
        </w:rPr>
        <w:t>141 355,</w:t>
      </w:r>
      <w:r w:rsidR="00996979">
        <w:rPr>
          <w:rFonts w:ascii="Segoe UI" w:hAnsi="Segoe UI" w:cs="Segoe UI"/>
          <w:b/>
        </w:rPr>
        <w:t>5</w:t>
      </w:r>
      <w:r w:rsidR="00BF2B4F" w:rsidRPr="00215B3D">
        <w:rPr>
          <w:rFonts w:ascii="Segoe UI" w:hAnsi="Segoe UI" w:cs="Segoe UI"/>
          <w:b/>
        </w:rPr>
        <w:t xml:space="preserve"> millions de CFA</w:t>
      </w:r>
      <w:r w:rsidR="00AF1C26" w:rsidRPr="00215B3D">
        <w:rPr>
          <w:rFonts w:ascii="Segoe UI" w:hAnsi="Segoe UI" w:cs="Segoe UI"/>
        </w:rPr>
        <w:t>,</w:t>
      </w:r>
      <w:r w:rsidR="00BF2B4F" w:rsidRPr="00215B3D">
        <w:rPr>
          <w:rFonts w:ascii="Segoe UI" w:hAnsi="Segoe UI" w:cs="Segoe UI"/>
          <w:sz w:val="24"/>
          <w:szCs w:val="26"/>
        </w:rPr>
        <w:t xml:space="preserve"> hors prélèvements communautaires (PC : 2 257,9 millions de FCFA) et prélèvements communautaires de solidarité (PCS : 4 072,9 millions </w:t>
      </w:r>
      <w:r w:rsidR="00BF2B4F" w:rsidRPr="00215B3D">
        <w:rPr>
          <w:rFonts w:ascii="Segoe UI" w:hAnsi="Segoe UI" w:cs="Segoe UI"/>
          <w:sz w:val="24"/>
          <w:szCs w:val="26"/>
        </w:rPr>
        <w:lastRenderedPageBreak/>
        <w:t>de FCFA),</w:t>
      </w:r>
      <w:r w:rsidR="00BF2B4F" w:rsidRPr="00215B3D">
        <w:rPr>
          <w:rFonts w:ascii="Segoe UI" w:hAnsi="Segoe UI" w:cs="Segoe UI"/>
        </w:rPr>
        <w:t xml:space="preserve"> s</w:t>
      </w:r>
      <w:r w:rsidR="008B16DE" w:rsidRPr="00215B3D">
        <w:rPr>
          <w:rFonts w:ascii="Segoe UI" w:hAnsi="Segoe UI" w:cs="Segoe UI"/>
          <w:sz w:val="24"/>
          <w:szCs w:val="26"/>
        </w:rPr>
        <w:t xml:space="preserve">ur une prévision annuelle de </w:t>
      </w:r>
      <w:r w:rsidR="008B16DE" w:rsidRPr="00215B3D">
        <w:rPr>
          <w:rFonts w:ascii="Segoe UI" w:hAnsi="Segoe UI" w:cs="Segoe UI"/>
          <w:b/>
          <w:sz w:val="24"/>
          <w:szCs w:val="26"/>
        </w:rPr>
        <w:t>383 500 millions de FCFA</w:t>
      </w:r>
      <w:r w:rsidR="003A7968" w:rsidRPr="00215B3D">
        <w:rPr>
          <w:rFonts w:ascii="Segoe UI" w:hAnsi="Segoe UI" w:cs="Segoe UI"/>
          <w:b/>
          <w:sz w:val="24"/>
          <w:szCs w:val="26"/>
        </w:rPr>
        <w:t>,</w:t>
      </w:r>
      <w:r w:rsidR="004E1DAD" w:rsidRPr="00215B3D">
        <w:rPr>
          <w:rFonts w:ascii="Segoe UI" w:hAnsi="Segoe UI" w:cs="Segoe UI"/>
          <w:sz w:val="24"/>
          <w:szCs w:val="26"/>
        </w:rPr>
        <w:t xml:space="preserve"> </w:t>
      </w:r>
      <w:r w:rsidR="003A7968" w:rsidRPr="00215B3D">
        <w:rPr>
          <w:rFonts w:ascii="Segoe UI" w:hAnsi="Segoe UI" w:cs="Segoe UI"/>
          <w:sz w:val="24"/>
          <w:szCs w:val="26"/>
        </w:rPr>
        <w:t>soit un</w:t>
      </w:r>
      <w:r w:rsidRPr="00215B3D">
        <w:rPr>
          <w:rFonts w:ascii="Segoe UI" w:hAnsi="Segoe UI" w:cs="Segoe UI"/>
          <w:sz w:val="24"/>
          <w:szCs w:val="26"/>
        </w:rPr>
        <w:t xml:space="preserve"> taux de </w:t>
      </w:r>
      <w:r w:rsidR="004E1DAD" w:rsidRPr="00215B3D">
        <w:rPr>
          <w:rFonts w:ascii="Segoe UI" w:hAnsi="Segoe UI" w:cs="Segoe UI"/>
          <w:sz w:val="24"/>
          <w:szCs w:val="26"/>
        </w:rPr>
        <w:t>recouvrement</w:t>
      </w:r>
      <w:r w:rsidRPr="00215B3D">
        <w:rPr>
          <w:rFonts w:ascii="Segoe UI" w:hAnsi="Segoe UI" w:cs="Segoe UI"/>
          <w:sz w:val="24"/>
          <w:szCs w:val="26"/>
        </w:rPr>
        <w:t xml:space="preserve"> de </w:t>
      </w:r>
      <w:r w:rsidR="00552151" w:rsidRPr="00215B3D">
        <w:rPr>
          <w:rFonts w:ascii="Segoe UI" w:hAnsi="Segoe UI" w:cs="Segoe UI"/>
          <w:b/>
          <w:sz w:val="24"/>
          <w:szCs w:val="26"/>
        </w:rPr>
        <w:t>36,9</w:t>
      </w:r>
      <w:r w:rsidR="00F8628E" w:rsidRPr="00215B3D">
        <w:rPr>
          <w:rFonts w:ascii="Segoe UI" w:hAnsi="Segoe UI" w:cs="Segoe UI"/>
          <w:b/>
          <w:sz w:val="24"/>
          <w:szCs w:val="26"/>
        </w:rPr>
        <w:t>%</w:t>
      </w:r>
      <w:r w:rsidRPr="00215B3D">
        <w:rPr>
          <w:rFonts w:ascii="Segoe UI" w:hAnsi="Segoe UI" w:cs="Segoe UI"/>
          <w:sz w:val="24"/>
          <w:szCs w:val="26"/>
        </w:rPr>
        <w:t xml:space="preserve"> contre 41,6% à la même période en 2016.</w:t>
      </w:r>
      <w:r w:rsidR="00033B81" w:rsidRPr="00215B3D">
        <w:rPr>
          <w:rFonts w:ascii="Segoe UI" w:hAnsi="Segoe UI" w:cs="Segoe UI"/>
          <w:sz w:val="24"/>
          <w:szCs w:val="26"/>
        </w:rPr>
        <w:t xml:space="preserve"> En </w:t>
      </w:r>
      <w:r w:rsidR="003A7968" w:rsidRPr="00215B3D">
        <w:rPr>
          <w:rFonts w:ascii="Segoe UI" w:hAnsi="Segoe UI" w:cs="Segoe UI"/>
          <w:sz w:val="24"/>
          <w:szCs w:val="26"/>
        </w:rPr>
        <w:t>terme</w:t>
      </w:r>
      <w:r w:rsidR="00AF1C26" w:rsidRPr="00215B3D">
        <w:rPr>
          <w:rFonts w:ascii="Segoe UI" w:hAnsi="Segoe UI" w:cs="Segoe UI"/>
          <w:sz w:val="24"/>
          <w:szCs w:val="26"/>
        </w:rPr>
        <w:t>s</w:t>
      </w:r>
      <w:r w:rsidR="00033B81" w:rsidRPr="00215B3D">
        <w:rPr>
          <w:rFonts w:ascii="Segoe UI" w:hAnsi="Segoe UI" w:cs="Segoe UI"/>
          <w:sz w:val="24"/>
          <w:szCs w:val="26"/>
        </w:rPr>
        <w:t xml:space="preserve"> de </w:t>
      </w:r>
      <w:r w:rsidR="001E6017">
        <w:rPr>
          <w:rFonts w:ascii="Segoe UI" w:hAnsi="Segoe UI" w:cs="Segoe UI"/>
          <w:sz w:val="24"/>
          <w:szCs w:val="26"/>
        </w:rPr>
        <w:t>résultat</w:t>
      </w:r>
      <w:r w:rsidR="00033B81" w:rsidRPr="00215B3D">
        <w:rPr>
          <w:rFonts w:ascii="Segoe UI" w:hAnsi="Segoe UI" w:cs="Segoe UI"/>
          <w:sz w:val="24"/>
          <w:szCs w:val="26"/>
        </w:rPr>
        <w:t xml:space="preserve">, </w:t>
      </w:r>
      <w:r w:rsidR="00D60983" w:rsidRPr="00215B3D">
        <w:rPr>
          <w:rFonts w:ascii="Segoe UI" w:hAnsi="Segoe UI" w:cs="Segoe UI"/>
          <w:sz w:val="24"/>
          <w:szCs w:val="26"/>
        </w:rPr>
        <w:t xml:space="preserve">on note </w:t>
      </w:r>
      <w:r w:rsidR="00345567">
        <w:rPr>
          <w:rFonts w:ascii="Segoe UI" w:hAnsi="Segoe UI" w:cs="Segoe UI"/>
          <w:sz w:val="24"/>
          <w:szCs w:val="26"/>
        </w:rPr>
        <w:t>une baisse de 9 </w:t>
      </w:r>
      <w:r w:rsidR="001E6017">
        <w:rPr>
          <w:rFonts w:ascii="Segoe UI" w:hAnsi="Segoe UI" w:cs="Segoe UI"/>
          <w:sz w:val="24"/>
          <w:szCs w:val="26"/>
        </w:rPr>
        <w:t>838</w:t>
      </w:r>
      <w:r w:rsidR="00345567">
        <w:rPr>
          <w:rFonts w:ascii="Segoe UI" w:hAnsi="Segoe UI" w:cs="Segoe UI"/>
          <w:sz w:val="24"/>
          <w:szCs w:val="26"/>
        </w:rPr>
        <w:t>,4</w:t>
      </w:r>
      <w:r w:rsidR="001E6017">
        <w:rPr>
          <w:rFonts w:ascii="Segoe UI" w:hAnsi="Segoe UI" w:cs="Segoe UI"/>
          <w:sz w:val="24"/>
          <w:szCs w:val="26"/>
        </w:rPr>
        <w:t xml:space="preserve"> millions de FCFA correspondant à </w:t>
      </w:r>
      <w:r w:rsidR="001E6017" w:rsidRPr="00215B3D">
        <w:rPr>
          <w:rFonts w:ascii="Segoe UI" w:hAnsi="Segoe UI" w:cs="Segoe UI"/>
          <w:sz w:val="24"/>
          <w:szCs w:val="26"/>
        </w:rPr>
        <w:t xml:space="preserve">une régression </w:t>
      </w:r>
      <w:r w:rsidR="00D60983" w:rsidRPr="00215B3D">
        <w:rPr>
          <w:rFonts w:ascii="Segoe UI" w:hAnsi="Segoe UI" w:cs="Segoe UI"/>
          <w:sz w:val="24"/>
          <w:szCs w:val="26"/>
        </w:rPr>
        <w:t xml:space="preserve">de </w:t>
      </w:r>
      <w:r w:rsidR="00B60507" w:rsidRPr="00215B3D">
        <w:rPr>
          <w:rFonts w:ascii="Segoe UI" w:hAnsi="Segoe UI" w:cs="Segoe UI"/>
          <w:sz w:val="24"/>
          <w:szCs w:val="26"/>
        </w:rPr>
        <w:t>4,7</w:t>
      </w:r>
      <w:r w:rsidR="00D60983" w:rsidRPr="00215B3D">
        <w:rPr>
          <w:rFonts w:ascii="Segoe UI" w:hAnsi="Segoe UI" w:cs="Segoe UI"/>
          <w:sz w:val="24"/>
          <w:szCs w:val="26"/>
        </w:rPr>
        <w:t xml:space="preserve"> points de pourcentage par rapport à 2016.</w:t>
      </w:r>
      <w:r w:rsidR="00063B12" w:rsidRPr="00215B3D">
        <w:rPr>
          <w:rFonts w:ascii="Segoe UI" w:hAnsi="Segoe UI" w:cs="Segoe UI"/>
          <w:sz w:val="24"/>
          <w:szCs w:val="26"/>
        </w:rPr>
        <w:t xml:space="preserve"> La </w:t>
      </w:r>
      <w:r w:rsidR="000A58A9" w:rsidRPr="00215B3D">
        <w:rPr>
          <w:rFonts w:ascii="Segoe UI" w:hAnsi="Segoe UI" w:cs="Segoe UI"/>
          <w:sz w:val="24"/>
          <w:szCs w:val="26"/>
        </w:rPr>
        <w:t>contre-performance</w:t>
      </w:r>
      <w:r w:rsidR="00063B12" w:rsidRPr="00215B3D">
        <w:rPr>
          <w:rFonts w:ascii="Segoe UI" w:hAnsi="Segoe UI" w:cs="Segoe UI"/>
          <w:sz w:val="24"/>
          <w:szCs w:val="26"/>
        </w:rPr>
        <w:t xml:space="preserve"> enregistrée par l’administration douanière à fin juin 2017 </w:t>
      </w:r>
      <w:r w:rsidR="00A1046D" w:rsidRPr="00215B3D">
        <w:rPr>
          <w:rFonts w:ascii="Segoe UI" w:hAnsi="Segoe UI" w:cs="Segoe UI"/>
          <w:sz w:val="24"/>
          <w:szCs w:val="26"/>
        </w:rPr>
        <w:t xml:space="preserve">est </w:t>
      </w:r>
      <w:r w:rsidR="00AF1C26" w:rsidRPr="00215B3D">
        <w:rPr>
          <w:rFonts w:ascii="Segoe UI" w:hAnsi="Segoe UI" w:cs="Segoe UI"/>
          <w:sz w:val="24"/>
          <w:szCs w:val="26"/>
        </w:rPr>
        <w:t>due</w:t>
      </w:r>
      <w:r w:rsidR="00A1046D" w:rsidRPr="00215B3D">
        <w:rPr>
          <w:rFonts w:ascii="Segoe UI" w:hAnsi="Segoe UI" w:cs="Segoe UI"/>
          <w:sz w:val="24"/>
          <w:szCs w:val="26"/>
        </w:rPr>
        <w:t xml:space="preserve"> à</w:t>
      </w:r>
      <w:r w:rsidR="00F97735" w:rsidRPr="00215B3D">
        <w:rPr>
          <w:rFonts w:ascii="Segoe UI" w:hAnsi="Segoe UI" w:cs="Segoe UI"/>
          <w:sz w:val="24"/>
          <w:szCs w:val="26"/>
        </w:rPr>
        <w:t xml:space="preserve"> (i) </w:t>
      </w:r>
      <w:r w:rsidR="008B6F5C" w:rsidRPr="00215B3D">
        <w:rPr>
          <w:rFonts w:ascii="Segoe UI" w:hAnsi="Segoe UI" w:cs="Segoe UI"/>
          <w:sz w:val="24"/>
          <w:szCs w:val="26"/>
        </w:rPr>
        <w:t>une baisse des recettes</w:t>
      </w:r>
      <w:r w:rsidR="00063B12" w:rsidRPr="00215B3D">
        <w:rPr>
          <w:rFonts w:ascii="Segoe UI" w:hAnsi="Segoe UI" w:cs="Segoe UI"/>
          <w:sz w:val="24"/>
          <w:szCs w:val="26"/>
        </w:rPr>
        <w:t xml:space="preserve"> de l’activité d’escorte (5,003 milliards de FCFA, soit une régression de 41,75% par rapport à 2016)</w:t>
      </w:r>
      <w:r w:rsidR="00AF1C26" w:rsidRPr="00215B3D">
        <w:rPr>
          <w:rFonts w:ascii="Segoe UI" w:hAnsi="Segoe UI" w:cs="Segoe UI"/>
          <w:sz w:val="24"/>
          <w:szCs w:val="26"/>
        </w:rPr>
        <w:t xml:space="preserve"> et</w:t>
      </w:r>
      <w:r w:rsidR="00C83B0E" w:rsidRPr="00215B3D">
        <w:rPr>
          <w:rFonts w:ascii="Segoe UI" w:hAnsi="Segoe UI" w:cs="Segoe UI"/>
          <w:sz w:val="24"/>
          <w:szCs w:val="26"/>
        </w:rPr>
        <w:t xml:space="preserve"> (ii) </w:t>
      </w:r>
      <w:r w:rsidR="00825500" w:rsidRPr="00215B3D">
        <w:rPr>
          <w:rFonts w:ascii="Segoe UI" w:hAnsi="Segoe UI" w:cs="Segoe UI"/>
          <w:sz w:val="24"/>
          <w:szCs w:val="26"/>
        </w:rPr>
        <w:t>u</w:t>
      </w:r>
      <w:r w:rsidR="00D65B68" w:rsidRPr="00215B3D">
        <w:rPr>
          <w:rFonts w:ascii="Segoe UI" w:hAnsi="Segoe UI" w:cs="Segoe UI"/>
          <w:sz w:val="24"/>
          <w:szCs w:val="26"/>
        </w:rPr>
        <w:t xml:space="preserve">ne régression </w:t>
      </w:r>
      <w:r w:rsidR="00AF1C26" w:rsidRPr="00215B3D">
        <w:rPr>
          <w:rFonts w:ascii="Segoe UI" w:hAnsi="Segoe UI" w:cs="Segoe UI"/>
          <w:sz w:val="24"/>
          <w:szCs w:val="26"/>
        </w:rPr>
        <w:t>du</w:t>
      </w:r>
      <w:r w:rsidR="00D65B68" w:rsidRPr="00215B3D">
        <w:rPr>
          <w:rFonts w:ascii="Segoe UI" w:hAnsi="Segoe UI" w:cs="Segoe UI"/>
          <w:sz w:val="24"/>
          <w:szCs w:val="26"/>
        </w:rPr>
        <w:t xml:space="preserve"> recouvrement</w:t>
      </w:r>
      <w:r w:rsidR="00825500" w:rsidRPr="00215B3D">
        <w:rPr>
          <w:rFonts w:ascii="Segoe UI" w:hAnsi="Segoe UI" w:cs="Segoe UI"/>
          <w:sz w:val="24"/>
          <w:szCs w:val="26"/>
        </w:rPr>
        <w:t xml:space="preserve"> de</w:t>
      </w:r>
      <w:r w:rsidR="00063B12" w:rsidRPr="00215B3D">
        <w:rPr>
          <w:rFonts w:ascii="Segoe UI" w:hAnsi="Segoe UI" w:cs="Segoe UI"/>
          <w:sz w:val="24"/>
          <w:szCs w:val="26"/>
        </w:rPr>
        <w:t>s</w:t>
      </w:r>
      <w:r w:rsidR="00825500" w:rsidRPr="00215B3D">
        <w:rPr>
          <w:rFonts w:ascii="Segoe UI" w:hAnsi="Segoe UI" w:cs="Segoe UI"/>
          <w:sz w:val="24"/>
          <w:szCs w:val="26"/>
        </w:rPr>
        <w:t xml:space="preserve"> produits</w:t>
      </w:r>
      <w:r w:rsidR="00AF1C26" w:rsidRPr="00215B3D">
        <w:rPr>
          <w:rFonts w:ascii="Segoe UI" w:hAnsi="Segoe UI" w:cs="Segoe UI"/>
          <w:sz w:val="24"/>
          <w:szCs w:val="26"/>
        </w:rPr>
        <w:t xml:space="preserve"> provenant, entre autres, de</w:t>
      </w:r>
      <w:r w:rsidR="00825500" w:rsidRPr="00215B3D">
        <w:rPr>
          <w:rFonts w:ascii="Segoe UI" w:hAnsi="Segoe UI" w:cs="Segoe UI"/>
          <w:sz w:val="24"/>
          <w:szCs w:val="26"/>
        </w:rPr>
        <w:t xml:space="preserve"> la friperie</w:t>
      </w:r>
      <w:r w:rsidR="00D65B68" w:rsidRPr="00215B3D">
        <w:rPr>
          <w:rFonts w:ascii="Segoe UI" w:hAnsi="Segoe UI" w:cs="Segoe UI"/>
          <w:sz w:val="24"/>
          <w:szCs w:val="26"/>
        </w:rPr>
        <w:t xml:space="preserve"> (-48</w:t>
      </w:r>
      <w:r w:rsidR="00825500" w:rsidRPr="00215B3D">
        <w:rPr>
          <w:rFonts w:ascii="Segoe UI" w:hAnsi="Segoe UI" w:cs="Segoe UI"/>
          <w:sz w:val="24"/>
          <w:szCs w:val="26"/>
        </w:rPr>
        <w:t>,</w:t>
      </w:r>
      <w:r w:rsidR="00D65B68" w:rsidRPr="00215B3D">
        <w:rPr>
          <w:rFonts w:ascii="Segoe UI" w:hAnsi="Segoe UI" w:cs="Segoe UI"/>
          <w:sz w:val="24"/>
          <w:szCs w:val="26"/>
        </w:rPr>
        <w:t>2%) ;</w:t>
      </w:r>
      <w:r w:rsidR="00825500" w:rsidRPr="00215B3D">
        <w:rPr>
          <w:rFonts w:ascii="Segoe UI" w:hAnsi="Segoe UI" w:cs="Segoe UI"/>
          <w:sz w:val="24"/>
          <w:szCs w:val="26"/>
        </w:rPr>
        <w:t xml:space="preserve"> </w:t>
      </w:r>
      <w:r w:rsidR="00AF1C26" w:rsidRPr="00215B3D">
        <w:rPr>
          <w:rFonts w:ascii="Segoe UI" w:hAnsi="Segoe UI" w:cs="Segoe UI"/>
          <w:sz w:val="24"/>
          <w:szCs w:val="26"/>
        </w:rPr>
        <w:t>du</w:t>
      </w:r>
      <w:r w:rsidR="00825500" w:rsidRPr="00215B3D">
        <w:rPr>
          <w:rFonts w:ascii="Segoe UI" w:hAnsi="Segoe UI" w:cs="Segoe UI"/>
          <w:sz w:val="24"/>
          <w:szCs w:val="26"/>
        </w:rPr>
        <w:t xml:space="preserve"> ciment</w:t>
      </w:r>
      <w:r w:rsidR="00D65B68" w:rsidRPr="00215B3D">
        <w:rPr>
          <w:rFonts w:ascii="Segoe UI" w:hAnsi="Segoe UI" w:cs="Segoe UI"/>
          <w:sz w:val="24"/>
          <w:szCs w:val="26"/>
        </w:rPr>
        <w:t xml:space="preserve"> (-39,9%) ;</w:t>
      </w:r>
      <w:r w:rsidR="00825500" w:rsidRPr="00215B3D">
        <w:rPr>
          <w:rFonts w:ascii="Segoe UI" w:hAnsi="Segoe UI" w:cs="Segoe UI"/>
          <w:sz w:val="24"/>
          <w:szCs w:val="26"/>
        </w:rPr>
        <w:t xml:space="preserve"> </w:t>
      </w:r>
      <w:r w:rsidR="00AF1C26" w:rsidRPr="00215B3D">
        <w:rPr>
          <w:rFonts w:ascii="Segoe UI" w:hAnsi="Segoe UI" w:cs="Segoe UI"/>
          <w:sz w:val="24"/>
          <w:szCs w:val="26"/>
        </w:rPr>
        <w:t xml:space="preserve">de </w:t>
      </w:r>
      <w:r w:rsidR="00825500" w:rsidRPr="00215B3D">
        <w:rPr>
          <w:rFonts w:ascii="Segoe UI" w:hAnsi="Segoe UI" w:cs="Segoe UI"/>
          <w:sz w:val="24"/>
          <w:szCs w:val="26"/>
        </w:rPr>
        <w:t>la volaille</w:t>
      </w:r>
      <w:r w:rsidR="00D65B68" w:rsidRPr="00215B3D">
        <w:rPr>
          <w:rFonts w:ascii="Segoe UI" w:hAnsi="Segoe UI" w:cs="Segoe UI"/>
          <w:sz w:val="24"/>
          <w:szCs w:val="26"/>
        </w:rPr>
        <w:t xml:space="preserve"> (-16,3%) ;</w:t>
      </w:r>
      <w:r w:rsidR="00AF1C26" w:rsidRPr="00215B3D">
        <w:rPr>
          <w:rFonts w:ascii="Segoe UI" w:hAnsi="Segoe UI" w:cs="Segoe UI"/>
          <w:sz w:val="24"/>
          <w:szCs w:val="26"/>
        </w:rPr>
        <w:t xml:space="preserve"> d</w:t>
      </w:r>
      <w:r w:rsidR="00825500" w:rsidRPr="00215B3D">
        <w:rPr>
          <w:rFonts w:ascii="Segoe UI" w:hAnsi="Segoe UI" w:cs="Segoe UI"/>
          <w:sz w:val="24"/>
          <w:szCs w:val="26"/>
        </w:rPr>
        <w:t>es poissons congelées</w:t>
      </w:r>
      <w:r w:rsidR="00AF1C26" w:rsidRPr="00215B3D">
        <w:rPr>
          <w:rFonts w:ascii="Segoe UI" w:hAnsi="Segoe UI" w:cs="Segoe UI"/>
          <w:sz w:val="24"/>
          <w:szCs w:val="26"/>
        </w:rPr>
        <w:t xml:space="preserve"> (-30,9%) et d</w:t>
      </w:r>
      <w:r w:rsidR="00D65B68" w:rsidRPr="00215B3D">
        <w:rPr>
          <w:rFonts w:ascii="Segoe UI" w:hAnsi="Segoe UI" w:cs="Segoe UI"/>
          <w:sz w:val="24"/>
          <w:szCs w:val="26"/>
        </w:rPr>
        <w:t>es hydrocarbures (-6,6%).</w:t>
      </w:r>
      <w:r w:rsidR="002339EB" w:rsidRPr="00215B3D">
        <w:rPr>
          <w:rFonts w:ascii="Segoe UI" w:hAnsi="Segoe UI" w:cs="Segoe UI"/>
          <w:sz w:val="24"/>
          <w:szCs w:val="26"/>
        </w:rPr>
        <w:t xml:space="preserve"> </w:t>
      </w:r>
      <w:r w:rsidR="00AF1C26" w:rsidRPr="00215B3D">
        <w:rPr>
          <w:rFonts w:ascii="Segoe UI" w:hAnsi="Segoe UI" w:cs="Segoe UI"/>
          <w:sz w:val="24"/>
          <w:szCs w:val="26"/>
        </w:rPr>
        <w:t xml:space="preserve">Il est à préciser que le niveau de recouvrement </w:t>
      </w:r>
      <w:r w:rsidR="001E6017">
        <w:rPr>
          <w:rFonts w:ascii="Segoe UI" w:hAnsi="Segoe UI" w:cs="Segoe UI"/>
          <w:sz w:val="24"/>
          <w:szCs w:val="26"/>
        </w:rPr>
        <w:t xml:space="preserve">atteint par </w:t>
      </w:r>
      <w:r w:rsidR="001E6017" w:rsidRPr="00215B3D">
        <w:rPr>
          <w:rFonts w:ascii="Segoe UI" w:hAnsi="Segoe UI" w:cs="Segoe UI"/>
          <w:sz w:val="24"/>
          <w:szCs w:val="26"/>
        </w:rPr>
        <w:t xml:space="preserve">l’administration douanière </w:t>
      </w:r>
      <w:r w:rsidR="00AF1C26" w:rsidRPr="00215B3D">
        <w:rPr>
          <w:rFonts w:ascii="Segoe UI" w:hAnsi="Segoe UI" w:cs="Segoe UI"/>
          <w:sz w:val="24"/>
          <w:szCs w:val="26"/>
        </w:rPr>
        <w:t>au premier semestre 2017</w:t>
      </w:r>
      <w:r w:rsidR="001E6017">
        <w:rPr>
          <w:rFonts w:ascii="Segoe UI" w:hAnsi="Segoe UI" w:cs="Segoe UI"/>
          <w:sz w:val="24"/>
          <w:szCs w:val="26"/>
        </w:rPr>
        <w:t>,</w:t>
      </w:r>
      <w:r w:rsidR="00AF1C26" w:rsidRPr="00215B3D">
        <w:rPr>
          <w:rFonts w:ascii="Segoe UI" w:hAnsi="Segoe UI" w:cs="Segoe UI"/>
          <w:sz w:val="24"/>
          <w:szCs w:val="26"/>
        </w:rPr>
        <w:t xml:space="preserve"> est principalement favorisé par le bon comportement des recettes des produits tels que</w:t>
      </w:r>
      <w:r w:rsidR="00ED4E46" w:rsidRPr="00215B3D">
        <w:rPr>
          <w:rFonts w:ascii="Segoe UI" w:hAnsi="Segoe UI" w:cs="Segoe UI"/>
          <w:sz w:val="24"/>
          <w:szCs w:val="26"/>
        </w:rPr>
        <w:t xml:space="preserve"> l’huile de palme (165,33%) ; l’huile végét</w:t>
      </w:r>
      <w:r w:rsidR="00AF1C26" w:rsidRPr="00215B3D">
        <w:rPr>
          <w:rFonts w:ascii="Segoe UI" w:hAnsi="Segoe UI" w:cs="Segoe UI"/>
          <w:sz w:val="24"/>
          <w:szCs w:val="26"/>
        </w:rPr>
        <w:t>ale (186,04%) ; le riz (9,82%) et</w:t>
      </w:r>
      <w:r w:rsidR="00ED4E46" w:rsidRPr="00215B3D">
        <w:rPr>
          <w:rFonts w:ascii="Segoe UI" w:hAnsi="Segoe UI" w:cs="Segoe UI"/>
          <w:sz w:val="24"/>
          <w:szCs w:val="26"/>
        </w:rPr>
        <w:t xml:space="preserve"> la farine de blé (22,69%). </w:t>
      </w:r>
    </w:p>
    <w:p w:rsidR="00256C86" w:rsidRPr="00552020" w:rsidRDefault="00256C86" w:rsidP="008474F6">
      <w:pPr>
        <w:spacing w:after="0" w:line="360" w:lineRule="auto"/>
        <w:jc w:val="both"/>
        <w:rPr>
          <w:rFonts w:ascii="Segoe UI" w:hAnsi="Segoe UI" w:cs="Segoe UI"/>
          <w:sz w:val="14"/>
          <w:szCs w:val="26"/>
        </w:rPr>
      </w:pPr>
    </w:p>
    <w:p w:rsidR="007940DA" w:rsidRPr="00215B3D" w:rsidRDefault="00811DB1" w:rsidP="00811DB1">
      <w:pPr>
        <w:spacing w:after="0" w:line="360" w:lineRule="auto"/>
        <w:jc w:val="both"/>
        <w:rPr>
          <w:rFonts w:ascii="Segoe UI" w:hAnsi="Segoe UI" w:cs="Segoe UI"/>
          <w:b/>
          <w:sz w:val="26"/>
          <w:szCs w:val="26"/>
        </w:rPr>
      </w:pPr>
      <w:r w:rsidRPr="00215B3D">
        <w:rPr>
          <w:rFonts w:ascii="Segoe UI" w:hAnsi="Segoe UI" w:cs="Segoe UI"/>
          <w:b/>
          <w:sz w:val="26"/>
          <w:szCs w:val="26"/>
        </w:rPr>
        <w:t xml:space="preserve">A-1-2 </w:t>
      </w:r>
      <w:r w:rsidR="00872C08" w:rsidRPr="00215B3D">
        <w:rPr>
          <w:rFonts w:ascii="Segoe UI" w:hAnsi="Segoe UI" w:cs="Segoe UI"/>
          <w:b/>
          <w:sz w:val="26"/>
          <w:szCs w:val="26"/>
        </w:rPr>
        <w:t>Direction Générale des Impôts</w:t>
      </w:r>
      <w:r w:rsidR="00950989" w:rsidRPr="00215B3D">
        <w:rPr>
          <w:rFonts w:ascii="Segoe UI" w:hAnsi="Segoe UI" w:cs="Segoe UI"/>
          <w:b/>
          <w:sz w:val="26"/>
          <w:szCs w:val="26"/>
        </w:rPr>
        <w:t xml:space="preserve"> </w:t>
      </w:r>
      <w:r w:rsidR="00872C08" w:rsidRPr="00215B3D">
        <w:rPr>
          <w:rFonts w:ascii="Segoe UI" w:hAnsi="Segoe UI" w:cs="Segoe UI"/>
          <w:b/>
          <w:sz w:val="26"/>
          <w:szCs w:val="26"/>
        </w:rPr>
        <w:t>(DGI)</w:t>
      </w:r>
    </w:p>
    <w:p w:rsidR="00BD7E4E" w:rsidRPr="008253BA" w:rsidRDefault="00BD7E4E" w:rsidP="00811DB1">
      <w:pPr>
        <w:spacing w:after="0" w:line="360" w:lineRule="auto"/>
        <w:jc w:val="both"/>
        <w:rPr>
          <w:rFonts w:ascii="Segoe UI" w:hAnsi="Segoe UI" w:cs="Segoe UI"/>
          <w:sz w:val="2"/>
          <w:szCs w:val="26"/>
        </w:rPr>
      </w:pPr>
    </w:p>
    <w:p w:rsidR="00E430EB" w:rsidRPr="00215B3D" w:rsidRDefault="00BF0727" w:rsidP="00E430EB">
      <w:pPr>
        <w:spacing w:after="0" w:line="360" w:lineRule="auto"/>
        <w:jc w:val="both"/>
        <w:rPr>
          <w:rFonts w:ascii="Segoe UI" w:hAnsi="Segoe UI" w:cs="Segoe UI"/>
          <w:sz w:val="24"/>
          <w:szCs w:val="26"/>
        </w:rPr>
      </w:pPr>
      <w:r w:rsidRPr="00215B3D">
        <w:rPr>
          <w:rFonts w:ascii="Segoe UI" w:hAnsi="Segoe UI" w:cs="Segoe UI"/>
          <w:sz w:val="24"/>
          <w:szCs w:val="26"/>
        </w:rPr>
        <w:t>Au titre du premier semestre</w:t>
      </w:r>
      <w:r w:rsidR="00901CC1" w:rsidRPr="00215B3D">
        <w:rPr>
          <w:rFonts w:ascii="Segoe UI" w:hAnsi="Segoe UI" w:cs="Segoe UI"/>
          <w:sz w:val="24"/>
          <w:szCs w:val="26"/>
        </w:rPr>
        <w:t xml:space="preserve"> 2017</w:t>
      </w:r>
      <w:r w:rsidRPr="00215B3D">
        <w:rPr>
          <w:rFonts w:ascii="Segoe UI" w:hAnsi="Segoe UI" w:cs="Segoe UI"/>
          <w:sz w:val="24"/>
          <w:szCs w:val="26"/>
        </w:rPr>
        <w:t>, l</w:t>
      </w:r>
      <w:r w:rsidR="0001773E" w:rsidRPr="00215B3D">
        <w:rPr>
          <w:rFonts w:ascii="Segoe UI" w:hAnsi="Segoe UI" w:cs="Segoe UI"/>
          <w:sz w:val="24"/>
          <w:szCs w:val="26"/>
        </w:rPr>
        <w:t xml:space="preserve">a DGI a </w:t>
      </w:r>
      <w:r w:rsidR="00883D36" w:rsidRPr="00215B3D">
        <w:rPr>
          <w:rFonts w:ascii="Segoe UI" w:hAnsi="Segoe UI" w:cs="Segoe UI"/>
          <w:sz w:val="24"/>
          <w:szCs w:val="26"/>
        </w:rPr>
        <w:t>recouvr</w:t>
      </w:r>
      <w:r w:rsidR="00165134" w:rsidRPr="00215B3D">
        <w:rPr>
          <w:rFonts w:ascii="Segoe UI" w:hAnsi="Segoe UI" w:cs="Segoe UI"/>
          <w:sz w:val="24"/>
          <w:szCs w:val="26"/>
        </w:rPr>
        <w:t>é</w:t>
      </w:r>
      <w:r w:rsidR="005B48ED" w:rsidRPr="00215B3D">
        <w:rPr>
          <w:rFonts w:ascii="Segoe UI" w:hAnsi="Segoe UI" w:cs="Segoe UI"/>
          <w:sz w:val="24"/>
          <w:szCs w:val="26"/>
        </w:rPr>
        <w:t xml:space="preserve"> </w:t>
      </w:r>
      <w:r w:rsidR="00883D36" w:rsidRPr="00215B3D">
        <w:rPr>
          <w:rFonts w:ascii="Segoe UI" w:hAnsi="Segoe UI" w:cs="Segoe UI"/>
          <w:sz w:val="24"/>
          <w:szCs w:val="26"/>
        </w:rPr>
        <w:t xml:space="preserve">un montant total de </w:t>
      </w:r>
      <w:r w:rsidR="000B013C" w:rsidRPr="00215B3D">
        <w:rPr>
          <w:rFonts w:ascii="Segoe UI" w:hAnsi="Segoe UI" w:cs="Segoe UI"/>
          <w:b/>
          <w:color w:val="000000"/>
        </w:rPr>
        <w:t>19</w:t>
      </w:r>
      <w:r w:rsidR="006872CA">
        <w:rPr>
          <w:rFonts w:ascii="Segoe UI" w:hAnsi="Segoe UI" w:cs="Segoe UI"/>
          <w:b/>
          <w:color w:val="000000"/>
        </w:rPr>
        <w:t>8 617</w:t>
      </w:r>
      <w:r w:rsidR="005B48ED" w:rsidRPr="00215B3D">
        <w:rPr>
          <w:rFonts w:ascii="Segoe UI" w:hAnsi="Segoe UI" w:cs="Segoe UI"/>
          <w:b/>
          <w:color w:val="000000"/>
        </w:rPr>
        <w:t>,</w:t>
      </w:r>
      <w:r w:rsidR="006872CA">
        <w:rPr>
          <w:rFonts w:ascii="Segoe UI" w:hAnsi="Segoe UI" w:cs="Segoe UI"/>
          <w:b/>
          <w:color w:val="000000"/>
        </w:rPr>
        <w:t>9</w:t>
      </w:r>
      <w:r w:rsidR="00883D36" w:rsidRPr="00215B3D">
        <w:rPr>
          <w:rFonts w:ascii="Segoe UI" w:hAnsi="Segoe UI" w:cs="Segoe UI"/>
          <w:b/>
          <w:sz w:val="24"/>
          <w:szCs w:val="26"/>
        </w:rPr>
        <w:t xml:space="preserve"> millions de FCFA</w:t>
      </w:r>
      <w:r w:rsidR="00901CC1" w:rsidRPr="00215B3D">
        <w:rPr>
          <w:rFonts w:ascii="Segoe UI" w:hAnsi="Segoe UI" w:cs="Segoe UI"/>
          <w:sz w:val="24"/>
          <w:szCs w:val="26"/>
        </w:rPr>
        <w:t>, soit un</w:t>
      </w:r>
      <w:r w:rsidR="003A7968" w:rsidRPr="00215B3D">
        <w:rPr>
          <w:rFonts w:ascii="Segoe UI" w:hAnsi="Segoe UI" w:cs="Segoe UI"/>
          <w:sz w:val="24"/>
          <w:szCs w:val="26"/>
        </w:rPr>
        <w:t xml:space="preserve"> taux de</w:t>
      </w:r>
      <w:r w:rsidR="00901CC1" w:rsidRPr="00215B3D">
        <w:rPr>
          <w:rFonts w:ascii="Segoe UI" w:hAnsi="Segoe UI" w:cs="Segoe UI"/>
          <w:sz w:val="24"/>
          <w:szCs w:val="26"/>
        </w:rPr>
        <w:t xml:space="preserve"> recouvrement de</w:t>
      </w:r>
      <w:r w:rsidR="003A7968" w:rsidRPr="00215B3D">
        <w:rPr>
          <w:rFonts w:ascii="Segoe UI" w:hAnsi="Segoe UI" w:cs="Segoe UI"/>
          <w:sz w:val="24"/>
          <w:szCs w:val="26"/>
        </w:rPr>
        <w:t xml:space="preserve"> </w:t>
      </w:r>
      <w:r w:rsidR="006872CA">
        <w:rPr>
          <w:rFonts w:ascii="Segoe UI" w:hAnsi="Segoe UI" w:cs="Segoe UI"/>
          <w:b/>
          <w:sz w:val="24"/>
          <w:szCs w:val="26"/>
        </w:rPr>
        <w:t>47</w:t>
      </w:r>
      <w:r w:rsidR="003A7968" w:rsidRPr="00215B3D">
        <w:rPr>
          <w:rFonts w:ascii="Segoe UI" w:hAnsi="Segoe UI" w:cs="Segoe UI"/>
          <w:b/>
          <w:sz w:val="24"/>
          <w:szCs w:val="26"/>
        </w:rPr>
        <w:t>,</w:t>
      </w:r>
      <w:r w:rsidR="006872CA">
        <w:rPr>
          <w:rFonts w:ascii="Segoe UI" w:hAnsi="Segoe UI" w:cs="Segoe UI"/>
          <w:b/>
          <w:sz w:val="24"/>
          <w:szCs w:val="26"/>
        </w:rPr>
        <w:t>8</w:t>
      </w:r>
      <w:r w:rsidR="003A7968" w:rsidRPr="00215B3D">
        <w:rPr>
          <w:rFonts w:ascii="Segoe UI" w:hAnsi="Segoe UI" w:cs="Segoe UI"/>
          <w:b/>
          <w:sz w:val="24"/>
          <w:szCs w:val="26"/>
        </w:rPr>
        <w:t>%</w:t>
      </w:r>
      <w:r w:rsidR="003A7968" w:rsidRPr="00215B3D">
        <w:rPr>
          <w:rFonts w:ascii="Segoe UI" w:hAnsi="Segoe UI" w:cs="Segoe UI"/>
          <w:sz w:val="24"/>
          <w:szCs w:val="26"/>
        </w:rPr>
        <w:t xml:space="preserve"> des</w:t>
      </w:r>
      <w:r w:rsidR="004329EF" w:rsidRPr="00215B3D">
        <w:rPr>
          <w:rFonts w:ascii="Segoe UI" w:hAnsi="Segoe UI" w:cs="Segoe UI"/>
          <w:sz w:val="24"/>
          <w:szCs w:val="26"/>
        </w:rPr>
        <w:t xml:space="preserve"> prévision</w:t>
      </w:r>
      <w:r w:rsidR="00901CC1" w:rsidRPr="00215B3D">
        <w:rPr>
          <w:rFonts w:ascii="Segoe UI" w:hAnsi="Segoe UI" w:cs="Segoe UI"/>
          <w:sz w:val="24"/>
          <w:szCs w:val="26"/>
        </w:rPr>
        <w:t>s</w:t>
      </w:r>
      <w:r w:rsidR="00992732" w:rsidRPr="00215B3D">
        <w:rPr>
          <w:rFonts w:ascii="Segoe UI" w:hAnsi="Segoe UI" w:cs="Segoe UI"/>
          <w:sz w:val="24"/>
          <w:szCs w:val="26"/>
        </w:rPr>
        <w:t xml:space="preserve"> annuelle</w:t>
      </w:r>
      <w:r w:rsidR="00901CC1" w:rsidRPr="00215B3D">
        <w:rPr>
          <w:rFonts w:ascii="Segoe UI" w:hAnsi="Segoe UI" w:cs="Segoe UI"/>
          <w:sz w:val="24"/>
          <w:szCs w:val="26"/>
        </w:rPr>
        <w:t>s</w:t>
      </w:r>
      <w:r w:rsidR="007E0A97" w:rsidRPr="00215B3D">
        <w:rPr>
          <w:rFonts w:ascii="Segoe UI" w:hAnsi="Segoe UI" w:cs="Segoe UI"/>
          <w:sz w:val="24"/>
          <w:szCs w:val="26"/>
        </w:rPr>
        <w:t xml:space="preserve"> de 415 200</w:t>
      </w:r>
      <w:r w:rsidR="004329EF" w:rsidRPr="00215B3D">
        <w:rPr>
          <w:rFonts w:ascii="Segoe UI" w:hAnsi="Segoe UI" w:cs="Segoe UI"/>
          <w:sz w:val="24"/>
          <w:szCs w:val="26"/>
        </w:rPr>
        <w:t xml:space="preserve"> millions de FCFA</w:t>
      </w:r>
      <w:r w:rsidR="003A7968" w:rsidRPr="00215B3D">
        <w:rPr>
          <w:rFonts w:ascii="Segoe UI" w:hAnsi="Segoe UI" w:cs="Segoe UI"/>
          <w:sz w:val="24"/>
          <w:szCs w:val="26"/>
        </w:rPr>
        <w:t>.</w:t>
      </w:r>
      <w:r w:rsidR="00BA246D" w:rsidRPr="00215B3D">
        <w:rPr>
          <w:rFonts w:ascii="Segoe UI" w:hAnsi="Segoe UI" w:cs="Segoe UI"/>
          <w:sz w:val="24"/>
          <w:szCs w:val="26"/>
        </w:rPr>
        <w:t xml:space="preserve"> </w:t>
      </w:r>
      <w:r w:rsidR="00883D36" w:rsidRPr="00215B3D">
        <w:rPr>
          <w:rFonts w:ascii="Segoe UI" w:hAnsi="Segoe UI" w:cs="Segoe UI"/>
          <w:sz w:val="24"/>
          <w:szCs w:val="26"/>
        </w:rPr>
        <w:t>L</w:t>
      </w:r>
      <w:r w:rsidR="00526B42" w:rsidRPr="00215B3D">
        <w:rPr>
          <w:rFonts w:ascii="Segoe UI" w:hAnsi="Segoe UI" w:cs="Segoe UI"/>
          <w:sz w:val="24"/>
          <w:szCs w:val="26"/>
        </w:rPr>
        <w:t xml:space="preserve">e rapprochement </w:t>
      </w:r>
      <w:r w:rsidR="004500E4" w:rsidRPr="00215B3D">
        <w:rPr>
          <w:rFonts w:ascii="Segoe UI" w:hAnsi="Segoe UI" w:cs="Segoe UI"/>
          <w:sz w:val="24"/>
          <w:szCs w:val="26"/>
        </w:rPr>
        <w:t>de</w:t>
      </w:r>
      <w:r w:rsidR="00526B42" w:rsidRPr="00215B3D">
        <w:rPr>
          <w:rFonts w:ascii="Segoe UI" w:hAnsi="Segoe UI" w:cs="Segoe UI"/>
          <w:sz w:val="24"/>
          <w:szCs w:val="26"/>
        </w:rPr>
        <w:t>s</w:t>
      </w:r>
      <w:r w:rsidR="004500E4" w:rsidRPr="00215B3D">
        <w:rPr>
          <w:rFonts w:ascii="Segoe UI" w:hAnsi="Segoe UI" w:cs="Segoe UI"/>
          <w:sz w:val="24"/>
          <w:szCs w:val="26"/>
        </w:rPr>
        <w:t xml:space="preserve"> réalisation</w:t>
      </w:r>
      <w:r w:rsidR="00526B42" w:rsidRPr="00215B3D">
        <w:rPr>
          <w:rFonts w:ascii="Segoe UI" w:hAnsi="Segoe UI" w:cs="Segoe UI"/>
          <w:sz w:val="24"/>
          <w:szCs w:val="26"/>
        </w:rPr>
        <w:t>s</w:t>
      </w:r>
      <w:r w:rsidR="00BA246D" w:rsidRPr="00215B3D">
        <w:rPr>
          <w:rFonts w:ascii="Segoe UI" w:hAnsi="Segoe UI" w:cs="Segoe UI"/>
          <w:sz w:val="24"/>
          <w:szCs w:val="26"/>
        </w:rPr>
        <w:t xml:space="preserve"> </w:t>
      </w:r>
      <w:r w:rsidR="00BD7E4E" w:rsidRPr="00215B3D">
        <w:rPr>
          <w:rFonts w:ascii="Segoe UI" w:hAnsi="Segoe UI" w:cs="Segoe UI"/>
          <w:sz w:val="24"/>
          <w:szCs w:val="26"/>
        </w:rPr>
        <w:t xml:space="preserve">de recettes </w:t>
      </w:r>
      <w:r w:rsidR="00883D36" w:rsidRPr="00215B3D">
        <w:rPr>
          <w:rFonts w:ascii="Segoe UI" w:hAnsi="Segoe UI" w:cs="Segoe UI"/>
          <w:sz w:val="24"/>
          <w:szCs w:val="26"/>
        </w:rPr>
        <w:t xml:space="preserve">fiscales </w:t>
      </w:r>
      <w:r w:rsidR="003A7968" w:rsidRPr="00215B3D">
        <w:rPr>
          <w:rFonts w:ascii="Segoe UI" w:hAnsi="Segoe UI" w:cs="Segoe UI"/>
          <w:sz w:val="24"/>
          <w:szCs w:val="26"/>
        </w:rPr>
        <w:t>de l’Administration des Impôts fait ressortir une régression en terme</w:t>
      </w:r>
      <w:r w:rsidR="00332F8C" w:rsidRPr="00215B3D">
        <w:rPr>
          <w:rFonts w:ascii="Segoe UI" w:hAnsi="Segoe UI" w:cs="Segoe UI"/>
          <w:sz w:val="24"/>
          <w:szCs w:val="26"/>
        </w:rPr>
        <w:t>s</w:t>
      </w:r>
      <w:r w:rsidR="003A7968" w:rsidRPr="00215B3D">
        <w:rPr>
          <w:rFonts w:ascii="Segoe UI" w:hAnsi="Segoe UI" w:cs="Segoe UI"/>
          <w:sz w:val="24"/>
          <w:szCs w:val="26"/>
        </w:rPr>
        <w:t xml:space="preserve"> de</w:t>
      </w:r>
      <w:r w:rsidR="007D4A86">
        <w:rPr>
          <w:rFonts w:ascii="Segoe UI" w:hAnsi="Segoe UI" w:cs="Segoe UI"/>
          <w:sz w:val="24"/>
          <w:szCs w:val="26"/>
        </w:rPr>
        <w:t xml:space="preserve"> résultat</w:t>
      </w:r>
      <w:r w:rsidR="004329EF" w:rsidRPr="00215B3D">
        <w:rPr>
          <w:rFonts w:ascii="Segoe UI" w:hAnsi="Segoe UI" w:cs="Segoe UI"/>
          <w:sz w:val="24"/>
          <w:szCs w:val="26"/>
        </w:rPr>
        <w:t xml:space="preserve"> de </w:t>
      </w:r>
      <w:r w:rsidR="005648DF" w:rsidRPr="00215B3D">
        <w:rPr>
          <w:rFonts w:ascii="Segoe UI" w:hAnsi="Segoe UI" w:cs="Segoe UI"/>
          <w:sz w:val="24"/>
          <w:szCs w:val="26"/>
        </w:rPr>
        <w:t>5,6</w:t>
      </w:r>
      <w:r w:rsidR="004329EF" w:rsidRPr="00215B3D">
        <w:rPr>
          <w:rFonts w:ascii="Segoe UI" w:hAnsi="Segoe UI" w:cs="Segoe UI"/>
          <w:sz w:val="24"/>
          <w:szCs w:val="26"/>
        </w:rPr>
        <w:t xml:space="preserve"> points de pourcentage</w:t>
      </w:r>
      <w:r w:rsidR="009F1276" w:rsidRPr="00215B3D">
        <w:rPr>
          <w:rFonts w:ascii="Segoe UI" w:hAnsi="Segoe UI" w:cs="Segoe UI"/>
          <w:sz w:val="24"/>
          <w:szCs w:val="26"/>
        </w:rPr>
        <w:t xml:space="preserve">. </w:t>
      </w:r>
      <w:r w:rsidR="00E430EB" w:rsidRPr="00215B3D">
        <w:rPr>
          <w:rFonts w:ascii="Segoe UI" w:hAnsi="Segoe UI" w:cs="Segoe UI"/>
          <w:sz w:val="24"/>
          <w:szCs w:val="26"/>
        </w:rPr>
        <w:t xml:space="preserve">Ce recul </w:t>
      </w:r>
      <w:r w:rsidR="003A7968" w:rsidRPr="00215B3D">
        <w:rPr>
          <w:rFonts w:ascii="Segoe UI" w:hAnsi="Segoe UI" w:cs="Segoe UI"/>
          <w:sz w:val="24"/>
          <w:szCs w:val="26"/>
        </w:rPr>
        <w:t xml:space="preserve">observé </w:t>
      </w:r>
      <w:r w:rsidR="00E430EB" w:rsidRPr="00215B3D">
        <w:rPr>
          <w:rFonts w:ascii="Segoe UI" w:hAnsi="Segoe UI" w:cs="Segoe UI"/>
          <w:sz w:val="24"/>
          <w:szCs w:val="26"/>
        </w:rPr>
        <w:t>est i</w:t>
      </w:r>
      <w:r w:rsidR="007D4A86">
        <w:rPr>
          <w:rFonts w:ascii="Segoe UI" w:hAnsi="Segoe UI" w:cs="Segoe UI"/>
          <w:sz w:val="24"/>
          <w:szCs w:val="26"/>
        </w:rPr>
        <w:t>mputable à certains produits</w:t>
      </w:r>
      <w:r w:rsidR="00E430EB" w:rsidRPr="00215B3D">
        <w:rPr>
          <w:rFonts w:ascii="Segoe UI" w:hAnsi="Segoe UI" w:cs="Segoe UI"/>
          <w:sz w:val="24"/>
          <w:szCs w:val="26"/>
        </w:rPr>
        <w:t xml:space="preserve"> qui se sont mal comporté</w:t>
      </w:r>
      <w:r w:rsidR="003A7968" w:rsidRPr="00215B3D">
        <w:rPr>
          <w:rFonts w:ascii="Segoe UI" w:hAnsi="Segoe UI" w:cs="Segoe UI"/>
          <w:sz w:val="24"/>
          <w:szCs w:val="26"/>
        </w:rPr>
        <w:t>s. Il s’agit notamment de : (i) l’acompte forfaitaire spécial sur les véhicule</w:t>
      </w:r>
      <w:r w:rsidR="007D4A86">
        <w:rPr>
          <w:rFonts w:ascii="Segoe UI" w:hAnsi="Segoe UI" w:cs="Segoe UI"/>
          <w:sz w:val="24"/>
          <w:szCs w:val="26"/>
        </w:rPr>
        <w:t>s</w:t>
      </w:r>
      <w:r w:rsidR="003A7968" w:rsidRPr="00215B3D">
        <w:rPr>
          <w:rFonts w:ascii="Segoe UI" w:hAnsi="Segoe UI" w:cs="Segoe UI"/>
          <w:sz w:val="24"/>
          <w:szCs w:val="26"/>
        </w:rPr>
        <w:t xml:space="preserve"> (18,5%) ; (ii) </w:t>
      </w:r>
      <w:r w:rsidR="00E430EB" w:rsidRPr="00215B3D">
        <w:rPr>
          <w:rFonts w:ascii="Segoe UI" w:hAnsi="Segoe UI" w:cs="Segoe UI"/>
          <w:sz w:val="24"/>
          <w:szCs w:val="26"/>
        </w:rPr>
        <w:t>la taxe uniqu</w:t>
      </w:r>
      <w:r w:rsidR="005B3119" w:rsidRPr="00215B3D">
        <w:rPr>
          <w:rFonts w:ascii="Segoe UI" w:hAnsi="Segoe UI" w:cs="Segoe UI"/>
          <w:sz w:val="24"/>
          <w:szCs w:val="26"/>
        </w:rPr>
        <w:t>e sur le transport routier (28,9</w:t>
      </w:r>
      <w:r w:rsidR="003A7968" w:rsidRPr="00215B3D">
        <w:rPr>
          <w:rFonts w:ascii="Segoe UI" w:hAnsi="Segoe UI" w:cs="Segoe UI"/>
          <w:sz w:val="24"/>
          <w:szCs w:val="26"/>
        </w:rPr>
        <w:t>%) ;  (iii) les autres recettes fiscales (32,2%) ; (iv)</w:t>
      </w:r>
      <w:r w:rsidR="00E430EB" w:rsidRPr="00215B3D">
        <w:rPr>
          <w:rFonts w:ascii="Segoe UI" w:hAnsi="Segoe UI" w:cs="Segoe UI"/>
          <w:sz w:val="24"/>
          <w:szCs w:val="26"/>
        </w:rPr>
        <w:t xml:space="preserve"> l</w:t>
      </w:r>
      <w:r w:rsidR="00FB7674" w:rsidRPr="00215B3D">
        <w:rPr>
          <w:rFonts w:ascii="Segoe UI" w:hAnsi="Segoe UI" w:cs="Segoe UI"/>
          <w:sz w:val="24"/>
          <w:szCs w:val="26"/>
        </w:rPr>
        <w:t>’impôt sur les sociétés (32,7</w:t>
      </w:r>
      <w:r w:rsidR="00AC11C8">
        <w:rPr>
          <w:rFonts w:ascii="Segoe UI" w:hAnsi="Segoe UI" w:cs="Segoe UI"/>
          <w:sz w:val="24"/>
          <w:szCs w:val="26"/>
        </w:rPr>
        <w:t>%</w:t>
      </w:r>
      <w:r w:rsidR="00FB7674" w:rsidRPr="00215B3D">
        <w:rPr>
          <w:rFonts w:ascii="Segoe UI" w:hAnsi="Segoe UI" w:cs="Segoe UI"/>
          <w:sz w:val="24"/>
          <w:szCs w:val="26"/>
        </w:rPr>
        <w:t>)</w:t>
      </w:r>
      <w:r w:rsidR="003A7968" w:rsidRPr="00215B3D">
        <w:rPr>
          <w:rFonts w:ascii="Segoe UI" w:hAnsi="Segoe UI" w:cs="Segoe UI"/>
          <w:sz w:val="24"/>
          <w:szCs w:val="26"/>
        </w:rPr>
        <w:t xml:space="preserve">; </w:t>
      </w:r>
      <w:r w:rsidR="00FC5851" w:rsidRPr="00215B3D">
        <w:rPr>
          <w:rFonts w:ascii="Segoe UI" w:hAnsi="Segoe UI" w:cs="Segoe UI"/>
          <w:sz w:val="24"/>
          <w:szCs w:val="26"/>
        </w:rPr>
        <w:t>et (v)</w:t>
      </w:r>
      <w:r w:rsidR="00E430EB" w:rsidRPr="00215B3D">
        <w:rPr>
          <w:rFonts w:ascii="Segoe UI" w:hAnsi="Segoe UI" w:cs="Segoe UI"/>
          <w:sz w:val="24"/>
          <w:szCs w:val="26"/>
        </w:rPr>
        <w:t xml:space="preserve"> la taxe unique su</w:t>
      </w:r>
      <w:r w:rsidR="00D1795A" w:rsidRPr="00215B3D">
        <w:rPr>
          <w:rFonts w:ascii="Segoe UI" w:hAnsi="Segoe UI" w:cs="Segoe UI"/>
          <w:sz w:val="24"/>
          <w:szCs w:val="26"/>
        </w:rPr>
        <w:t>r les contrats d’assurance (33,7</w:t>
      </w:r>
      <w:r w:rsidR="00E430EB" w:rsidRPr="00215B3D">
        <w:rPr>
          <w:rFonts w:ascii="Segoe UI" w:hAnsi="Segoe UI" w:cs="Segoe UI"/>
          <w:sz w:val="24"/>
          <w:szCs w:val="26"/>
        </w:rPr>
        <w:t>%).</w:t>
      </w:r>
    </w:p>
    <w:p w:rsidR="007D4A86" w:rsidRDefault="001A1A1D" w:rsidP="00E430EB">
      <w:pPr>
        <w:spacing w:after="0" w:line="360" w:lineRule="auto"/>
        <w:jc w:val="both"/>
        <w:rPr>
          <w:rFonts w:ascii="Segoe UI" w:hAnsi="Segoe UI" w:cs="Segoe UI"/>
          <w:sz w:val="24"/>
          <w:szCs w:val="26"/>
        </w:rPr>
      </w:pPr>
      <w:r w:rsidRPr="00215B3D">
        <w:rPr>
          <w:rFonts w:ascii="Segoe UI" w:hAnsi="Segoe UI" w:cs="Segoe UI"/>
          <w:sz w:val="24"/>
          <w:szCs w:val="26"/>
        </w:rPr>
        <w:t xml:space="preserve">Les recettes MP3 ont été </w:t>
      </w:r>
      <w:r w:rsidR="007D4A86">
        <w:rPr>
          <w:rFonts w:ascii="Segoe UI" w:hAnsi="Segoe UI" w:cs="Segoe UI"/>
          <w:sz w:val="24"/>
          <w:szCs w:val="26"/>
        </w:rPr>
        <w:t>enregistrées</w:t>
      </w:r>
      <w:r w:rsidR="00C453C9" w:rsidRPr="00215B3D">
        <w:rPr>
          <w:rFonts w:ascii="Segoe UI" w:hAnsi="Segoe UI" w:cs="Segoe UI"/>
          <w:sz w:val="24"/>
          <w:szCs w:val="26"/>
        </w:rPr>
        <w:t xml:space="preserve"> pour un montant de 8 917,1</w:t>
      </w:r>
      <w:r w:rsidRPr="00215B3D">
        <w:rPr>
          <w:rFonts w:ascii="Segoe UI" w:hAnsi="Segoe UI" w:cs="Segoe UI"/>
          <w:sz w:val="24"/>
          <w:szCs w:val="26"/>
        </w:rPr>
        <w:t xml:space="preserve"> million</w:t>
      </w:r>
      <w:r w:rsidR="0082238B" w:rsidRPr="00215B3D">
        <w:rPr>
          <w:rFonts w:ascii="Segoe UI" w:hAnsi="Segoe UI" w:cs="Segoe UI"/>
          <w:sz w:val="24"/>
          <w:szCs w:val="26"/>
        </w:rPr>
        <w:t>s de FCFA, soit un taux de 52,45</w:t>
      </w:r>
      <w:r w:rsidRPr="00215B3D">
        <w:rPr>
          <w:rFonts w:ascii="Segoe UI" w:hAnsi="Segoe UI" w:cs="Segoe UI"/>
          <w:sz w:val="24"/>
          <w:szCs w:val="26"/>
        </w:rPr>
        <w:t>%, sur une prévision de 17 millions de FCFA contre un montant de 7 925 millions de FCFA</w:t>
      </w:r>
      <w:r w:rsidR="00C6518B" w:rsidRPr="00215B3D">
        <w:rPr>
          <w:rFonts w:ascii="Segoe UI" w:hAnsi="Segoe UI" w:cs="Segoe UI"/>
          <w:sz w:val="24"/>
          <w:szCs w:val="26"/>
        </w:rPr>
        <w:t xml:space="preserve"> en 2016. </w:t>
      </w:r>
    </w:p>
    <w:p w:rsidR="00E430EB" w:rsidRDefault="00D340E9" w:rsidP="00E430EB">
      <w:pPr>
        <w:spacing w:after="0" w:line="360" w:lineRule="auto"/>
        <w:jc w:val="both"/>
        <w:rPr>
          <w:rFonts w:ascii="Segoe UI" w:hAnsi="Segoe UI" w:cs="Segoe UI"/>
          <w:sz w:val="24"/>
          <w:szCs w:val="26"/>
        </w:rPr>
      </w:pPr>
      <w:r w:rsidRPr="00215B3D">
        <w:rPr>
          <w:rFonts w:ascii="Segoe UI" w:hAnsi="Segoe UI" w:cs="Segoe UI"/>
          <w:sz w:val="24"/>
          <w:szCs w:val="26"/>
        </w:rPr>
        <w:t xml:space="preserve">Afin d’améliorer le niveau de recouvrement des recettes fiscales, les efforts </w:t>
      </w:r>
      <w:r w:rsidR="007D4A86">
        <w:rPr>
          <w:rFonts w:ascii="Segoe UI" w:hAnsi="Segoe UI" w:cs="Segoe UI"/>
          <w:sz w:val="24"/>
          <w:szCs w:val="26"/>
        </w:rPr>
        <w:t xml:space="preserve">de </w:t>
      </w:r>
      <w:r w:rsidR="00056203" w:rsidRPr="00215B3D">
        <w:rPr>
          <w:rFonts w:ascii="Segoe UI" w:hAnsi="Segoe UI" w:cs="Segoe UI"/>
          <w:sz w:val="24"/>
          <w:szCs w:val="26"/>
        </w:rPr>
        <w:t xml:space="preserve">l’Administration fiscale </w:t>
      </w:r>
      <w:r w:rsidR="004D4FFF" w:rsidRPr="00215B3D">
        <w:rPr>
          <w:rFonts w:ascii="Segoe UI" w:hAnsi="Segoe UI" w:cs="Segoe UI"/>
          <w:sz w:val="24"/>
          <w:szCs w:val="26"/>
        </w:rPr>
        <w:t xml:space="preserve">devront </w:t>
      </w:r>
      <w:r w:rsidR="00056203" w:rsidRPr="00215B3D">
        <w:rPr>
          <w:rFonts w:ascii="Segoe UI" w:hAnsi="Segoe UI" w:cs="Segoe UI"/>
          <w:sz w:val="24"/>
          <w:szCs w:val="26"/>
        </w:rPr>
        <w:t>se poursuivr</w:t>
      </w:r>
      <w:r w:rsidR="004D4FFF" w:rsidRPr="00215B3D">
        <w:rPr>
          <w:rFonts w:ascii="Segoe UI" w:hAnsi="Segoe UI" w:cs="Segoe UI"/>
          <w:sz w:val="24"/>
          <w:szCs w:val="26"/>
        </w:rPr>
        <w:t xml:space="preserve">e </w:t>
      </w:r>
      <w:r w:rsidR="000976EB" w:rsidRPr="00215B3D">
        <w:rPr>
          <w:rFonts w:ascii="Segoe UI" w:hAnsi="Segoe UI" w:cs="Segoe UI"/>
          <w:sz w:val="24"/>
          <w:szCs w:val="26"/>
        </w:rPr>
        <w:t>notamment </w:t>
      </w:r>
      <w:r w:rsidRPr="00215B3D">
        <w:rPr>
          <w:rFonts w:ascii="Segoe UI" w:hAnsi="Segoe UI" w:cs="Segoe UI"/>
          <w:sz w:val="24"/>
          <w:szCs w:val="26"/>
        </w:rPr>
        <w:t>par</w:t>
      </w:r>
      <w:r w:rsidR="000976EB" w:rsidRPr="00215B3D">
        <w:rPr>
          <w:rFonts w:ascii="Segoe UI" w:hAnsi="Segoe UI" w:cs="Segoe UI"/>
          <w:sz w:val="24"/>
          <w:szCs w:val="26"/>
        </w:rPr>
        <w:t xml:space="preserve"> (i) </w:t>
      </w:r>
      <w:r w:rsidR="003D65DF" w:rsidRPr="00215B3D">
        <w:rPr>
          <w:rFonts w:ascii="Segoe UI" w:hAnsi="Segoe UI" w:cs="Segoe UI"/>
          <w:sz w:val="24"/>
          <w:szCs w:val="26"/>
        </w:rPr>
        <w:t xml:space="preserve">le </w:t>
      </w:r>
      <w:r w:rsidR="000976EB" w:rsidRPr="00215B3D">
        <w:rPr>
          <w:rFonts w:ascii="Segoe UI" w:hAnsi="Segoe UI" w:cs="Segoe UI"/>
          <w:sz w:val="24"/>
          <w:szCs w:val="26"/>
        </w:rPr>
        <w:t xml:space="preserve">renforcement du </w:t>
      </w:r>
      <w:r w:rsidR="000976EB" w:rsidRPr="00215B3D">
        <w:rPr>
          <w:rFonts w:ascii="Segoe UI" w:hAnsi="Segoe UI" w:cs="Segoe UI"/>
          <w:sz w:val="24"/>
          <w:szCs w:val="26"/>
        </w:rPr>
        <w:lastRenderedPageBreak/>
        <w:t xml:space="preserve">contrôle fiscal ; (ii) la mise en exploitation </w:t>
      </w:r>
      <w:r w:rsidR="00586270" w:rsidRPr="00215B3D">
        <w:rPr>
          <w:rFonts w:ascii="Segoe UI" w:hAnsi="Segoe UI" w:cs="Segoe UI"/>
          <w:sz w:val="24"/>
          <w:szCs w:val="26"/>
        </w:rPr>
        <w:t>du fichier des contribuables</w:t>
      </w:r>
      <w:r w:rsidRPr="00215B3D">
        <w:rPr>
          <w:rFonts w:ascii="Segoe UI" w:hAnsi="Segoe UI" w:cs="Segoe UI"/>
          <w:sz w:val="24"/>
          <w:szCs w:val="26"/>
        </w:rPr>
        <w:t xml:space="preserve"> et</w:t>
      </w:r>
      <w:r w:rsidR="00586270" w:rsidRPr="00215B3D">
        <w:rPr>
          <w:rFonts w:ascii="Segoe UI" w:hAnsi="Segoe UI" w:cs="Segoe UI"/>
          <w:sz w:val="24"/>
          <w:szCs w:val="26"/>
        </w:rPr>
        <w:t xml:space="preserve"> (iii)</w:t>
      </w:r>
      <w:r w:rsidR="000976EB" w:rsidRPr="00215B3D">
        <w:rPr>
          <w:rFonts w:ascii="Segoe UI" w:hAnsi="Segoe UI" w:cs="Segoe UI"/>
          <w:sz w:val="24"/>
          <w:szCs w:val="26"/>
        </w:rPr>
        <w:t xml:space="preserve"> </w:t>
      </w:r>
      <w:r w:rsidRPr="00215B3D">
        <w:rPr>
          <w:rFonts w:ascii="Segoe UI" w:hAnsi="Segoe UI" w:cs="Segoe UI"/>
          <w:sz w:val="24"/>
          <w:szCs w:val="26"/>
        </w:rPr>
        <w:t>la poursuite des opérations de recouvrement forcé.</w:t>
      </w:r>
    </w:p>
    <w:p w:rsidR="00552020" w:rsidRPr="00552020" w:rsidRDefault="00552020" w:rsidP="00E430EB">
      <w:pPr>
        <w:spacing w:after="0" w:line="360" w:lineRule="auto"/>
        <w:jc w:val="both"/>
        <w:rPr>
          <w:rFonts w:ascii="Segoe UI" w:hAnsi="Segoe UI" w:cs="Segoe UI"/>
          <w:sz w:val="14"/>
          <w:szCs w:val="26"/>
        </w:rPr>
      </w:pPr>
    </w:p>
    <w:p w:rsidR="00D84883" w:rsidRPr="00215B3D" w:rsidRDefault="00811DB1" w:rsidP="00811DB1">
      <w:pPr>
        <w:spacing w:after="0" w:line="360" w:lineRule="auto"/>
        <w:jc w:val="both"/>
        <w:rPr>
          <w:rFonts w:ascii="Segoe UI" w:hAnsi="Segoe UI" w:cs="Segoe UI"/>
          <w:b/>
          <w:sz w:val="26"/>
          <w:szCs w:val="26"/>
        </w:rPr>
      </w:pPr>
      <w:r w:rsidRPr="00215B3D">
        <w:rPr>
          <w:rFonts w:ascii="Segoe UI" w:hAnsi="Segoe UI" w:cs="Segoe UI"/>
          <w:b/>
          <w:sz w:val="26"/>
          <w:szCs w:val="26"/>
        </w:rPr>
        <w:t xml:space="preserve">A-1-3 </w:t>
      </w:r>
      <w:r w:rsidR="00D84883" w:rsidRPr="00215B3D">
        <w:rPr>
          <w:rFonts w:ascii="Segoe UI" w:hAnsi="Segoe UI" w:cs="Segoe UI"/>
          <w:b/>
          <w:sz w:val="26"/>
          <w:szCs w:val="26"/>
        </w:rPr>
        <w:t>Direction Générale du Trésor et de la Comptabilité Publique (DGTCP)</w:t>
      </w:r>
    </w:p>
    <w:p w:rsidR="00030891" w:rsidRPr="00215B3D" w:rsidRDefault="00CB43D6" w:rsidP="00030891">
      <w:pPr>
        <w:spacing w:after="0" w:line="360" w:lineRule="auto"/>
        <w:jc w:val="both"/>
        <w:rPr>
          <w:rFonts w:ascii="Segoe UI" w:hAnsi="Segoe UI" w:cs="Segoe UI"/>
          <w:sz w:val="24"/>
          <w:szCs w:val="26"/>
        </w:rPr>
      </w:pPr>
      <w:r w:rsidRPr="00215B3D">
        <w:rPr>
          <w:rFonts w:ascii="Segoe UI" w:hAnsi="Segoe UI" w:cs="Segoe UI"/>
          <w:sz w:val="24"/>
          <w:szCs w:val="26"/>
        </w:rPr>
        <w:t>La DGTCP, s</w:t>
      </w:r>
      <w:r w:rsidR="006D5FBE" w:rsidRPr="00215B3D">
        <w:rPr>
          <w:rFonts w:ascii="Segoe UI" w:hAnsi="Segoe UI" w:cs="Segoe UI"/>
          <w:sz w:val="24"/>
          <w:szCs w:val="26"/>
        </w:rPr>
        <w:t>ur une prévision annuelle de</w:t>
      </w:r>
      <w:r w:rsidR="00E35728" w:rsidRPr="00215B3D">
        <w:rPr>
          <w:rFonts w:ascii="Segoe UI" w:hAnsi="Segoe UI" w:cs="Segoe UI"/>
          <w:sz w:val="24"/>
          <w:szCs w:val="26"/>
        </w:rPr>
        <w:t xml:space="preserve">  </w:t>
      </w:r>
      <w:r w:rsidRPr="00215B3D">
        <w:rPr>
          <w:rFonts w:ascii="Segoe UI" w:hAnsi="Segoe UI" w:cs="Segoe UI"/>
          <w:sz w:val="24"/>
          <w:szCs w:val="26"/>
        </w:rPr>
        <w:t>68 000</w:t>
      </w:r>
      <w:r w:rsidR="00BA246D" w:rsidRPr="00215B3D">
        <w:rPr>
          <w:rFonts w:ascii="Segoe UI" w:hAnsi="Segoe UI" w:cs="Segoe UI"/>
          <w:sz w:val="24"/>
          <w:szCs w:val="26"/>
        </w:rPr>
        <w:t xml:space="preserve"> </w:t>
      </w:r>
      <w:r w:rsidR="00E46685" w:rsidRPr="00215B3D">
        <w:rPr>
          <w:rFonts w:ascii="Segoe UI" w:hAnsi="Segoe UI" w:cs="Segoe UI"/>
          <w:sz w:val="24"/>
          <w:szCs w:val="26"/>
        </w:rPr>
        <w:t>millions de FCFA</w:t>
      </w:r>
      <w:r w:rsidR="00BA246D" w:rsidRPr="00215B3D">
        <w:rPr>
          <w:rFonts w:ascii="Segoe UI" w:hAnsi="Segoe UI" w:cs="Segoe UI"/>
          <w:sz w:val="24"/>
          <w:szCs w:val="26"/>
        </w:rPr>
        <w:t xml:space="preserve"> </w:t>
      </w:r>
      <w:r w:rsidR="002D75C4" w:rsidRPr="00215B3D">
        <w:rPr>
          <w:rFonts w:ascii="Segoe UI" w:hAnsi="Segoe UI" w:cs="Segoe UI"/>
          <w:sz w:val="24"/>
          <w:szCs w:val="26"/>
        </w:rPr>
        <w:t>en 201</w:t>
      </w:r>
      <w:r w:rsidRPr="00215B3D">
        <w:rPr>
          <w:rFonts w:ascii="Segoe UI" w:hAnsi="Segoe UI" w:cs="Segoe UI"/>
          <w:sz w:val="24"/>
          <w:szCs w:val="26"/>
        </w:rPr>
        <w:t>7</w:t>
      </w:r>
      <w:r w:rsidR="00E46685" w:rsidRPr="00215B3D">
        <w:rPr>
          <w:rFonts w:ascii="Segoe UI" w:hAnsi="Segoe UI" w:cs="Segoe UI"/>
          <w:sz w:val="24"/>
          <w:szCs w:val="26"/>
        </w:rPr>
        <w:t xml:space="preserve">, </w:t>
      </w:r>
      <w:r w:rsidR="007814EE" w:rsidRPr="00215B3D">
        <w:rPr>
          <w:rFonts w:ascii="Segoe UI" w:hAnsi="Segoe UI" w:cs="Segoe UI"/>
          <w:sz w:val="24"/>
          <w:szCs w:val="26"/>
        </w:rPr>
        <w:t xml:space="preserve">a mobilisé </w:t>
      </w:r>
      <w:r w:rsidR="007E0A97" w:rsidRPr="00215B3D">
        <w:rPr>
          <w:rFonts w:ascii="Segoe UI" w:hAnsi="Segoe UI" w:cs="Segoe UI"/>
          <w:sz w:val="24"/>
          <w:szCs w:val="26"/>
        </w:rPr>
        <w:t>au 30 juin,</w:t>
      </w:r>
      <w:r w:rsidRPr="00215B3D">
        <w:rPr>
          <w:rFonts w:ascii="Segoe UI" w:hAnsi="Segoe UI" w:cs="Segoe UI"/>
          <w:sz w:val="24"/>
          <w:szCs w:val="26"/>
        </w:rPr>
        <w:t xml:space="preserve"> </w:t>
      </w:r>
      <w:r w:rsidR="00BA246D" w:rsidRPr="00215B3D">
        <w:rPr>
          <w:rFonts w:ascii="Segoe UI" w:hAnsi="Segoe UI" w:cs="Segoe UI"/>
          <w:sz w:val="24"/>
          <w:szCs w:val="26"/>
        </w:rPr>
        <w:t xml:space="preserve"> </w:t>
      </w:r>
      <w:r w:rsidR="006412C1" w:rsidRPr="00215B3D">
        <w:rPr>
          <w:rFonts w:ascii="Segoe UI" w:hAnsi="Segoe UI" w:cs="Segoe UI"/>
          <w:sz w:val="24"/>
          <w:szCs w:val="26"/>
        </w:rPr>
        <w:t xml:space="preserve">un montant de </w:t>
      </w:r>
      <w:r w:rsidR="007D4A86">
        <w:rPr>
          <w:rFonts w:ascii="Segoe UI" w:hAnsi="Segoe UI" w:cs="Segoe UI"/>
          <w:b/>
          <w:sz w:val="24"/>
          <w:szCs w:val="26"/>
        </w:rPr>
        <w:t xml:space="preserve">70 370,7 </w:t>
      </w:r>
      <w:r w:rsidR="007814EE" w:rsidRPr="00215B3D">
        <w:rPr>
          <w:rFonts w:ascii="Segoe UI" w:hAnsi="Segoe UI" w:cs="Segoe UI"/>
          <w:b/>
          <w:sz w:val="24"/>
          <w:szCs w:val="26"/>
        </w:rPr>
        <w:t>millions de FCFA</w:t>
      </w:r>
      <w:r w:rsidRPr="00215B3D">
        <w:rPr>
          <w:rFonts w:ascii="Segoe UI" w:hAnsi="Segoe UI" w:cs="Segoe UI"/>
          <w:sz w:val="24"/>
          <w:szCs w:val="26"/>
        </w:rPr>
        <w:t xml:space="preserve">, correspondant à </w:t>
      </w:r>
      <w:r w:rsidR="00E2613B" w:rsidRPr="00215B3D">
        <w:rPr>
          <w:rFonts w:ascii="Segoe UI" w:hAnsi="Segoe UI" w:cs="Segoe UI"/>
          <w:sz w:val="24"/>
          <w:szCs w:val="26"/>
        </w:rPr>
        <w:t xml:space="preserve">un taux de recouvrement de </w:t>
      </w:r>
      <w:r w:rsidR="007D4A86">
        <w:rPr>
          <w:rFonts w:ascii="Segoe UI" w:hAnsi="Segoe UI" w:cs="Segoe UI"/>
          <w:b/>
          <w:sz w:val="24"/>
          <w:szCs w:val="26"/>
        </w:rPr>
        <w:t>103</w:t>
      </w:r>
      <w:r w:rsidR="00C02158" w:rsidRPr="00215B3D">
        <w:rPr>
          <w:rFonts w:ascii="Segoe UI" w:hAnsi="Segoe UI" w:cs="Segoe UI"/>
          <w:b/>
          <w:sz w:val="24"/>
          <w:szCs w:val="26"/>
        </w:rPr>
        <w:t>,</w:t>
      </w:r>
      <w:r w:rsidR="007D4A86">
        <w:rPr>
          <w:rFonts w:ascii="Segoe UI" w:hAnsi="Segoe UI" w:cs="Segoe UI"/>
          <w:b/>
          <w:sz w:val="24"/>
          <w:szCs w:val="26"/>
        </w:rPr>
        <w:t>5</w:t>
      </w:r>
      <w:r w:rsidR="00D91F7D" w:rsidRPr="00215B3D">
        <w:rPr>
          <w:rFonts w:ascii="Segoe UI" w:hAnsi="Segoe UI" w:cs="Segoe UI"/>
          <w:b/>
          <w:sz w:val="24"/>
          <w:szCs w:val="26"/>
        </w:rPr>
        <w:t>%</w:t>
      </w:r>
      <w:r w:rsidR="007814EE" w:rsidRPr="00215B3D">
        <w:rPr>
          <w:rFonts w:ascii="Segoe UI" w:hAnsi="Segoe UI" w:cs="Segoe UI"/>
          <w:sz w:val="24"/>
          <w:szCs w:val="26"/>
        </w:rPr>
        <w:t xml:space="preserve"> contre </w:t>
      </w:r>
      <w:r w:rsidRPr="00215B3D">
        <w:rPr>
          <w:rFonts w:ascii="Segoe UI" w:hAnsi="Segoe UI" w:cs="Segoe UI"/>
          <w:sz w:val="24"/>
          <w:szCs w:val="26"/>
        </w:rPr>
        <w:t>34,8</w:t>
      </w:r>
      <w:r w:rsidR="007814EE" w:rsidRPr="00215B3D">
        <w:rPr>
          <w:rFonts w:ascii="Segoe UI" w:hAnsi="Segoe UI" w:cs="Segoe UI"/>
          <w:sz w:val="24"/>
          <w:szCs w:val="26"/>
        </w:rPr>
        <w:t xml:space="preserve">% </w:t>
      </w:r>
      <w:r w:rsidR="00A9739F" w:rsidRPr="00215B3D">
        <w:rPr>
          <w:rFonts w:ascii="Segoe UI" w:hAnsi="Segoe UI" w:cs="Segoe UI"/>
          <w:sz w:val="24"/>
          <w:szCs w:val="26"/>
        </w:rPr>
        <w:t xml:space="preserve">à la même période </w:t>
      </w:r>
      <w:r w:rsidR="007814EE" w:rsidRPr="00215B3D">
        <w:rPr>
          <w:rFonts w:ascii="Segoe UI" w:hAnsi="Segoe UI" w:cs="Segoe UI"/>
          <w:sz w:val="24"/>
          <w:szCs w:val="26"/>
        </w:rPr>
        <w:t>en 201</w:t>
      </w:r>
      <w:r w:rsidRPr="00215B3D">
        <w:rPr>
          <w:rFonts w:ascii="Segoe UI" w:hAnsi="Segoe UI" w:cs="Segoe UI"/>
          <w:sz w:val="24"/>
          <w:szCs w:val="26"/>
        </w:rPr>
        <w:t>6</w:t>
      </w:r>
      <w:r w:rsidR="00A80A80" w:rsidRPr="00215B3D">
        <w:rPr>
          <w:rFonts w:ascii="Segoe UI" w:hAnsi="Segoe UI" w:cs="Segoe UI"/>
          <w:sz w:val="24"/>
          <w:szCs w:val="26"/>
        </w:rPr>
        <w:t xml:space="preserve"> pour un montant </w:t>
      </w:r>
      <w:r w:rsidR="00845644" w:rsidRPr="00215B3D">
        <w:rPr>
          <w:rFonts w:ascii="Segoe UI" w:hAnsi="Segoe UI" w:cs="Segoe UI"/>
          <w:sz w:val="24"/>
          <w:szCs w:val="26"/>
        </w:rPr>
        <w:t xml:space="preserve">de </w:t>
      </w:r>
      <w:r w:rsidRPr="00215B3D">
        <w:rPr>
          <w:rFonts w:ascii="Segoe UI" w:hAnsi="Segoe UI" w:cs="Segoe UI"/>
          <w:sz w:val="24"/>
          <w:szCs w:val="26"/>
        </w:rPr>
        <w:t>23 442</w:t>
      </w:r>
      <w:r w:rsidR="00A80A80" w:rsidRPr="00215B3D">
        <w:rPr>
          <w:rFonts w:ascii="Segoe UI" w:hAnsi="Segoe UI" w:cs="Segoe UI"/>
          <w:sz w:val="24"/>
          <w:szCs w:val="26"/>
        </w:rPr>
        <w:t xml:space="preserve"> millions de FCFA</w:t>
      </w:r>
      <w:r w:rsidR="00030891" w:rsidRPr="00215B3D">
        <w:rPr>
          <w:rFonts w:ascii="Segoe UI" w:hAnsi="Segoe UI" w:cs="Segoe UI"/>
          <w:sz w:val="24"/>
          <w:szCs w:val="26"/>
        </w:rPr>
        <w:t>.</w:t>
      </w:r>
    </w:p>
    <w:p w:rsidR="0073784C" w:rsidRPr="00215B3D" w:rsidRDefault="007D4A86" w:rsidP="00030891">
      <w:pPr>
        <w:spacing w:after="0" w:line="360" w:lineRule="auto"/>
        <w:jc w:val="both"/>
        <w:rPr>
          <w:rFonts w:ascii="Segoe UI" w:hAnsi="Segoe UI" w:cs="Segoe UI"/>
          <w:sz w:val="24"/>
          <w:szCs w:val="26"/>
        </w:rPr>
      </w:pPr>
      <w:r>
        <w:rPr>
          <w:rFonts w:ascii="Segoe UI" w:hAnsi="Segoe UI" w:cs="Segoe UI"/>
          <w:sz w:val="24"/>
          <w:szCs w:val="26"/>
        </w:rPr>
        <w:t xml:space="preserve">La </w:t>
      </w:r>
      <w:r w:rsidR="00030891" w:rsidRPr="00215B3D">
        <w:rPr>
          <w:rFonts w:ascii="Segoe UI" w:hAnsi="Segoe UI" w:cs="Segoe UI"/>
          <w:sz w:val="24"/>
          <w:szCs w:val="26"/>
        </w:rPr>
        <w:t>performance</w:t>
      </w:r>
      <w:r w:rsidR="006C24B8" w:rsidRPr="00215B3D">
        <w:rPr>
          <w:rFonts w:ascii="Segoe UI" w:hAnsi="Segoe UI" w:cs="Segoe UI"/>
          <w:sz w:val="24"/>
          <w:szCs w:val="26"/>
        </w:rPr>
        <w:t xml:space="preserve"> enregistrée (</w:t>
      </w:r>
      <w:r w:rsidR="00E564CB">
        <w:rPr>
          <w:rFonts w:ascii="Segoe UI" w:hAnsi="Segoe UI" w:cs="Segoe UI"/>
          <w:sz w:val="24"/>
          <w:szCs w:val="26"/>
        </w:rPr>
        <w:t>103</w:t>
      </w:r>
      <w:r w:rsidR="00332F8C" w:rsidRPr="00215B3D">
        <w:rPr>
          <w:rFonts w:ascii="Segoe UI" w:hAnsi="Segoe UI" w:cs="Segoe UI"/>
          <w:sz w:val="24"/>
          <w:szCs w:val="26"/>
        </w:rPr>
        <w:t>,</w:t>
      </w:r>
      <w:r w:rsidR="00E564CB">
        <w:rPr>
          <w:rFonts w:ascii="Segoe UI" w:hAnsi="Segoe UI" w:cs="Segoe UI"/>
          <w:sz w:val="24"/>
          <w:szCs w:val="26"/>
        </w:rPr>
        <w:t>5</w:t>
      </w:r>
      <w:r w:rsidR="006C24B8" w:rsidRPr="00215B3D">
        <w:rPr>
          <w:rFonts w:ascii="Segoe UI" w:hAnsi="Segoe UI" w:cs="Segoe UI"/>
          <w:sz w:val="24"/>
          <w:szCs w:val="26"/>
        </w:rPr>
        <w:t>%)</w:t>
      </w:r>
      <w:r w:rsidR="002F7D7D" w:rsidRPr="00215B3D">
        <w:rPr>
          <w:rFonts w:ascii="Segoe UI" w:hAnsi="Segoe UI" w:cs="Segoe UI"/>
          <w:sz w:val="24"/>
          <w:szCs w:val="26"/>
        </w:rPr>
        <w:t xml:space="preserve"> </w:t>
      </w:r>
      <w:r>
        <w:rPr>
          <w:rFonts w:ascii="Segoe UI" w:hAnsi="Segoe UI" w:cs="Segoe UI"/>
          <w:sz w:val="24"/>
          <w:szCs w:val="26"/>
        </w:rPr>
        <w:t xml:space="preserve">par </w:t>
      </w:r>
      <w:r w:rsidR="00332F8C" w:rsidRPr="00215B3D">
        <w:rPr>
          <w:rFonts w:ascii="Segoe UI" w:hAnsi="Segoe UI" w:cs="Segoe UI"/>
          <w:sz w:val="24"/>
          <w:szCs w:val="26"/>
        </w:rPr>
        <w:t>la DGTCP</w:t>
      </w:r>
      <w:r w:rsidR="002F7D7D" w:rsidRPr="00215B3D">
        <w:rPr>
          <w:rFonts w:ascii="Segoe UI" w:hAnsi="Segoe UI" w:cs="Segoe UI"/>
          <w:sz w:val="24"/>
          <w:szCs w:val="26"/>
        </w:rPr>
        <w:t xml:space="preserve"> </w:t>
      </w:r>
      <w:r w:rsidR="006C24B8" w:rsidRPr="00215B3D">
        <w:rPr>
          <w:rFonts w:ascii="Segoe UI" w:hAnsi="Segoe UI" w:cs="Segoe UI"/>
          <w:sz w:val="24"/>
          <w:szCs w:val="26"/>
        </w:rPr>
        <w:t xml:space="preserve">est imputable </w:t>
      </w:r>
      <w:r>
        <w:rPr>
          <w:rFonts w:ascii="Segoe UI" w:hAnsi="Segoe UI" w:cs="Segoe UI"/>
          <w:sz w:val="24"/>
          <w:szCs w:val="26"/>
        </w:rPr>
        <w:t xml:space="preserve">à l’amélioration significative des produits liés </w:t>
      </w:r>
      <w:r w:rsidR="006C24B8" w:rsidRPr="00215B3D">
        <w:rPr>
          <w:rFonts w:ascii="Segoe UI" w:hAnsi="Segoe UI" w:cs="Segoe UI"/>
          <w:sz w:val="24"/>
          <w:szCs w:val="26"/>
        </w:rPr>
        <w:t>aux</w:t>
      </w:r>
      <w:r w:rsidR="002B033C" w:rsidRPr="00215B3D">
        <w:rPr>
          <w:rFonts w:ascii="Segoe UI" w:hAnsi="Segoe UI" w:cs="Segoe UI"/>
          <w:sz w:val="24"/>
          <w:szCs w:val="26"/>
        </w:rPr>
        <w:t xml:space="preserve"> droits et frais administ</w:t>
      </w:r>
      <w:r w:rsidR="00C706BC" w:rsidRPr="00215B3D">
        <w:rPr>
          <w:rFonts w:ascii="Segoe UI" w:hAnsi="Segoe UI" w:cs="Segoe UI"/>
          <w:sz w:val="24"/>
          <w:szCs w:val="26"/>
        </w:rPr>
        <w:t>ratifs (</w:t>
      </w:r>
      <w:r w:rsidR="005F4CB6" w:rsidRPr="00215B3D">
        <w:rPr>
          <w:rFonts w:ascii="Segoe UI" w:hAnsi="Segoe UI" w:cs="Segoe UI"/>
          <w:sz w:val="24"/>
          <w:szCs w:val="26"/>
        </w:rPr>
        <w:t>62,58</w:t>
      </w:r>
      <w:r w:rsidR="009A71FD" w:rsidRPr="00215B3D">
        <w:rPr>
          <w:rFonts w:ascii="Segoe UI" w:hAnsi="Segoe UI" w:cs="Segoe UI"/>
          <w:sz w:val="24"/>
          <w:szCs w:val="26"/>
        </w:rPr>
        <w:t>%)</w:t>
      </w:r>
      <w:r w:rsidR="006C24B8" w:rsidRPr="00215B3D">
        <w:rPr>
          <w:rFonts w:ascii="Segoe UI" w:hAnsi="Segoe UI" w:cs="Segoe UI"/>
          <w:sz w:val="24"/>
          <w:szCs w:val="26"/>
        </w:rPr>
        <w:t> ;</w:t>
      </w:r>
      <w:r w:rsidR="00CD0642" w:rsidRPr="00215B3D">
        <w:rPr>
          <w:rFonts w:ascii="Segoe UI" w:hAnsi="Segoe UI" w:cs="Segoe UI"/>
          <w:sz w:val="24"/>
          <w:szCs w:val="26"/>
        </w:rPr>
        <w:t xml:space="preserve"> </w:t>
      </w:r>
      <w:r w:rsidR="006C24B8" w:rsidRPr="00C41779">
        <w:rPr>
          <w:rFonts w:ascii="Segoe UI" w:hAnsi="Segoe UI" w:cs="Segoe UI"/>
          <w:color w:val="000000" w:themeColor="text1"/>
          <w:sz w:val="24"/>
          <w:szCs w:val="26"/>
        </w:rPr>
        <w:t xml:space="preserve">aux diverses recettes exceptionnelles </w:t>
      </w:r>
      <w:r w:rsidR="00C41779" w:rsidRPr="00C41779">
        <w:rPr>
          <w:rFonts w:ascii="Segoe UI" w:hAnsi="Segoe UI" w:cs="Segoe UI"/>
          <w:color w:val="000000" w:themeColor="text1"/>
          <w:sz w:val="24"/>
          <w:szCs w:val="26"/>
        </w:rPr>
        <w:t>(267,7</w:t>
      </w:r>
      <w:r w:rsidR="006C24B8" w:rsidRPr="00C41779">
        <w:rPr>
          <w:rFonts w:ascii="Segoe UI" w:hAnsi="Segoe UI" w:cs="Segoe UI"/>
          <w:color w:val="000000" w:themeColor="text1"/>
          <w:sz w:val="24"/>
          <w:szCs w:val="26"/>
        </w:rPr>
        <w:t>%)</w:t>
      </w:r>
      <w:r w:rsidR="00332F8C" w:rsidRPr="00C41779">
        <w:rPr>
          <w:rFonts w:ascii="Segoe UI" w:hAnsi="Segoe UI" w:cs="Segoe UI"/>
          <w:color w:val="000000" w:themeColor="text1"/>
          <w:sz w:val="24"/>
          <w:szCs w:val="26"/>
        </w:rPr>
        <w:t xml:space="preserve"> </w:t>
      </w:r>
      <w:r w:rsidR="00332F8C" w:rsidRPr="00215B3D">
        <w:rPr>
          <w:rFonts w:ascii="Segoe UI" w:hAnsi="Segoe UI" w:cs="Segoe UI"/>
          <w:sz w:val="24"/>
          <w:szCs w:val="26"/>
        </w:rPr>
        <w:t>et aux produits financiers (134,78%)</w:t>
      </w:r>
      <w:r w:rsidR="00CD0642" w:rsidRPr="00215B3D">
        <w:rPr>
          <w:rFonts w:ascii="Segoe UI" w:hAnsi="Segoe UI" w:cs="Segoe UI"/>
          <w:sz w:val="24"/>
          <w:szCs w:val="26"/>
        </w:rPr>
        <w:t>.</w:t>
      </w:r>
      <w:r w:rsidR="009A71FD" w:rsidRPr="00215B3D">
        <w:rPr>
          <w:rFonts w:ascii="Segoe UI" w:hAnsi="Segoe UI" w:cs="Segoe UI"/>
          <w:sz w:val="24"/>
          <w:szCs w:val="26"/>
        </w:rPr>
        <w:t> </w:t>
      </w:r>
    </w:p>
    <w:p w:rsidR="00CD0642" w:rsidRPr="00215B3D" w:rsidRDefault="00CD0642" w:rsidP="00030891">
      <w:pPr>
        <w:spacing w:after="0" w:line="360" w:lineRule="auto"/>
        <w:jc w:val="both"/>
        <w:rPr>
          <w:rFonts w:ascii="Segoe UI" w:hAnsi="Segoe UI" w:cs="Segoe UI"/>
          <w:sz w:val="24"/>
          <w:szCs w:val="26"/>
        </w:rPr>
      </w:pPr>
      <w:r w:rsidRPr="00215B3D">
        <w:rPr>
          <w:rFonts w:ascii="Segoe UI" w:hAnsi="Segoe UI" w:cs="Segoe UI"/>
          <w:sz w:val="24"/>
          <w:szCs w:val="26"/>
        </w:rPr>
        <w:t xml:space="preserve">L’amélioration du niveau de recouvrement des recettes à la DGTCP </w:t>
      </w:r>
      <w:r w:rsidR="00CF5ACE">
        <w:rPr>
          <w:rFonts w:ascii="Segoe UI" w:hAnsi="Segoe UI" w:cs="Segoe UI"/>
          <w:sz w:val="24"/>
          <w:szCs w:val="26"/>
        </w:rPr>
        <w:t>devrait se poursuivre</w:t>
      </w:r>
      <w:r w:rsidRPr="00215B3D">
        <w:rPr>
          <w:rFonts w:ascii="Segoe UI" w:hAnsi="Segoe UI" w:cs="Segoe UI"/>
          <w:sz w:val="24"/>
          <w:szCs w:val="26"/>
        </w:rPr>
        <w:t xml:space="preserve"> non seulement pour les produits </w:t>
      </w:r>
      <w:r w:rsidR="00F46F8E" w:rsidRPr="00215B3D">
        <w:rPr>
          <w:rFonts w:ascii="Segoe UI" w:hAnsi="Segoe UI" w:cs="Segoe UI"/>
          <w:sz w:val="24"/>
          <w:szCs w:val="26"/>
        </w:rPr>
        <w:t>n’</w:t>
      </w:r>
      <w:r w:rsidRPr="00215B3D">
        <w:rPr>
          <w:rFonts w:ascii="Segoe UI" w:hAnsi="Segoe UI" w:cs="Segoe UI"/>
          <w:sz w:val="24"/>
          <w:szCs w:val="26"/>
        </w:rPr>
        <w:t xml:space="preserve">ayant connu </w:t>
      </w:r>
      <w:r w:rsidR="00F46F8E" w:rsidRPr="00215B3D">
        <w:rPr>
          <w:rFonts w:ascii="Segoe UI" w:hAnsi="Segoe UI" w:cs="Segoe UI"/>
          <w:sz w:val="24"/>
          <w:szCs w:val="26"/>
        </w:rPr>
        <w:t>au premier semestre un bon comportement mais également</w:t>
      </w:r>
      <w:r w:rsidRPr="00215B3D">
        <w:rPr>
          <w:rFonts w:ascii="Segoe UI" w:hAnsi="Segoe UI" w:cs="Segoe UI"/>
          <w:sz w:val="24"/>
          <w:szCs w:val="26"/>
        </w:rPr>
        <w:t xml:space="preserve"> pour </w:t>
      </w:r>
      <w:r w:rsidR="00F46F8E" w:rsidRPr="00215B3D">
        <w:rPr>
          <w:rFonts w:ascii="Segoe UI" w:hAnsi="Segoe UI" w:cs="Segoe UI"/>
          <w:sz w:val="24"/>
          <w:szCs w:val="26"/>
        </w:rPr>
        <w:t xml:space="preserve">ceux qui se sont relativement bien comportés. </w:t>
      </w:r>
    </w:p>
    <w:p w:rsidR="005C5EDA" w:rsidRDefault="009728DA" w:rsidP="00811DB1">
      <w:pPr>
        <w:spacing w:after="0" w:line="360" w:lineRule="auto"/>
        <w:jc w:val="both"/>
        <w:rPr>
          <w:rFonts w:ascii="Segoe UI" w:hAnsi="Segoe UI" w:cs="Segoe UI"/>
          <w:sz w:val="24"/>
          <w:szCs w:val="26"/>
        </w:rPr>
      </w:pPr>
      <w:r w:rsidRPr="00215B3D">
        <w:rPr>
          <w:rFonts w:ascii="Segoe UI" w:hAnsi="Segoe UI" w:cs="Segoe UI"/>
          <w:sz w:val="24"/>
          <w:szCs w:val="26"/>
        </w:rPr>
        <w:t>L’évolution des réalisations par régie financière est pr</w:t>
      </w:r>
      <w:r w:rsidR="00BE4F05" w:rsidRPr="00215B3D">
        <w:rPr>
          <w:rFonts w:ascii="Segoe UI" w:hAnsi="Segoe UI" w:cs="Segoe UI"/>
          <w:sz w:val="24"/>
          <w:szCs w:val="26"/>
        </w:rPr>
        <w:t xml:space="preserve">ésentée à travers le graphique </w:t>
      </w:r>
      <w:r w:rsidR="007E3BE0">
        <w:rPr>
          <w:rFonts w:ascii="Segoe UI" w:hAnsi="Segoe UI" w:cs="Segoe UI"/>
          <w:sz w:val="24"/>
          <w:szCs w:val="26"/>
        </w:rPr>
        <w:t>n°3</w:t>
      </w:r>
      <w:r w:rsidR="00FD3FC6" w:rsidRPr="00215B3D">
        <w:rPr>
          <w:rFonts w:ascii="Segoe UI" w:hAnsi="Segoe UI" w:cs="Segoe UI"/>
          <w:sz w:val="24"/>
          <w:szCs w:val="26"/>
        </w:rPr>
        <w:t xml:space="preserve"> </w:t>
      </w:r>
      <w:r w:rsidRPr="00215B3D">
        <w:rPr>
          <w:rFonts w:ascii="Segoe UI" w:hAnsi="Segoe UI" w:cs="Segoe UI"/>
          <w:sz w:val="24"/>
          <w:szCs w:val="26"/>
        </w:rPr>
        <w:t>ci-après :</w:t>
      </w:r>
    </w:p>
    <w:p w:rsidR="009329B4" w:rsidRPr="00DD4A3F" w:rsidRDefault="007E3BE0" w:rsidP="00DD4A3F">
      <w:pPr>
        <w:pStyle w:val="Graphique"/>
        <w:rPr>
          <w:sz w:val="24"/>
        </w:rPr>
      </w:pPr>
      <w:bookmarkStart w:id="14" w:name="_Toc495935953"/>
      <w:r>
        <w:rPr>
          <w:sz w:val="24"/>
        </w:rPr>
        <w:t>Graphique n° 3</w:t>
      </w:r>
      <w:r w:rsidR="00FD3FC6" w:rsidRPr="00DD4A3F">
        <w:rPr>
          <w:sz w:val="24"/>
        </w:rPr>
        <w:t> : Evolution des réalisati</w:t>
      </w:r>
      <w:r w:rsidR="00A30FD8">
        <w:rPr>
          <w:sz w:val="24"/>
        </w:rPr>
        <w:t>ons brutes par régie</w:t>
      </w:r>
      <w:r w:rsidR="00BF268B" w:rsidRPr="00DD4A3F">
        <w:rPr>
          <w:sz w:val="24"/>
        </w:rPr>
        <w:t xml:space="preserve"> à fin juin 2016</w:t>
      </w:r>
      <w:r w:rsidR="00FD3FC6" w:rsidRPr="00DD4A3F">
        <w:rPr>
          <w:sz w:val="24"/>
        </w:rPr>
        <w:t xml:space="preserve"> et 201</w:t>
      </w:r>
      <w:r w:rsidR="00BF268B" w:rsidRPr="00DD4A3F">
        <w:rPr>
          <w:sz w:val="24"/>
        </w:rPr>
        <w:t>7</w:t>
      </w:r>
      <w:r w:rsidR="00524216" w:rsidRPr="00DD4A3F">
        <w:rPr>
          <w:sz w:val="24"/>
        </w:rPr>
        <w:t>, en millions de FCFA</w:t>
      </w:r>
      <w:bookmarkEnd w:id="14"/>
    </w:p>
    <w:p w:rsidR="00C42C00" w:rsidRPr="00215B3D" w:rsidRDefault="00C42C00" w:rsidP="00883080">
      <w:pPr>
        <w:spacing w:after="0" w:line="240" w:lineRule="auto"/>
        <w:jc w:val="both"/>
        <w:rPr>
          <w:rFonts w:ascii="Segoe UI" w:hAnsi="Segoe UI" w:cs="Segoe UI"/>
          <w:b/>
          <w:sz w:val="26"/>
          <w:szCs w:val="26"/>
        </w:rPr>
      </w:pPr>
    </w:p>
    <w:p w:rsidR="00A80A80" w:rsidRPr="00215B3D" w:rsidRDefault="00D37404" w:rsidP="00E9539D">
      <w:pPr>
        <w:tabs>
          <w:tab w:val="left" w:pos="5805"/>
        </w:tabs>
        <w:rPr>
          <w:rFonts w:ascii="Segoe UI" w:hAnsi="Segoe UI" w:cs="Segoe UI"/>
          <w:sz w:val="12"/>
          <w:szCs w:val="26"/>
        </w:rPr>
      </w:pPr>
      <w:r>
        <w:rPr>
          <w:noProof/>
        </w:rPr>
        <w:drawing>
          <wp:inline distT="0" distB="0" distL="0" distR="0" wp14:anchorId="752D27E3" wp14:editId="649E8A0A">
            <wp:extent cx="5638800" cy="274320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80A80" w:rsidRPr="00215B3D" w:rsidRDefault="00A80A80" w:rsidP="00A80A80">
      <w:pPr>
        <w:spacing w:after="0" w:line="360" w:lineRule="auto"/>
        <w:rPr>
          <w:rFonts w:ascii="Segoe UI" w:hAnsi="Segoe UI" w:cs="Segoe UI"/>
          <w:sz w:val="16"/>
          <w:szCs w:val="26"/>
        </w:rPr>
      </w:pPr>
      <w:r w:rsidRPr="00215B3D">
        <w:rPr>
          <w:rFonts w:ascii="Segoe UI" w:hAnsi="Segoe UI" w:cs="Segoe UI"/>
          <w:sz w:val="26"/>
          <w:szCs w:val="26"/>
        </w:rPr>
        <w:t xml:space="preserve">   </w:t>
      </w:r>
      <w:r w:rsidRPr="00215B3D">
        <w:rPr>
          <w:rFonts w:ascii="Segoe UI" w:hAnsi="Segoe UI" w:cs="Segoe UI"/>
          <w:b/>
          <w:sz w:val="16"/>
          <w:szCs w:val="26"/>
          <w:u w:val="single"/>
        </w:rPr>
        <w:t>Source</w:t>
      </w:r>
      <w:r w:rsidRPr="00215B3D">
        <w:rPr>
          <w:rFonts w:ascii="Segoe UI" w:hAnsi="Segoe UI" w:cs="Segoe UI"/>
          <w:sz w:val="16"/>
          <w:szCs w:val="26"/>
        </w:rPr>
        <w:t xml:space="preserve"> : </w:t>
      </w:r>
      <w:r w:rsidR="00332F8C" w:rsidRPr="00215B3D">
        <w:rPr>
          <w:rFonts w:ascii="Segoe UI" w:hAnsi="Segoe UI" w:cs="Segoe UI"/>
          <w:sz w:val="16"/>
          <w:szCs w:val="26"/>
        </w:rPr>
        <w:t xml:space="preserve">DGB, sur la base des données fournies par les </w:t>
      </w:r>
      <w:r w:rsidR="00F12E78" w:rsidRPr="00215B3D">
        <w:rPr>
          <w:rFonts w:ascii="Segoe UI" w:hAnsi="Segoe UI" w:cs="Segoe UI"/>
          <w:sz w:val="16"/>
          <w:szCs w:val="26"/>
        </w:rPr>
        <w:t>administrations financières</w:t>
      </w:r>
      <w:r w:rsidR="003D65DF" w:rsidRPr="00215B3D">
        <w:rPr>
          <w:rFonts w:ascii="Segoe UI" w:hAnsi="Segoe UI" w:cs="Segoe UI"/>
          <w:sz w:val="16"/>
          <w:szCs w:val="26"/>
        </w:rPr>
        <w:t xml:space="preserve">, juin </w:t>
      </w:r>
      <w:r w:rsidRPr="00215B3D">
        <w:rPr>
          <w:rFonts w:ascii="Segoe UI" w:hAnsi="Segoe UI" w:cs="Segoe UI"/>
          <w:sz w:val="16"/>
          <w:szCs w:val="26"/>
        </w:rPr>
        <w:t>2017</w:t>
      </w:r>
    </w:p>
    <w:p w:rsidR="007C2EAC" w:rsidRPr="00215B3D" w:rsidRDefault="00DF0D9A" w:rsidP="00DF0D9A">
      <w:pPr>
        <w:pStyle w:val="Titre3"/>
        <w:ind w:left="1080"/>
        <w:rPr>
          <w:rFonts w:ascii="Segoe UI" w:hAnsi="Segoe UI" w:cs="Segoe UI"/>
          <w:sz w:val="26"/>
          <w:szCs w:val="26"/>
        </w:rPr>
      </w:pPr>
      <w:bookmarkStart w:id="15" w:name="_Toc496025002"/>
      <w:r>
        <w:rPr>
          <w:rFonts w:ascii="Segoe UI" w:hAnsi="Segoe UI" w:cs="Segoe UI"/>
          <w:sz w:val="26"/>
          <w:szCs w:val="26"/>
        </w:rPr>
        <w:lastRenderedPageBreak/>
        <w:t>A.2-</w:t>
      </w:r>
      <w:r w:rsidR="00552020">
        <w:rPr>
          <w:rFonts w:ascii="Segoe UI" w:hAnsi="Segoe UI" w:cs="Segoe UI"/>
          <w:sz w:val="26"/>
          <w:szCs w:val="26"/>
        </w:rPr>
        <w:t xml:space="preserve"> </w:t>
      </w:r>
      <w:r w:rsidR="007C2EAC" w:rsidRPr="00215B3D">
        <w:rPr>
          <w:rFonts w:ascii="Segoe UI" w:hAnsi="Segoe UI" w:cs="Segoe UI"/>
          <w:sz w:val="26"/>
          <w:szCs w:val="26"/>
        </w:rPr>
        <w:t xml:space="preserve">Recettes </w:t>
      </w:r>
      <w:r w:rsidR="007C2EAC">
        <w:rPr>
          <w:rFonts w:ascii="Segoe UI" w:hAnsi="Segoe UI" w:cs="Segoe UI"/>
          <w:sz w:val="26"/>
          <w:szCs w:val="26"/>
        </w:rPr>
        <w:t xml:space="preserve">de l’Agence Nationale du Domaine </w:t>
      </w:r>
      <w:r w:rsidR="00CE580F">
        <w:rPr>
          <w:rFonts w:ascii="Segoe UI" w:hAnsi="Segoe UI" w:cs="Segoe UI"/>
          <w:sz w:val="26"/>
          <w:szCs w:val="26"/>
        </w:rPr>
        <w:t xml:space="preserve">et du </w:t>
      </w:r>
      <w:r w:rsidR="007C2EAC">
        <w:rPr>
          <w:rFonts w:ascii="Segoe UI" w:hAnsi="Segoe UI" w:cs="Segoe UI"/>
          <w:sz w:val="26"/>
          <w:szCs w:val="26"/>
        </w:rPr>
        <w:t>Foncier (ANDF)</w:t>
      </w:r>
      <w:bookmarkEnd w:id="15"/>
    </w:p>
    <w:p w:rsidR="007C2EAC" w:rsidRPr="00215B3D" w:rsidRDefault="007C2EAC" w:rsidP="007C2EAC">
      <w:pPr>
        <w:spacing w:after="0" w:line="360" w:lineRule="auto"/>
        <w:jc w:val="both"/>
        <w:rPr>
          <w:rFonts w:ascii="Segoe UI" w:hAnsi="Segoe UI" w:cs="Segoe UI"/>
          <w:sz w:val="26"/>
          <w:szCs w:val="26"/>
        </w:rPr>
      </w:pPr>
      <w:r w:rsidRPr="00A46CEA">
        <w:rPr>
          <w:rFonts w:ascii="Segoe UI" w:hAnsi="Segoe UI" w:cs="Segoe UI"/>
          <w:sz w:val="24"/>
          <w:szCs w:val="26"/>
        </w:rPr>
        <w:t xml:space="preserve">Les </w:t>
      </w:r>
      <w:r w:rsidR="00CE580F" w:rsidRPr="00A46CEA">
        <w:rPr>
          <w:rFonts w:ascii="Segoe UI" w:hAnsi="Segoe UI" w:cs="Segoe UI"/>
          <w:sz w:val="24"/>
          <w:szCs w:val="26"/>
        </w:rPr>
        <w:t xml:space="preserve">Recettes de l’Agence Nationale </w:t>
      </w:r>
      <w:r w:rsidRPr="00A46CEA">
        <w:rPr>
          <w:rFonts w:ascii="Segoe UI" w:hAnsi="Segoe UI" w:cs="Segoe UI"/>
          <w:sz w:val="24"/>
          <w:szCs w:val="26"/>
        </w:rPr>
        <w:t xml:space="preserve">du Domaine </w:t>
      </w:r>
      <w:r w:rsidR="00CE580F" w:rsidRPr="00A46CEA">
        <w:rPr>
          <w:rFonts w:ascii="Segoe UI" w:hAnsi="Segoe UI" w:cs="Segoe UI"/>
          <w:sz w:val="24"/>
          <w:szCs w:val="26"/>
        </w:rPr>
        <w:t xml:space="preserve">et du </w:t>
      </w:r>
      <w:r w:rsidRPr="00A46CEA">
        <w:rPr>
          <w:rFonts w:ascii="Segoe UI" w:hAnsi="Segoe UI" w:cs="Segoe UI"/>
          <w:sz w:val="24"/>
          <w:szCs w:val="26"/>
        </w:rPr>
        <w:t xml:space="preserve">Foncier ont été enregistrées pour </w:t>
      </w:r>
      <w:r w:rsidRPr="00A46CEA">
        <w:rPr>
          <w:rFonts w:ascii="Segoe UI" w:hAnsi="Segoe UI" w:cs="Segoe UI"/>
          <w:b/>
          <w:sz w:val="24"/>
          <w:szCs w:val="26"/>
        </w:rPr>
        <w:t>1 521,0 millions</w:t>
      </w:r>
      <w:r w:rsidRPr="00A46CEA">
        <w:rPr>
          <w:rFonts w:ascii="Segoe UI" w:hAnsi="Segoe UI" w:cs="Segoe UI"/>
          <w:sz w:val="24"/>
          <w:szCs w:val="26"/>
        </w:rPr>
        <w:t xml:space="preserve"> de Francs CFA contre une prévision nulle à fin juin 2017.</w:t>
      </w:r>
    </w:p>
    <w:p w:rsidR="00D63E15" w:rsidRDefault="00552020" w:rsidP="000C178C">
      <w:pPr>
        <w:pStyle w:val="Titre3"/>
        <w:ind w:left="720"/>
        <w:rPr>
          <w:rFonts w:ascii="Segoe UI" w:hAnsi="Segoe UI" w:cs="Segoe UI"/>
          <w:sz w:val="26"/>
          <w:szCs w:val="26"/>
        </w:rPr>
      </w:pPr>
      <w:bookmarkStart w:id="16" w:name="_Toc496025003"/>
      <w:r>
        <w:rPr>
          <w:rFonts w:ascii="Segoe UI" w:hAnsi="Segoe UI" w:cs="Segoe UI"/>
          <w:sz w:val="26"/>
          <w:szCs w:val="26"/>
        </w:rPr>
        <w:t>A.</w:t>
      </w:r>
      <w:r w:rsidR="007C2EAC">
        <w:rPr>
          <w:rFonts w:ascii="Segoe UI" w:hAnsi="Segoe UI" w:cs="Segoe UI"/>
          <w:sz w:val="26"/>
          <w:szCs w:val="26"/>
        </w:rPr>
        <w:t>3</w:t>
      </w:r>
      <w:r>
        <w:rPr>
          <w:rFonts w:ascii="Segoe UI" w:hAnsi="Segoe UI" w:cs="Segoe UI"/>
          <w:sz w:val="26"/>
          <w:szCs w:val="26"/>
        </w:rPr>
        <w:t xml:space="preserve">- </w:t>
      </w:r>
      <w:r w:rsidR="005448FB" w:rsidRPr="00215B3D">
        <w:rPr>
          <w:rFonts w:ascii="Segoe UI" w:hAnsi="Segoe UI" w:cs="Segoe UI"/>
          <w:sz w:val="26"/>
          <w:szCs w:val="26"/>
        </w:rPr>
        <w:t xml:space="preserve">Recettes </w:t>
      </w:r>
      <w:r w:rsidR="00814F54" w:rsidRPr="00215B3D">
        <w:rPr>
          <w:rFonts w:ascii="Segoe UI" w:hAnsi="Segoe UI" w:cs="Segoe UI"/>
          <w:sz w:val="26"/>
          <w:szCs w:val="26"/>
        </w:rPr>
        <w:t>du Fonds National des Retraites du Bénin</w:t>
      </w:r>
      <w:r w:rsidR="00293D0A" w:rsidRPr="00215B3D">
        <w:rPr>
          <w:rFonts w:ascii="Segoe UI" w:hAnsi="Segoe UI" w:cs="Segoe UI"/>
          <w:sz w:val="26"/>
          <w:szCs w:val="26"/>
        </w:rPr>
        <w:t xml:space="preserve"> (FNRB)</w:t>
      </w:r>
      <w:r w:rsidR="00050107" w:rsidRPr="00215B3D">
        <w:rPr>
          <w:rFonts w:ascii="Segoe UI" w:hAnsi="Segoe UI" w:cs="Segoe UI"/>
          <w:sz w:val="26"/>
          <w:szCs w:val="26"/>
        </w:rPr>
        <w:t xml:space="preserve"> et des autres </w:t>
      </w:r>
      <w:r w:rsidR="0074747B" w:rsidRPr="00215B3D">
        <w:rPr>
          <w:rFonts w:ascii="Segoe UI" w:hAnsi="Segoe UI" w:cs="Segoe UI"/>
          <w:sz w:val="26"/>
          <w:szCs w:val="26"/>
        </w:rPr>
        <w:t>organismes publics</w:t>
      </w:r>
      <w:bookmarkEnd w:id="16"/>
    </w:p>
    <w:p w:rsidR="005C5EDA" w:rsidRPr="008253BA" w:rsidRDefault="005C5EDA" w:rsidP="005C5EDA">
      <w:pPr>
        <w:rPr>
          <w:sz w:val="8"/>
        </w:rPr>
      </w:pPr>
    </w:p>
    <w:p w:rsidR="003D6DEE" w:rsidRPr="00215B3D" w:rsidRDefault="00BF268B" w:rsidP="0073644C">
      <w:pPr>
        <w:spacing w:after="0" w:line="360" w:lineRule="auto"/>
        <w:jc w:val="both"/>
        <w:rPr>
          <w:rFonts w:ascii="Segoe UI" w:hAnsi="Segoe UI" w:cs="Segoe UI"/>
          <w:b/>
          <w:i/>
          <w:sz w:val="24"/>
          <w:szCs w:val="26"/>
        </w:rPr>
      </w:pPr>
      <w:r w:rsidRPr="00215B3D">
        <w:rPr>
          <w:rFonts w:ascii="Segoe UI" w:hAnsi="Segoe UI" w:cs="Segoe UI"/>
          <w:sz w:val="24"/>
          <w:szCs w:val="26"/>
        </w:rPr>
        <w:t>E</w:t>
      </w:r>
      <w:r w:rsidR="00967FE6" w:rsidRPr="00215B3D">
        <w:rPr>
          <w:rFonts w:ascii="Segoe UI" w:hAnsi="Segoe UI" w:cs="Segoe UI"/>
          <w:sz w:val="24"/>
          <w:szCs w:val="26"/>
        </w:rPr>
        <w:t>ssentiellement</w:t>
      </w:r>
      <w:r w:rsidRPr="00215B3D">
        <w:rPr>
          <w:rFonts w:ascii="Segoe UI" w:hAnsi="Segoe UI" w:cs="Segoe UI"/>
          <w:sz w:val="24"/>
          <w:szCs w:val="26"/>
        </w:rPr>
        <w:t xml:space="preserve"> constituées</w:t>
      </w:r>
      <w:r w:rsidR="00967FE6" w:rsidRPr="00215B3D">
        <w:rPr>
          <w:rFonts w:ascii="Segoe UI" w:hAnsi="Segoe UI" w:cs="Segoe UI"/>
          <w:sz w:val="24"/>
          <w:szCs w:val="26"/>
        </w:rPr>
        <w:t xml:space="preserve"> </w:t>
      </w:r>
      <w:r w:rsidR="00E31160" w:rsidRPr="00215B3D">
        <w:rPr>
          <w:rFonts w:ascii="Segoe UI" w:hAnsi="Segoe UI" w:cs="Segoe UI"/>
          <w:sz w:val="24"/>
          <w:szCs w:val="26"/>
        </w:rPr>
        <w:t>des cotisations sur salaire et des validations de service</w:t>
      </w:r>
      <w:r w:rsidRPr="00215B3D">
        <w:rPr>
          <w:rFonts w:ascii="Segoe UI" w:hAnsi="Segoe UI" w:cs="Segoe UI"/>
          <w:sz w:val="24"/>
          <w:szCs w:val="26"/>
        </w:rPr>
        <w:t>,</w:t>
      </w:r>
      <w:r w:rsidR="00BA246D" w:rsidRPr="00215B3D">
        <w:rPr>
          <w:rFonts w:ascii="Segoe UI" w:hAnsi="Segoe UI" w:cs="Segoe UI"/>
          <w:sz w:val="24"/>
          <w:szCs w:val="26"/>
        </w:rPr>
        <w:t xml:space="preserve"> </w:t>
      </w:r>
      <w:r w:rsidRPr="00215B3D">
        <w:rPr>
          <w:rFonts w:ascii="Segoe UI" w:hAnsi="Segoe UI" w:cs="Segoe UI"/>
          <w:sz w:val="24"/>
          <w:szCs w:val="26"/>
        </w:rPr>
        <w:t xml:space="preserve">les recettes du </w:t>
      </w:r>
      <w:r w:rsidRPr="00215B3D">
        <w:rPr>
          <w:rFonts w:ascii="Segoe UI" w:hAnsi="Segoe UI" w:cs="Segoe UI"/>
          <w:b/>
          <w:sz w:val="24"/>
          <w:szCs w:val="26"/>
        </w:rPr>
        <w:t xml:space="preserve">Fonds National des Retraites du Bénin </w:t>
      </w:r>
      <w:r w:rsidR="00332F8C" w:rsidRPr="00215B3D">
        <w:rPr>
          <w:rFonts w:ascii="Segoe UI" w:hAnsi="Segoe UI" w:cs="Segoe UI"/>
          <w:sz w:val="24"/>
          <w:szCs w:val="26"/>
        </w:rPr>
        <w:t>(FNRB) ont été mobilisées pendant la période sous-revue,</w:t>
      </w:r>
      <w:r w:rsidRPr="00215B3D">
        <w:rPr>
          <w:rFonts w:ascii="Segoe UI" w:hAnsi="Segoe UI" w:cs="Segoe UI"/>
          <w:sz w:val="24"/>
          <w:szCs w:val="26"/>
        </w:rPr>
        <w:t xml:space="preserve"> </w:t>
      </w:r>
      <w:r w:rsidR="007D355D" w:rsidRPr="00215B3D">
        <w:rPr>
          <w:rFonts w:ascii="Segoe UI" w:hAnsi="Segoe UI" w:cs="Segoe UI"/>
          <w:sz w:val="24"/>
          <w:szCs w:val="26"/>
        </w:rPr>
        <w:t xml:space="preserve">à hauteur de 11 144,7 millions de FCFA </w:t>
      </w:r>
      <w:r w:rsidRPr="00215B3D">
        <w:rPr>
          <w:rFonts w:ascii="Segoe UI" w:hAnsi="Segoe UI" w:cs="Segoe UI"/>
          <w:sz w:val="24"/>
          <w:szCs w:val="26"/>
        </w:rPr>
        <w:t>s</w:t>
      </w:r>
      <w:r w:rsidR="00F031D6" w:rsidRPr="00215B3D">
        <w:rPr>
          <w:rFonts w:ascii="Segoe UI" w:hAnsi="Segoe UI" w:cs="Segoe UI"/>
          <w:sz w:val="24"/>
          <w:szCs w:val="26"/>
        </w:rPr>
        <w:t xml:space="preserve">ur une prévision annuelle de </w:t>
      </w:r>
      <w:r w:rsidRPr="00215B3D">
        <w:rPr>
          <w:rFonts w:ascii="Segoe UI" w:hAnsi="Segoe UI" w:cs="Segoe UI"/>
          <w:sz w:val="24"/>
          <w:szCs w:val="26"/>
        </w:rPr>
        <w:t>25 400</w:t>
      </w:r>
      <w:r w:rsidR="007D355D" w:rsidRPr="00215B3D">
        <w:rPr>
          <w:rFonts w:ascii="Segoe UI" w:hAnsi="Segoe UI" w:cs="Segoe UI"/>
          <w:sz w:val="24"/>
          <w:szCs w:val="26"/>
        </w:rPr>
        <w:t xml:space="preserve"> millions de FCFA.</w:t>
      </w:r>
      <w:r w:rsidR="00F13F72" w:rsidRPr="00215B3D">
        <w:rPr>
          <w:rFonts w:ascii="Segoe UI" w:hAnsi="Segoe UI" w:cs="Segoe UI"/>
          <w:sz w:val="24"/>
          <w:szCs w:val="26"/>
        </w:rPr>
        <w:t xml:space="preserve"> Ce niveau </w:t>
      </w:r>
      <w:r w:rsidR="0003701C" w:rsidRPr="00215B3D">
        <w:rPr>
          <w:rFonts w:ascii="Segoe UI" w:hAnsi="Segoe UI" w:cs="Segoe UI"/>
          <w:sz w:val="24"/>
          <w:szCs w:val="26"/>
        </w:rPr>
        <w:t>d</w:t>
      </w:r>
      <w:r w:rsidR="002C3569" w:rsidRPr="00215B3D">
        <w:rPr>
          <w:rFonts w:ascii="Segoe UI" w:hAnsi="Segoe UI" w:cs="Segoe UI"/>
          <w:sz w:val="24"/>
          <w:szCs w:val="26"/>
        </w:rPr>
        <w:t>es rec</w:t>
      </w:r>
      <w:r w:rsidR="0003701C" w:rsidRPr="00215B3D">
        <w:rPr>
          <w:rFonts w:ascii="Segoe UI" w:hAnsi="Segoe UI" w:cs="Segoe UI"/>
          <w:sz w:val="24"/>
          <w:szCs w:val="26"/>
        </w:rPr>
        <w:t>e</w:t>
      </w:r>
      <w:r w:rsidR="002C3569" w:rsidRPr="00215B3D">
        <w:rPr>
          <w:rFonts w:ascii="Segoe UI" w:hAnsi="Segoe UI" w:cs="Segoe UI"/>
          <w:sz w:val="24"/>
          <w:szCs w:val="26"/>
        </w:rPr>
        <w:t>ttes</w:t>
      </w:r>
      <w:r w:rsidR="0003701C" w:rsidRPr="00215B3D">
        <w:rPr>
          <w:rFonts w:ascii="Segoe UI" w:hAnsi="Segoe UI" w:cs="Segoe UI"/>
          <w:sz w:val="24"/>
          <w:szCs w:val="26"/>
        </w:rPr>
        <w:t xml:space="preserve"> correspond à un taux de réalisation</w:t>
      </w:r>
      <w:r w:rsidR="002C3569" w:rsidRPr="00215B3D">
        <w:rPr>
          <w:rFonts w:ascii="Segoe UI" w:hAnsi="Segoe UI" w:cs="Segoe UI"/>
          <w:sz w:val="24"/>
          <w:szCs w:val="26"/>
        </w:rPr>
        <w:t xml:space="preserve"> de 43,9% contre 40,1% à fin juin 2016</w:t>
      </w:r>
      <w:r w:rsidR="00122307" w:rsidRPr="00215B3D">
        <w:rPr>
          <w:rFonts w:ascii="Segoe UI" w:hAnsi="Segoe UI" w:cs="Segoe UI"/>
          <w:sz w:val="24"/>
          <w:szCs w:val="26"/>
        </w:rPr>
        <w:t>. On note ainsi, une hausse</w:t>
      </w:r>
      <w:r w:rsidR="002C3569" w:rsidRPr="00215B3D">
        <w:rPr>
          <w:rFonts w:ascii="Segoe UI" w:hAnsi="Segoe UI" w:cs="Segoe UI"/>
          <w:sz w:val="24"/>
          <w:szCs w:val="26"/>
        </w:rPr>
        <w:t xml:space="preserve"> de performance de 3,8 </w:t>
      </w:r>
      <w:r w:rsidR="00337720" w:rsidRPr="00215B3D">
        <w:rPr>
          <w:rFonts w:ascii="Segoe UI" w:hAnsi="Segoe UI" w:cs="Segoe UI"/>
          <w:sz w:val="24"/>
          <w:szCs w:val="26"/>
        </w:rPr>
        <w:t xml:space="preserve">points </w:t>
      </w:r>
      <w:r w:rsidR="00BF0275" w:rsidRPr="00215B3D">
        <w:rPr>
          <w:rFonts w:ascii="Segoe UI" w:hAnsi="Segoe UI" w:cs="Segoe UI"/>
          <w:sz w:val="24"/>
          <w:szCs w:val="26"/>
        </w:rPr>
        <w:t xml:space="preserve">de </w:t>
      </w:r>
      <w:r w:rsidR="003D6DEE" w:rsidRPr="00215B3D">
        <w:rPr>
          <w:rFonts w:ascii="Segoe UI" w:hAnsi="Segoe UI" w:cs="Segoe UI"/>
          <w:sz w:val="24"/>
          <w:szCs w:val="26"/>
        </w:rPr>
        <w:t>pourcentage</w:t>
      </w:r>
      <w:r w:rsidR="00332F8C" w:rsidRPr="00215B3D">
        <w:rPr>
          <w:rFonts w:ascii="Segoe UI" w:hAnsi="Segoe UI" w:cs="Segoe UI"/>
          <w:sz w:val="24"/>
          <w:szCs w:val="26"/>
        </w:rPr>
        <w:t>.</w:t>
      </w:r>
      <w:r w:rsidR="003D6DEE" w:rsidRPr="00215B3D">
        <w:rPr>
          <w:rFonts w:ascii="Segoe UI" w:hAnsi="Segoe UI" w:cs="Segoe UI"/>
          <w:sz w:val="24"/>
          <w:szCs w:val="26"/>
        </w:rPr>
        <w:t xml:space="preserve"> </w:t>
      </w:r>
      <w:r w:rsidR="00332F8C" w:rsidRPr="00215B3D">
        <w:rPr>
          <w:rFonts w:ascii="Segoe UI" w:hAnsi="Segoe UI" w:cs="Segoe UI"/>
          <w:b/>
          <w:i/>
          <w:sz w:val="24"/>
          <w:szCs w:val="26"/>
        </w:rPr>
        <w:t xml:space="preserve">L’amélioration ainsi constatée </w:t>
      </w:r>
      <w:r w:rsidR="000C6E3F" w:rsidRPr="00215B3D">
        <w:rPr>
          <w:rFonts w:ascii="Segoe UI" w:hAnsi="Segoe UI" w:cs="Segoe UI"/>
          <w:b/>
          <w:i/>
          <w:sz w:val="24"/>
          <w:szCs w:val="26"/>
        </w:rPr>
        <w:t xml:space="preserve">se justifie par </w:t>
      </w:r>
      <w:r w:rsidR="00122307" w:rsidRPr="00215B3D">
        <w:rPr>
          <w:rFonts w:ascii="Segoe UI" w:hAnsi="Segoe UI" w:cs="Segoe UI"/>
          <w:b/>
          <w:i/>
          <w:sz w:val="24"/>
          <w:szCs w:val="26"/>
        </w:rPr>
        <w:t>l’application des nouveaux taux de cotisation</w:t>
      </w:r>
      <w:r w:rsidR="00C33F48" w:rsidRPr="00215B3D">
        <w:rPr>
          <w:rFonts w:ascii="Segoe UI" w:hAnsi="Segoe UI" w:cs="Segoe UI"/>
          <w:b/>
          <w:i/>
          <w:sz w:val="24"/>
          <w:szCs w:val="26"/>
        </w:rPr>
        <w:t>, institués par la loi n° 20</w:t>
      </w:r>
      <w:r w:rsidR="00DF7EE1">
        <w:rPr>
          <w:rFonts w:ascii="Segoe UI" w:hAnsi="Segoe UI" w:cs="Segoe UI"/>
          <w:b/>
          <w:i/>
          <w:sz w:val="24"/>
          <w:szCs w:val="26"/>
        </w:rPr>
        <w:t>1</w:t>
      </w:r>
      <w:r w:rsidR="00C33F48" w:rsidRPr="00215B3D">
        <w:rPr>
          <w:rFonts w:ascii="Segoe UI" w:hAnsi="Segoe UI" w:cs="Segoe UI"/>
          <w:b/>
          <w:i/>
          <w:sz w:val="24"/>
          <w:szCs w:val="26"/>
        </w:rPr>
        <w:t xml:space="preserve">5-19 du </w:t>
      </w:r>
      <w:r w:rsidR="00CF5ACE">
        <w:rPr>
          <w:rFonts w:ascii="Segoe UI" w:hAnsi="Segoe UI" w:cs="Segoe UI"/>
          <w:b/>
          <w:i/>
          <w:sz w:val="24"/>
          <w:szCs w:val="26"/>
        </w:rPr>
        <w:t>0</w:t>
      </w:r>
      <w:r w:rsidR="00C33F48" w:rsidRPr="00215B3D">
        <w:rPr>
          <w:rFonts w:ascii="Segoe UI" w:hAnsi="Segoe UI" w:cs="Segoe UI"/>
          <w:b/>
          <w:i/>
          <w:sz w:val="24"/>
          <w:szCs w:val="26"/>
        </w:rPr>
        <w:t>2 avril 2015 modifiant et complétant la loi n</w:t>
      </w:r>
      <w:r w:rsidR="00624F9A">
        <w:rPr>
          <w:rFonts w:ascii="Segoe UI" w:hAnsi="Segoe UI" w:cs="Segoe UI"/>
          <w:b/>
          <w:i/>
          <w:sz w:val="24"/>
          <w:szCs w:val="26"/>
        </w:rPr>
        <w:t xml:space="preserve">° </w:t>
      </w:r>
      <w:r w:rsidR="00C33F48" w:rsidRPr="00215B3D">
        <w:rPr>
          <w:rFonts w:ascii="Segoe UI" w:hAnsi="Segoe UI" w:cs="Segoe UI"/>
          <w:b/>
          <w:i/>
          <w:sz w:val="24"/>
          <w:szCs w:val="26"/>
        </w:rPr>
        <w:t>86-014 du 26 septembre 1986 portant code des pensions civiles et militaires de retraite</w:t>
      </w:r>
      <w:r w:rsidR="00122307" w:rsidRPr="00215B3D">
        <w:rPr>
          <w:rFonts w:ascii="Segoe UI" w:hAnsi="Segoe UI" w:cs="Segoe UI"/>
          <w:b/>
          <w:i/>
          <w:sz w:val="24"/>
          <w:szCs w:val="26"/>
        </w:rPr>
        <w:t xml:space="preserve"> pour compter du mois d’avril 2017</w:t>
      </w:r>
      <w:r w:rsidR="0003024B">
        <w:rPr>
          <w:rFonts w:ascii="Segoe UI" w:hAnsi="Segoe UI" w:cs="Segoe UI"/>
          <w:b/>
          <w:i/>
          <w:sz w:val="24"/>
          <w:szCs w:val="26"/>
        </w:rPr>
        <w:t>. L’effet financier résulta</w:t>
      </w:r>
      <w:r w:rsidR="003B0795">
        <w:rPr>
          <w:rFonts w:ascii="Segoe UI" w:hAnsi="Segoe UI" w:cs="Segoe UI"/>
          <w:b/>
          <w:i/>
          <w:sz w:val="24"/>
          <w:szCs w:val="26"/>
        </w:rPr>
        <w:t>n</w:t>
      </w:r>
      <w:r w:rsidR="0003024B">
        <w:rPr>
          <w:rFonts w:ascii="Segoe UI" w:hAnsi="Segoe UI" w:cs="Segoe UI"/>
          <w:b/>
          <w:i/>
          <w:sz w:val="24"/>
          <w:szCs w:val="26"/>
        </w:rPr>
        <w:t>t de cette application est de 0,8 milliard en glissement annuel au titre du 1</w:t>
      </w:r>
      <w:r w:rsidR="0003024B" w:rsidRPr="0003024B">
        <w:rPr>
          <w:rFonts w:ascii="Segoe UI" w:hAnsi="Segoe UI" w:cs="Segoe UI"/>
          <w:b/>
          <w:i/>
          <w:sz w:val="24"/>
          <w:szCs w:val="26"/>
          <w:vertAlign w:val="superscript"/>
        </w:rPr>
        <w:t>er</w:t>
      </w:r>
      <w:r w:rsidR="0003024B">
        <w:rPr>
          <w:rFonts w:ascii="Segoe UI" w:hAnsi="Segoe UI" w:cs="Segoe UI"/>
          <w:b/>
          <w:i/>
          <w:sz w:val="24"/>
          <w:szCs w:val="26"/>
        </w:rPr>
        <w:t xml:space="preserve"> semestre.</w:t>
      </w:r>
      <w:r w:rsidR="00DF7EE1">
        <w:rPr>
          <w:rFonts w:ascii="Segoe UI" w:hAnsi="Segoe UI" w:cs="Segoe UI"/>
          <w:b/>
          <w:i/>
          <w:sz w:val="24"/>
          <w:szCs w:val="26"/>
        </w:rPr>
        <w:t xml:space="preserve"> </w:t>
      </w:r>
    </w:p>
    <w:p w:rsidR="00996979" w:rsidRDefault="00116F45" w:rsidP="00900CAA">
      <w:pPr>
        <w:spacing w:after="0" w:line="360" w:lineRule="auto"/>
        <w:jc w:val="both"/>
        <w:rPr>
          <w:rFonts w:ascii="Segoe UI" w:hAnsi="Segoe UI" w:cs="Segoe UI"/>
          <w:sz w:val="24"/>
          <w:szCs w:val="26"/>
        </w:rPr>
      </w:pPr>
      <w:r w:rsidRPr="00215B3D">
        <w:rPr>
          <w:rFonts w:ascii="Segoe UI" w:hAnsi="Segoe UI" w:cs="Segoe UI"/>
          <w:sz w:val="24"/>
          <w:szCs w:val="26"/>
        </w:rPr>
        <w:t>Les recettes enregistrées par le</w:t>
      </w:r>
      <w:r w:rsidRPr="00215B3D">
        <w:rPr>
          <w:rFonts w:ascii="Segoe UI" w:hAnsi="Segoe UI" w:cs="Segoe UI"/>
          <w:b/>
          <w:sz w:val="24"/>
          <w:szCs w:val="26"/>
        </w:rPr>
        <w:t xml:space="preserve"> Fonds Routier</w:t>
      </w:r>
      <w:r w:rsidRPr="00215B3D">
        <w:rPr>
          <w:rFonts w:ascii="Segoe UI" w:hAnsi="Segoe UI" w:cs="Segoe UI"/>
          <w:sz w:val="24"/>
          <w:szCs w:val="26"/>
        </w:rPr>
        <w:t xml:space="preserve"> (FR), à fin juin 2017 affichent un montant de </w:t>
      </w:r>
      <w:r w:rsidR="00EC08ED" w:rsidRPr="00215B3D">
        <w:rPr>
          <w:rFonts w:ascii="Segoe UI" w:hAnsi="Segoe UI" w:cs="Segoe UI"/>
          <w:b/>
          <w:sz w:val="24"/>
          <w:szCs w:val="26"/>
        </w:rPr>
        <w:t>1 95</w:t>
      </w:r>
      <w:r w:rsidR="00122307" w:rsidRPr="00215B3D">
        <w:rPr>
          <w:rFonts w:ascii="Segoe UI" w:hAnsi="Segoe UI" w:cs="Segoe UI"/>
          <w:b/>
          <w:sz w:val="24"/>
          <w:szCs w:val="26"/>
        </w:rPr>
        <w:t>6,9</w:t>
      </w:r>
      <w:r w:rsidR="003E7DB7" w:rsidRPr="00215B3D">
        <w:rPr>
          <w:rFonts w:ascii="Segoe UI" w:hAnsi="Segoe UI" w:cs="Segoe UI"/>
          <w:b/>
          <w:sz w:val="24"/>
          <w:szCs w:val="26"/>
        </w:rPr>
        <w:t xml:space="preserve"> millions de FCFA</w:t>
      </w:r>
      <w:r w:rsidR="00B065B2" w:rsidRPr="00215B3D">
        <w:rPr>
          <w:rFonts w:ascii="Segoe UI" w:hAnsi="Segoe UI" w:cs="Segoe UI"/>
          <w:sz w:val="24"/>
          <w:szCs w:val="26"/>
        </w:rPr>
        <w:t xml:space="preserve"> sur une prévision annuelle de </w:t>
      </w:r>
      <w:r w:rsidR="00122307" w:rsidRPr="00215B3D">
        <w:rPr>
          <w:rFonts w:ascii="Segoe UI" w:hAnsi="Segoe UI" w:cs="Segoe UI"/>
          <w:sz w:val="24"/>
          <w:szCs w:val="26"/>
        </w:rPr>
        <w:t>4 400</w:t>
      </w:r>
      <w:r w:rsidR="00B065B2" w:rsidRPr="00215B3D">
        <w:rPr>
          <w:rFonts w:ascii="Segoe UI" w:hAnsi="Segoe UI" w:cs="Segoe UI"/>
          <w:sz w:val="24"/>
          <w:szCs w:val="26"/>
        </w:rPr>
        <w:t xml:space="preserve"> millions de FCFA</w:t>
      </w:r>
      <w:r w:rsidR="00BA246D" w:rsidRPr="00215B3D">
        <w:rPr>
          <w:rFonts w:ascii="Segoe UI" w:hAnsi="Segoe UI" w:cs="Segoe UI"/>
          <w:sz w:val="24"/>
          <w:szCs w:val="26"/>
        </w:rPr>
        <w:t xml:space="preserve"> </w:t>
      </w:r>
      <w:r w:rsidR="00D7743D" w:rsidRPr="00215B3D">
        <w:rPr>
          <w:rFonts w:ascii="Segoe UI" w:hAnsi="Segoe UI" w:cs="Segoe UI"/>
          <w:sz w:val="24"/>
          <w:szCs w:val="26"/>
        </w:rPr>
        <w:t xml:space="preserve">contre </w:t>
      </w:r>
      <w:r w:rsidR="00122307" w:rsidRPr="00215B3D">
        <w:rPr>
          <w:rFonts w:ascii="Segoe UI" w:hAnsi="Segoe UI" w:cs="Segoe UI"/>
          <w:sz w:val="24"/>
          <w:szCs w:val="26"/>
        </w:rPr>
        <w:t>2 049,2</w:t>
      </w:r>
      <w:r w:rsidR="00BA246D" w:rsidRPr="00215B3D">
        <w:rPr>
          <w:rFonts w:ascii="Segoe UI" w:hAnsi="Segoe UI" w:cs="Segoe UI"/>
          <w:sz w:val="24"/>
          <w:szCs w:val="26"/>
        </w:rPr>
        <w:t xml:space="preserve"> </w:t>
      </w:r>
      <w:r w:rsidR="00D7743D" w:rsidRPr="00215B3D">
        <w:rPr>
          <w:rFonts w:ascii="Segoe UI" w:hAnsi="Segoe UI" w:cs="Segoe UI"/>
          <w:sz w:val="24"/>
          <w:szCs w:val="26"/>
        </w:rPr>
        <w:t>millions de FCFA</w:t>
      </w:r>
      <w:r w:rsidR="00B065B2" w:rsidRPr="00215B3D">
        <w:rPr>
          <w:rFonts w:ascii="Segoe UI" w:hAnsi="Segoe UI" w:cs="Segoe UI"/>
          <w:sz w:val="24"/>
          <w:szCs w:val="26"/>
        </w:rPr>
        <w:t xml:space="preserve"> réalisés à la même période</w:t>
      </w:r>
      <w:r w:rsidR="00BA246D" w:rsidRPr="00215B3D">
        <w:rPr>
          <w:rFonts w:ascii="Segoe UI" w:hAnsi="Segoe UI" w:cs="Segoe UI"/>
          <w:sz w:val="24"/>
          <w:szCs w:val="26"/>
        </w:rPr>
        <w:t xml:space="preserve"> </w:t>
      </w:r>
      <w:r w:rsidR="00886123" w:rsidRPr="00215B3D">
        <w:rPr>
          <w:rFonts w:ascii="Segoe UI" w:hAnsi="Segoe UI" w:cs="Segoe UI"/>
          <w:sz w:val="24"/>
          <w:szCs w:val="26"/>
        </w:rPr>
        <w:t>s</w:t>
      </w:r>
      <w:r w:rsidR="00967FE6" w:rsidRPr="00215B3D">
        <w:rPr>
          <w:rFonts w:ascii="Segoe UI" w:hAnsi="Segoe UI" w:cs="Segoe UI"/>
          <w:sz w:val="24"/>
          <w:szCs w:val="26"/>
        </w:rPr>
        <w:t xml:space="preserve">ur un objectif annuel </w:t>
      </w:r>
      <w:r w:rsidR="00886123" w:rsidRPr="00215B3D">
        <w:rPr>
          <w:rFonts w:ascii="Segoe UI" w:hAnsi="Segoe UI" w:cs="Segoe UI"/>
          <w:sz w:val="24"/>
          <w:szCs w:val="26"/>
        </w:rPr>
        <w:t>de</w:t>
      </w:r>
    </w:p>
    <w:p w:rsidR="003D6DEE" w:rsidRPr="00215B3D" w:rsidRDefault="00886123" w:rsidP="00900CAA">
      <w:pPr>
        <w:spacing w:after="0" w:line="360" w:lineRule="auto"/>
        <w:jc w:val="both"/>
        <w:rPr>
          <w:rFonts w:ascii="Segoe UI" w:hAnsi="Segoe UI" w:cs="Segoe UI"/>
          <w:sz w:val="24"/>
          <w:szCs w:val="26"/>
        </w:rPr>
      </w:pPr>
      <w:r w:rsidRPr="00215B3D">
        <w:rPr>
          <w:rFonts w:ascii="Segoe UI" w:hAnsi="Segoe UI" w:cs="Segoe UI"/>
          <w:sz w:val="24"/>
          <w:szCs w:val="26"/>
        </w:rPr>
        <w:t xml:space="preserve"> </w:t>
      </w:r>
      <w:r w:rsidRPr="00215B3D">
        <w:rPr>
          <w:rFonts w:ascii="Segoe UI" w:hAnsi="Segoe UI" w:cs="Segoe UI"/>
          <w:b/>
          <w:sz w:val="24"/>
          <w:szCs w:val="26"/>
        </w:rPr>
        <w:t>3</w:t>
      </w:r>
      <w:r w:rsidR="00122307" w:rsidRPr="00215B3D">
        <w:rPr>
          <w:rFonts w:ascii="Segoe UI" w:hAnsi="Segoe UI" w:cs="Segoe UI"/>
          <w:b/>
          <w:sz w:val="24"/>
          <w:szCs w:val="26"/>
        </w:rPr>
        <w:t xml:space="preserve"> 456</w:t>
      </w:r>
      <w:r w:rsidR="00BA246D" w:rsidRPr="00215B3D">
        <w:rPr>
          <w:rFonts w:ascii="Segoe UI" w:hAnsi="Segoe UI" w:cs="Segoe UI"/>
          <w:b/>
          <w:sz w:val="24"/>
          <w:szCs w:val="26"/>
        </w:rPr>
        <w:t xml:space="preserve"> </w:t>
      </w:r>
      <w:r w:rsidRPr="00215B3D">
        <w:rPr>
          <w:rFonts w:ascii="Segoe UI" w:hAnsi="Segoe UI" w:cs="Segoe UI"/>
          <w:b/>
          <w:sz w:val="24"/>
          <w:szCs w:val="26"/>
        </w:rPr>
        <w:t>millions de FCFA</w:t>
      </w:r>
      <w:r w:rsidR="00B065B2" w:rsidRPr="00215B3D">
        <w:rPr>
          <w:rFonts w:ascii="Segoe UI" w:hAnsi="Segoe UI" w:cs="Segoe UI"/>
          <w:sz w:val="24"/>
          <w:szCs w:val="26"/>
        </w:rPr>
        <w:t xml:space="preserve"> en 201</w:t>
      </w:r>
      <w:r w:rsidR="00122307" w:rsidRPr="00215B3D">
        <w:rPr>
          <w:rFonts w:ascii="Segoe UI" w:hAnsi="Segoe UI" w:cs="Segoe UI"/>
          <w:sz w:val="24"/>
          <w:szCs w:val="26"/>
        </w:rPr>
        <w:t>6</w:t>
      </w:r>
      <w:r w:rsidR="00D7743D" w:rsidRPr="00215B3D">
        <w:rPr>
          <w:rFonts w:ascii="Segoe UI" w:hAnsi="Segoe UI" w:cs="Segoe UI"/>
          <w:sz w:val="24"/>
          <w:szCs w:val="26"/>
        </w:rPr>
        <w:t xml:space="preserve">. </w:t>
      </w:r>
      <w:r w:rsidRPr="00215B3D">
        <w:rPr>
          <w:rFonts w:ascii="Segoe UI" w:hAnsi="Segoe UI" w:cs="Segoe UI"/>
          <w:sz w:val="24"/>
          <w:szCs w:val="26"/>
        </w:rPr>
        <w:t xml:space="preserve">Les </w:t>
      </w:r>
      <w:r w:rsidR="00963507" w:rsidRPr="00215B3D">
        <w:rPr>
          <w:rFonts w:ascii="Segoe UI" w:hAnsi="Segoe UI" w:cs="Segoe UI"/>
          <w:sz w:val="24"/>
          <w:szCs w:val="26"/>
        </w:rPr>
        <w:t>taux de recouvrement</w:t>
      </w:r>
      <w:r w:rsidR="00BA246D" w:rsidRPr="00215B3D">
        <w:rPr>
          <w:rFonts w:ascii="Segoe UI" w:hAnsi="Segoe UI" w:cs="Segoe UI"/>
          <w:sz w:val="24"/>
          <w:szCs w:val="26"/>
        </w:rPr>
        <w:t xml:space="preserve"> </w:t>
      </w:r>
      <w:r w:rsidR="00904C77" w:rsidRPr="00215B3D">
        <w:rPr>
          <w:rFonts w:ascii="Segoe UI" w:hAnsi="Segoe UI" w:cs="Segoe UI"/>
          <w:sz w:val="24"/>
          <w:szCs w:val="26"/>
        </w:rPr>
        <w:t xml:space="preserve">affichés </w:t>
      </w:r>
      <w:r w:rsidR="00967FE6" w:rsidRPr="00215B3D">
        <w:rPr>
          <w:rFonts w:ascii="Segoe UI" w:hAnsi="Segoe UI" w:cs="Segoe UI"/>
          <w:sz w:val="24"/>
          <w:szCs w:val="26"/>
        </w:rPr>
        <w:t>en 201</w:t>
      </w:r>
      <w:r w:rsidR="00122307" w:rsidRPr="00215B3D">
        <w:rPr>
          <w:rFonts w:ascii="Segoe UI" w:hAnsi="Segoe UI" w:cs="Segoe UI"/>
          <w:sz w:val="24"/>
          <w:szCs w:val="26"/>
        </w:rPr>
        <w:t>7</w:t>
      </w:r>
      <w:r w:rsidR="00967FE6" w:rsidRPr="00215B3D">
        <w:rPr>
          <w:rFonts w:ascii="Segoe UI" w:hAnsi="Segoe UI" w:cs="Segoe UI"/>
          <w:sz w:val="24"/>
          <w:szCs w:val="26"/>
        </w:rPr>
        <w:t xml:space="preserve"> et 201</w:t>
      </w:r>
      <w:r w:rsidR="00122307" w:rsidRPr="00215B3D">
        <w:rPr>
          <w:rFonts w:ascii="Segoe UI" w:hAnsi="Segoe UI" w:cs="Segoe UI"/>
          <w:sz w:val="24"/>
          <w:szCs w:val="26"/>
        </w:rPr>
        <w:t>6</w:t>
      </w:r>
      <w:r w:rsidR="00967FE6" w:rsidRPr="00215B3D">
        <w:rPr>
          <w:rFonts w:ascii="Segoe UI" w:hAnsi="Segoe UI" w:cs="Segoe UI"/>
          <w:sz w:val="24"/>
          <w:szCs w:val="26"/>
        </w:rPr>
        <w:t xml:space="preserve"> </w:t>
      </w:r>
      <w:r w:rsidR="009216F5" w:rsidRPr="00215B3D">
        <w:rPr>
          <w:rFonts w:ascii="Segoe UI" w:hAnsi="Segoe UI" w:cs="Segoe UI"/>
          <w:sz w:val="24"/>
          <w:szCs w:val="26"/>
        </w:rPr>
        <w:t xml:space="preserve">sont </w:t>
      </w:r>
      <w:r w:rsidR="00963507" w:rsidRPr="00215B3D">
        <w:rPr>
          <w:rFonts w:ascii="Segoe UI" w:hAnsi="Segoe UI" w:cs="Segoe UI"/>
          <w:sz w:val="24"/>
          <w:szCs w:val="26"/>
        </w:rPr>
        <w:t>respe</w:t>
      </w:r>
      <w:r w:rsidR="000A38B0" w:rsidRPr="00215B3D">
        <w:rPr>
          <w:rFonts w:ascii="Segoe UI" w:hAnsi="Segoe UI" w:cs="Segoe UI"/>
          <w:sz w:val="24"/>
          <w:szCs w:val="26"/>
        </w:rPr>
        <w:t xml:space="preserve">ctivement </w:t>
      </w:r>
      <w:r w:rsidR="00904C77" w:rsidRPr="00215B3D">
        <w:rPr>
          <w:rFonts w:ascii="Segoe UI" w:hAnsi="Segoe UI" w:cs="Segoe UI"/>
          <w:sz w:val="24"/>
          <w:szCs w:val="26"/>
        </w:rPr>
        <w:t>de</w:t>
      </w:r>
      <w:r w:rsidR="00BA246D" w:rsidRPr="00215B3D">
        <w:rPr>
          <w:rFonts w:ascii="Segoe UI" w:hAnsi="Segoe UI" w:cs="Segoe UI"/>
          <w:sz w:val="24"/>
          <w:szCs w:val="26"/>
        </w:rPr>
        <w:t xml:space="preserve"> </w:t>
      </w:r>
      <w:r w:rsidR="00122307" w:rsidRPr="00215B3D">
        <w:rPr>
          <w:rFonts w:ascii="Segoe UI" w:hAnsi="Segoe UI" w:cs="Segoe UI"/>
          <w:b/>
          <w:sz w:val="24"/>
          <w:szCs w:val="26"/>
        </w:rPr>
        <w:t>44,5</w:t>
      </w:r>
      <w:r w:rsidR="00241192" w:rsidRPr="00215B3D">
        <w:rPr>
          <w:rFonts w:ascii="Segoe UI" w:hAnsi="Segoe UI" w:cs="Segoe UI"/>
          <w:b/>
          <w:sz w:val="24"/>
          <w:szCs w:val="26"/>
        </w:rPr>
        <w:t>%</w:t>
      </w:r>
      <w:r w:rsidR="00241192" w:rsidRPr="00215B3D">
        <w:rPr>
          <w:rFonts w:ascii="Segoe UI" w:hAnsi="Segoe UI" w:cs="Segoe UI"/>
          <w:sz w:val="24"/>
          <w:szCs w:val="26"/>
        </w:rPr>
        <w:t xml:space="preserve"> </w:t>
      </w:r>
      <w:r w:rsidR="00963507" w:rsidRPr="00215B3D">
        <w:rPr>
          <w:rFonts w:ascii="Segoe UI" w:hAnsi="Segoe UI" w:cs="Segoe UI"/>
          <w:sz w:val="24"/>
          <w:szCs w:val="26"/>
        </w:rPr>
        <w:t xml:space="preserve">et </w:t>
      </w:r>
      <w:r w:rsidR="00122307" w:rsidRPr="003B0795">
        <w:rPr>
          <w:rFonts w:ascii="Segoe UI" w:hAnsi="Segoe UI" w:cs="Segoe UI"/>
          <w:b/>
          <w:sz w:val="24"/>
          <w:szCs w:val="26"/>
        </w:rPr>
        <w:t>5</w:t>
      </w:r>
      <w:r w:rsidR="00183270" w:rsidRPr="003B0795">
        <w:rPr>
          <w:rFonts w:ascii="Segoe UI" w:hAnsi="Segoe UI" w:cs="Segoe UI"/>
          <w:b/>
          <w:sz w:val="24"/>
          <w:szCs w:val="26"/>
        </w:rPr>
        <w:t>9</w:t>
      </w:r>
      <w:r w:rsidR="00122307" w:rsidRPr="003B0795">
        <w:rPr>
          <w:rFonts w:ascii="Segoe UI" w:hAnsi="Segoe UI" w:cs="Segoe UI"/>
          <w:b/>
          <w:sz w:val="24"/>
          <w:szCs w:val="26"/>
        </w:rPr>
        <w:t>,3</w:t>
      </w:r>
      <w:r w:rsidR="00241192" w:rsidRPr="003B0795">
        <w:rPr>
          <w:rFonts w:ascii="Segoe UI" w:hAnsi="Segoe UI" w:cs="Segoe UI"/>
          <w:b/>
          <w:sz w:val="24"/>
          <w:szCs w:val="26"/>
        </w:rPr>
        <w:t>%</w:t>
      </w:r>
      <w:r w:rsidR="006B11D5" w:rsidRPr="003B0795">
        <w:rPr>
          <w:rFonts w:ascii="Segoe UI" w:hAnsi="Segoe UI" w:cs="Segoe UI"/>
          <w:b/>
          <w:sz w:val="24"/>
          <w:szCs w:val="26"/>
        </w:rPr>
        <w:t>.</w:t>
      </w:r>
      <w:r w:rsidR="00241192" w:rsidRPr="00215B3D">
        <w:rPr>
          <w:rFonts w:ascii="Segoe UI" w:hAnsi="Segoe UI" w:cs="Segoe UI"/>
          <w:sz w:val="24"/>
          <w:szCs w:val="26"/>
        </w:rPr>
        <w:t xml:space="preserve"> </w:t>
      </w:r>
    </w:p>
    <w:p w:rsidR="003D6DEE" w:rsidRPr="00215B3D" w:rsidRDefault="00D1625F" w:rsidP="00F90393">
      <w:pPr>
        <w:spacing w:after="0" w:line="360" w:lineRule="auto"/>
        <w:jc w:val="both"/>
        <w:rPr>
          <w:rFonts w:ascii="Segoe UI" w:hAnsi="Segoe UI" w:cs="Segoe UI"/>
          <w:color w:val="FF0000"/>
          <w:sz w:val="24"/>
          <w:szCs w:val="26"/>
        </w:rPr>
      </w:pPr>
      <w:r w:rsidRPr="00215B3D">
        <w:rPr>
          <w:rFonts w:ascii="Segoe UI" w:hAnsi="Segoe UI" w:cs="Segoe UI"/>
          <w:sz w:val="24"/>
          <w:szCs w:val="26"/>
        </w:rPr>
        <w:t xml:space="preserve">Cette performance est </w:t>
      </w:r>
      <w:r w:rsidR="007C2EAC">
        <w:rPr>
          <w:rFonts w:ascii="Segoe UI" w:hAnsi="Segoe UI" w:cs="Segoe UI"/>
          <w:sz w:val="24"/>
          <w:szCs w:val="26"/>
        </w:rPr>
        <w:t xml:space="preserve">fortement </w:t>
      </w:r>
      <w:r w:rsidRPr="00215B3D">
        <w:rPr>
          <w:rFonts w:ascii="Segoe UI" w:hAnsi="Segoe UI" w:cs="Segoe UI"/>
          <w:sz w:val="24"/>
          <w:szCs w:val="26"/>
        </w:rPr>
        <w:t xml:space="preserve">liée aux recettes diverses des produits financiers (276,11%) et aux ressources du poste de péage de </w:t>
      </w:r>
      <w:proofErr w:type="spellStart"/>
      <w:r w:rsidRPr="00215B3D">
        <w:rPr>
          <w:rFonts w:ascii="Segoe UI" w:hAnsi="Segoe UI" w:cs="Segoe UI"/>
          <w:sz w:val="24"/>
          <w:szCs w:val="26"/>
        </w:rPr>
        <w:t>Kpédékpo</w:t>
      </w:r>
      <w:proofErr w:type="spellEnd"/>
      <w:r w:rsidRPr="00215B3D">
        <w:rPr>
          <w:rFonts w:ascii="Segoe UI" w:hAnsi="Segoe UI" w:cs="Segoe UI"/>
          <w:sz w:val="24"/>
          <w:szCs w:val="26"/>
        </w:rPr>
        <w:t xml:space="preserve"> (98,81%). </w:t>
      </w:r>
    </w:p>
    <w:p w:rsidR="0073644C" w:rsidRPr="00624F9A" w:rsidRDefault="0073644C" w:rsidP="0073644C">
      <w:pPr>
        <w:spacing w:after="0" w:line="360" w:lineRule="auto"/>
        <w:jc w:val="both"/>
        <w:rPr>
          <w:rFonts w:ascii="Segoe UI" w:hAnsi="Segoe UI" w:cs="Segoe UI"/>
          <w:sz w:val="6"/>
          <w:szCs w:val="26"/>
        </w:rPr>
      </w:pPr>
    </w:p>
    <w:p w:rsidR="00060D5D" w:rsidRPr="00215B3D" w:rsidRDefault="00060D5D" w:rsidP="00060D5D">
      <w:pPr>
        <w:spacing w:after="0" w:line="360" w:lineRule="auto"/>
        <w:jc w:val="both"/>
        <w:rPr>
          <w:rFonts w:ascii="Segoe UI" w:hAnsi="Segoe UI" w:cs="Segoe UI"/>
          <w:b/>
          <w:i/>
          <w:sz w:val="24"/>
          <w:szCs w:val="26"/>
        </w:rPr>
      </w:pPr>
      <w:r w:rsidRPr="00C849D8">
        <w:rPr>
          <w:rFonts w:ascii="Segoe UI" w:hAnsi="Segoe UI" w:cs="Segoe UI"/>
          <w:b/>
          <w:sz w:val="24"/>
          <w:szCs w:val="26"/>
        </w:rPr>
        <w:t xml:space="preserve">La </w:t>
      </w:r>
      <w:r w:rsidRPr="00C849D8">
        <w:rPr>
          <w:rFonts w:ascii="Segoe UI" w:hAnsi="Segoe UI" w:cs="Segoe UI"/>
          <w:b/>
          <w:sz w:val="24"/>
          <w:szCs w:val="24"/>
        </w:rPr>
        <w:t>Caisse Autonome d’Amortissement (CAA)</w:t>
      </w:r>
      <w:r w:rsidRPr="00C849D8">
        <w:rPr>
          <w:rFonts w:ascii="Segoe UI" w:hAnsi="Segoe UI" w:cs="Segoe UI"/>
          <w:sz w:val="24"/>
          <w:szCs w:val="24"/>
        </w:rPr>
        <w:t xml:space="preserve"> affiche un taux d’exécution en recettes et en dépenses respectivement de 534,7% et 42%. La mobilisation des recettes propres de la CAA à cette hauteur s’explique, entre autres, par (i) le recouvrement de la dette de la CEB envers l’Etat (6,3 milliards) d’une part, et de la Poste du Bénin vis-à-vis de la CAA (1,1 milliard) d’autre part ; (ii) le recouvrement des arriérés dus par la SBEE (9 </w:t>
      </w:r>
      <w:r w:rsidRPr="00C849D8">
        <w:rPr>
          <w:rFonts w:ascii="Segoe UI" w:hAnsi="Segoe UI" w:cs="Segoe UI"/>
          <w:sz w:val="24"/>
          <w:szCs w:val="24"/>
        </w:rPr>
        <w:lastRenderedPageBreak/>
        <w:t>milliards) et (iii) les remboursements effectués par les institutions de micro finances (1,3 milliard).</w:t>
      </w:r>
    </w:p>
    <w:p w:rsidR="000C3155" w:rsidRPr="00215B3D" w:rsidRDefault="000C3155" w:rsidP="0073644C">
      <w:pPr>
        <w:spacing w:after="0" w:line="360" w:lineRule="auto"/>
        <w:jc w:val="both"/>
        <w:rPr>
          <w:rFonts w:ascii="Segoe UI" w:hAnsi="Segoe UI" w:cs="Segoe UI"/>
          <w:sz w:val="2"/>
          <w:szCs w:val="26"/>
        </w:rPr>
      </w:pPr>
    </w:p>
    <w:p w:rsidR="008253BA" w:rsidRPr="00215B3D" w:rsidRDefault="007E3BE0" w:rsidP="0073644C">
      <w:pPr>
        <w:spacing w:after="0" w:line="360" w:lineRule="auto"/>
        <w:jc w:val="both"/>
        <w:rPr>
          <w:rFonts w:ascii="Segoe UI" w:hAnsi="Segoe UI" w:cs="Segoe UI"/>
          <w:sz w:val="24"/>
          <w:szCs w:val="26"/>
        </w:rPr>
      </w:pPr>
      <w:r>
        <w:rPr>
          <w:rFonts w:ascii="Segoe UI" w:hAnsi="Segoe UI" w:cs="Segoe UI"/>
          <w:sz w:val="24"/>
          <w:szCs w:val="26"/>
        </w:rPr>
        <w:t>Le tableau n°4</w:t>
      </w:r>
      <w:r w:rsidR="0035521D" w:rsidRPr="00215B3D">
        <w:rPr>
          <w:rFonts w:ascii="Segoe UI" w:hAnsi="Segoe UI" w:cs="Segoe UI"/>
          <w:sz w:val="24"/>
          <w:szCs w:val="26"/>
        </w:rPr>
        <w:t xml:space="preserve"> ci-dessous récapitule</w:t>
      </w:r>
      <w:r w:rsidR="00BA246D" w:rsidRPr="00215B3D">
        <w:rPr>
          <w:rFonts w:ascii="Segoe UI" w:hAnsi="Segoe UI" w:cs="Segoe UI"/>
          <w:sz w:val="24"/>
          <w:szCs w:val="26"/>
        </w:rPr>
        <w:t xml:space="preserve"> </w:t>
      </w:r>
      <w:r w:rsidR="0035521D" w:rsidRPr="00215B3D">
        <w:rPr>
          <w:rFonts w:ascii="Segoe UI" w:hAnsi="Segoe UI" w:cs="Segoe UI"/>
          <w:sz w:val="24"/>
          <w:szCs w:val="26"/>
        </w:rPr>
        <w:t>l</w:t>
      </w:r>
      <w:r w:rsidR="00456B26" w:rsidRPr="00215B3D">
        <w:rPr>
          <w:rFonts w:ascii="Segoe UI" w:hAnsi="Segoe UI" w:cs="Segoe UI"/>
          <w:sz w:val="24"/>
          <w:szCs w:val="26"/>
        </w:rPr>
        <w:t>es réalisations au 3</w:t>
      </w:r>
      <w:r w:rsidR="00E57185" w:rsidRPr="00215B3D">
        <w:rPr>
          <w:rFonts w:ascii="Segoe UI" w:hAnsi="Segoe UI" w:cs="Segoe UI"/>
          <w:sz w:val="24"/>
          <w:szCs w:val="26"/>
        </w:rPr>
        <w:t xml:space="preserve">0 </w:t>
      </w:r>
      <w:r w:rsidR="00774E13" w:rsidRPr="00215B3D">
        <w:rPr>
          <w:rFonts w:ascii="Segoe UI" w:hAnsi="Segoe UI" w:cs="Segoe UI"/>
          <w:sz w:val="24"/>
          <w:szCs w:val="26"/>
        </w:rPr>
        <w:t>juin</w:t>
      </w:r>
      <w:r w:rsidR="00456B26" w:rsidRPr="00215B3D">
        <w:rPr>
          <w:rFonts w:ascii="Segoe UI" w:hAnsi="Segoe UI" w:cs="Segoe UI"/>
          <w:sz w:val="24"/>
          <w:szCs w:val="26"/>
        </w:rPr>
        <w:t xml:space="preserve"> 201</w:t>
      </w:r>
      <w:r w:rsidR="00774E13" w:rsidRPr="00215B3D">
        <w:rPr>
          <w:rFonts w:ascii="Segoe UI" w:hAnsi="Segoe UI" w:cs="Segoe UI"/>
          <w:sz w:val="24"/>
          <w:szCs w:val="26"/>
        </w:rPr>
        <w:t>6</w:t>
      </w:r>
      <w:r w:rsidR="00456B26" w:rsidRPr="00215B3D">
        <w:rPr>
          <w:rFonts w:ascii="Segoe UI" w:hAnsi="Segoe UI" w:cs="Segoe UI"/>
          <w:sz w:val="24"/>
          <w:szCs w:val="26"/>
        </w:rPr>
        <w:t xml:space="preserve"> e</w:t>
      </w:r>
      <w:r w:rsidR="0035521D" w:rsidRPr="00215B3D">
        <w:rPr>
          <w:rFonts w:ascii="Segoe UI" w:hAnsi="Segoe UI" w:cs="Segoe UI"/>
          <w:sz w:val="24"/>
          <w:szCs w:val="26"/>
        </w:rPr>
        <w:t>t 201</w:t>
      </w:r>
      <w:r w:rsidR="00E57185" w:rsidRPr="00215B3D">
        <w:rPr>
          <w:rFonts w:ascii="Segoe UI" w:hAnsi="Segoe UI" w:cs="Segoe UI"/>
          <w:sz w:val="24"/>
          <w:szCs w:val="26"/>
        </w:rPr>
        <w:t>7</w:t>
      </w:r>
      <w:r w:rsidR="0035521D" w:rsidRPr="00215B3D">
        <w:rPr>
          <w:rFonts w:ascii="Segoe UI" w:hAnsi="Segoe UI" w:cs="Segoe UI"/>
          <w:sz w:val="24"/>
          <w:szCs w:val="26"/>
        </w:rPr>
        <w:t xml:space="preserve"> de</w:t>
      </w:r>
      <w:r w:rsidR="004F008E" w:rsidRPr="00215B3D">
        <w:rPr>
          <w:rFonts w:ascii="Segoe UI" w:hAnsi="Segoe UI" w:cs="Segoe UI"/>
          <w:sz w:val="24"/>
          <w:szCs w:val="26"/>
        </w:rPr>
        <w:t>s recettes</w:t>
      </w:r>
      <w:r w:rsidR="00BA246D" w:rsidRPr="00215B3D">
        <w:rPr>
          <w:rFonts w:ascii="Segoe UI" w:hAnsi="Segoe UI" w:cs="Segoe UI"/>
          <w:sz w:val="24"/>
          <w:szCs w:val="26"/>
        </w:rPr>
        <w:t xml:space="preserve"> </w:t>
      </w:r>
      <w:r w:rsidR="004F008E" w:rsidRPr="00215B3D">
        <w:rPr>
          <w:rFonts w:ascii="Segoe UI" w:hAnsi="Segoe UI" w:cs="Segoe UI"/>
          <w:sz w:val="24"/>
          <w:szCs w:val="26"/>
        </w:rPr>
        <w:t>d</w:t>
      </w:r>
      <w:r w:rsidR="0035521D" w:rsidRPr="00215B3D">
        <w:rPr>
          <w:rFonts w:ascii="Segoe UI" w:hAnsi="Segoe UI" w:cs="Segoe UI"/>
          <w:sz w:val="24"/>
          <w:szCs w:val="26"/>
        </w:rPr>
        <w:t xml:space="preserve">es </w:t>
      </w:r>
      <w:r w:rsidR="0025437F" w:rsidRPr="00215B3D">
        <w:rPr>
          <w:rFonts w:ascii="Segoe UI" w:hAnsi="Segoe UI" w:cs="Segoe UI"/>
          <w:sz w:val="24"/>
          <w:szCs w:val="26"/>
        </w:rPr>
        <w:t>autres</w:t>
      </w:r>
      <w:r w:rsidR="0035521D" w:rsidRPr="00215B3D">
        <w:rPr>
          <w:rFonts w:ascii="Segoe UI" w:hAnsi="Segoe UI" w:cs="Segoe UI"/>
          <w:sz w:val="24"/>
          <w:szCs w:val="26"/>
        </w:rPr>
        <w:t xml:space="preserve"> budgets.</w:t>
      </w:r>
    </w:p>
    <w:p w:rsidR="00452CB4" w:rsidRPr="00215B3D" w:rsidRDefault="00452CB4" w:rsidP="0073644C">
      <w:pPr>
        <w:spacing w:after="0" w:line="360" w:lineRule="auto"/>
        <w:jc w:val="both"/>
        <w:rPr>
          <w:rFonts w:ascii="Segoe UI" w:hAnsi="Segoe UI" w:cs="Segoe UI"/>
          <w:sz w:val="2"/>
          <w:szCs w:val="16"/>
        </w:rPr>
      </w:pPr>
    </w:p>
    <w:p w:rsidR="006A2529" w:rsidRPr="00215B3D" w:rsidRDefault="00681182" w:rsidP="0074636F">
      <w:pPr>
        <w:pStyle w:val="Listedestableaux"/>
        <w:ind w:left="0"/>
        <w:rPr>
          <w:rFonts w:ascii="Segoe UI" w:hAnsi="Segoe UI" w:cs="Segoe UI"/>
        </w:rPr>
      </w:pPr>
      <w:bookmarkStart w:id="17" w:name="_Toc495935939"/>
      <w:r w:rsidRPr="00215B3D">
        <w:rPr>
          <w:rFonts w:ascii="Segoe UI" w:hAnsi="Segoe UI" w:cs="Segoe UI"/>
          <w:u w:val="single"/>
        </w:rPr>
        <w:t xml:space="preserve">Tableau </w:t>
      </w:r>
      <w:r w:rsidR="00807BBA">
        <w:rPr>
          <w:rFonts w:ascii="Segoe UI" w:hAnsi="Segoe UI" w:cs="Segoe UI"/>
          <w:u w:val="single"/>
        </w:rPr>
        <w:t>4</w:t>
      </w:r>
      <w:r w:rsidRPr="00215B3D">
        <w:rPr>
          <w:rFonts w:ascii="Segoe UI" w:hAnsi="Segoe UI" w:cs="Segoe UI"/>
          <w:u w:val="single"/>
        </w:rPr>
        <w:t> :</w:t>
      </w:r>
      <w:r w:rsidR="00BA246D" w:rsidRPr="00215B3D">
        <w:rPr>
          <w:rFonts w:ascii="Segoe UI" w:hAnsi="Segoe UI" w:cs="Segoe UI"/>
        </w:rPr>
        <w:t xml:space="preserve"> </w:t>
      </w:r>
      <w:r w:rsidR="00284EC1" w:rsidRPr="00215B3D">
        <w:rPr>
          <w:rFonts w:ascii="Segoe UI" w:hAnsi="Segoe UI" w:cs="Segoe UI"/>
        </w:rPr>
        <w:t xml:space="preserve">Evolution des réalisations des recettes du FNRB et des autres </w:t>
      </w:r>
      <w:r w:rsidR="00950E9C" w:rsidRPr="00215B3D">
        <w:rPr>
          <w:rFonts w:ascii="Segoe UI" w:hAnsi="Segoe UI" w:cs="Segoe UI"/>
        </w:rPr>
        <w:t>organism</w:t>
      </w:r>
      <w:r w:rsidR="00A45C09" w:rsidRPr="00215B3D">
        <w:rPr>
          <w:rFonts w:ascii="Segoe UI" w:hAnsi="Segoe UI" w:cs="Segoe UI"/>
        </w:rPr>
        <w:t>es publics</w:t>
      </w:r>
      <w:r w:rsidR="00BA246D" w:rsidRPr="00215B3D">
        <w:rPr>
          <w:rFonts w:ascii="Segoe UI" w:hAnsi="Segoe UI" w:cs="Segoe UI"/>
        </w:rPr>
        <w:t xml:space="preserve"> </w:t>
      </w:r>
      <w:r w:rsidR="00284EC1" w:rsidRPr="00215B3D">
        <w:rPr>
          <w:rFonts w:ascii="Segoe UI" w:hAnsi="Segoe UI" w:cs="Segoe UI"/>
        </w:rPr>
        <w:t>au 3</w:t>
      </w:r>
      <w:r w:rsidR="00BE0E9F" w:rsidRPr="00215B3D">
        <w:rPr>
          <w:rFonts w:ascii="Segoe UI" w:hAnsi="Segoe UI" w:cs="Segoe UI"/>
        </w:rPr>
        <w:t>0 juin</w:t>
      </w:r>
      <w:r w:rsidR="00284EC1" w:rsidRPr="00215B3D">
        <w:rPr>
          <w:rFonts w:ascii="Segoe UI" w:hAnsi="Segoe UI" w:cs="Segoe UI"/>
        </w:rPr>
        <w:t xml:space="preserve"> 201</w:t>
      </w:r>
      <w:r w:rsidR="00BE0E9F" w:rsidRPr="00215B3D">
        <w:rPr>
          <w:rFonts w:ascii="Segoe UI" w:hAnsi="Segoe UI" w:cs="Segoe UI"/>
        </w:rPr>
        <w:t>6</w:t>
      </w:r>
      <w:r w:rsidR="00284EC1" w:rsidRPr="00215B3D">
        <w:rPr>
          <w:rFonts w:ascii="Segoe UI" w:hAnsi="Segoe UI" w:cs="Segoe UI"/>
        </w:rPr>
        <w:t xml:space="preserve"> et 201</w:t>
      </w:r>
      <w:r w:rsidR="00BE0E9F" w:rsidRPr="00215B3D">
        <w:rPr>
          <w:rFonts w:ascii="Segoe UI" w:hAnsi="Segoe UI" w:cs="Segoe UI"/>
        </w:rPr>
        <w:t>7</w:t>
      </w:r>
      <w:bookmarkEnd w:id="17"/>
    </w:p>
    <w:tbl>
      <w:tblPr>
        <w:tblpPr w:leftFromText="141" w:rightFromText="141" w:vertAnchor="text" w:horzAnchor="margin" w:tblpY="26"/>
        <w:tblW w:w="9923" w:type="dxa"/>
        <w:tblLayout w:type="fixed"/>
        <w:tblCellMar>
          <w:left w:w="70" w:type="dxa"/>
          <w:right w:w="70" w:type="dxa"/>
        </w:tblCellMar>
        <w:tblLook w:val="04A0" w:firstRow="1" w:lastRow="0" w:firstColumn="1" w:lastColumn="0" w:noHBand="0" w:noVBand="1"/>
      </w:tblPr>
      <w:tblGrid>
        <w:gridCol w:w="1418"/>
        <w:gridCol w:w="1134"/>
        <w:gridCol w:w="1176"/>
        <w:gridCol w:w="810"/>
        <w:gridCol w:w="991"/>
        <w:gridCol w:w="1357"/>
        <w:gridCol w:w="810"/>
        <w:gridCol w:w="969"/>
        <w:gridCol w:w="1258"/>
      </w:tblGrid>
      <w:tr w:rsidR="00F866A4" w:rsidRPr="00215B3D" w:rsidTr="00F866A4">
        <w:trPr>
          <w:trHeight w:val="300"/>
        </w:trPr>
        <w:tc>
          <w:tcPr>
            <w:tcW w:w="1418"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1134"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1176"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810"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991"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2167" w:type="dxa"/>
            <w:gridSpan w:val="2"/>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r w:rsidRPr="00215B3D">
              <w:rPr>
                <w:rFonts w:ascii="Segoe UI" w:hAnsi="Segoe UI" w:cs="Segoe UI"/>
                <w:sz w:val="20"/>
                <w:szCs w:val="20"/>
              </w:rPr>
              <w:t>En million de FCFA</w:t>
            </w:r>
          </w:p>
        </w:tc>
        <w:tc>
          <w:tcPr>
            <w:tcW w:w="969"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1258"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r>
      <w:tr w:rsidR="00F866A4" w:rsidRPr="00215B3D" w:rsidTr="00F866A4">
        <w:trPr>
          <w:trHeight w:val="660"/>
        </w:trPr>
        <w:tc>
          <w:tcPr>
            <w:tcW w:w="1418"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3120" w:type="dxa"/>
            <w:gridSpan w:val="3"/>
            <w:tcBorders>
              <w:top w:val="single" w:sz="4" w:space="0" w:color="auto"/>
              <w:left w:val="single" w:sz="4" w:space="0" w:color="auto"/>
              <w:bottom w:val="single" w:sz="4" w:space="0" w:color="auto"/>
              <w:right w:val="single" w:sz="4" w:space="0" w:color="auto"/>
            </w:tcBorders>
            <w:noWrap/>
            <w:vAlign w:val="center"/>
            <w:hideMark/>
          </w:tcPr>
          <w:p w:rsidR="00F866A4" w:rsidRPr="00215B3D" w:rsidRDefault="00F866A4" w:rsidP="00F866A4">
            <w:pPr>
              <w:spacing w:after="0" w:line="240" w:lineRule="auto"/>
              <w:jc w:val="center"/>
              <w:rPr>
                <w:rFonts w:ascii="Segoe UI" w:hAnsi="Segoe UI" w:cs="Segoe UI"/>
                <w:b/>
                <w:bCs/>
                <w:sz w:val="20"/>
                <w:szCs w:val="20"/>
              </w:rPr>
            </w:pPr>
            <w:r w:rsidRPr="00215B3D">
              <w:rPr>
                <w:rFonts w:ascii="Segoe UI" w:hAnsi="Segoe UI" w:cs="Segoe UI"/>
                <w:b/>
                <w:bCs/>
                <w:sz w:val="20"/>
                <w:szCs w:val="20"/>
              </w:rPr>
              <w:t>2016</w:t>
            </w:r>
          </w:p>
        </w:tc>
        <w:tc>
          <w:tcPr>
            <w:tcW w:w="3158" w:type="dxa"/>
            <w:gridSpan w:val="3"/>
            <w:tcBorders>
              <w:top w:val="single" w:sz="4" w:space="0" w:color="auto"/>
              <w:left w:val="nil"/>
              <w:bottom w:val="single" w:sz="4" w:space="0" w:color="auto"/>
              <w:right w:val="single" w:sz="4" w:space="0" w:color="auto"/>
            </w:tcBorders>
            <w:noWrap/>
            <w:vAlign w:val="center"/>
            <w:hideMark/>
          </w:tcPr>
          <w:p w:rsidR="00F866A4" w:rsidRPr="00215B3D" w:rsidRDefault="00F866A4" w:rsidP="00F866A4">
            <w:pPr>
              <w:spacing w:after="0" w:line="240" w:lineRule="auto"/>
              <w:jc w:val="center"/>
              <w:rPr>
                <w:rFonts w:ascii="Segoe UI" w:hAnsi="Segoe UI" w:cs="Segoe UI"/>
                <w:b/>
                <w:bCs/>
                <w:sz w:val="20"/>
                <w:szCs w:val="20"/>
              </w:rPr>
            </w:pPr>
            <w:r w:rsidRPr="00215B3D">
              <w:rPr>
                <w:rFonts w:ascii="Segoe UI" w:hAnsi="Segoe UI" w:cs="Segoe UI"/>
                <w:b/>
                <w:bCs/>
                <w:sz w:val="20"/>
                <w:szCs w:val="20"/>
              </w:rPr>
              <w:t>2017</w:t>
            </w:r>
          </w:p>
        </w:tc>
        <w:tc>
          <w:tcPr>
            <w:tcW w:w="2227" w:type="dxa"/>
            <w:gridSpan w:val="2"/>
            <w:tcBorders>
              <w:top w:val="single" w:sz="4" w:space="0" w:color="auto"/>
              <w:left w:val="nil"/>
              <w:bottom w:val="single" w:sz="4" w:space="0" w:color="auto"/>
              <w:right w:val="single" w:sz="4" w:space="0" w:color="auto"/>
            </w:tcBorders>
            <w:vAlign w:val="center"/>
            <w:hideMark/>
          </w:tcPr>
          <w:p w:rsidR="00F866A4" w:rsidRPr="00215B3D" w:rsidRDefault="00F866A4" w:rsidP="00F866A4">
            <w:pPr>
              <w:spacing w:after="0" w:line="240" w:lineRule="auto"/>
              <w:jc w:val="center"/>
              <w:rPr>
                <w:rFonts w:ascii="Segoe UI" w:hAnsi="Segoe UI" w:cs="Segoe UI"/>
                <w:b/>
                <w:bCs/>
                <w:sz w:val="20"/>
                <w:szCs w:val="20"/>
              </w:rPr>
            </w:pPr>
            <w:r w:rsidRPr="00215B3D">
              <w:rPr>
                <w:rFonts w:ascii="Segoe UI" w:hAnsi="Segoe UI" w:cs="Segoe UI"/>
                <w:b/>
                <w:bCs/>
                <w:sz w:val="20"/>
                <w:szCs w:val="20"/>
              </w:rPr>
              <w:t>ECARTS DE REALISATION</w:t>
            </w:r>
          </w:p>
        </w:tc>
      </w:tr>
      <w:tr w:rsidR="00F866A4" w:rsidRPr="00215B3D" w:rsidTr="003F310B">
        <w:trPr>
          <w:trHeight w:val="255"/>
        </w:trPr>
        <w:tc>
          <w:tcPr>
            <w:tcW w:w="1418"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PREV.</w:t>
            </w:r>
          </w:p>
        </w:tc>
        <w:tc>
          <w:tcPr>
            <w:tcW w:w="1176" w:type="dxa"/>
            <w:vMerge w:val="restart"/>
            <w:tcBorders>
              <w:top w:val="nil"/>
              <w:left w:val="single" w:sz="4" w:space="0" w:color="auto"/>
              <w:bottom w:val="single" w:sz="4" w:space="0" w:color="auto"/>
              <w:right w:val="single" w:sz="4" w:space="0" w:color="auto"/>
            </w:tcBorders>
            <w:vAlign w:val="center"/>
            <w:hideMark/>
          </w:tcPr>
          <w:p w:rsidR="00F866A4" w:rsidRPr="00215B3D" w:rsidRDefault="00347BE6" w:rsidP="00347BE6">
            <w:pPr>
              <w:spacing w:after="0" w:line="240" w:lineRule="auto"/>
              <w:jc w:val="center"/>
              <w:rPr>
                <w:rFonts w:ascii="Segoe UI" w:hAnsi="Segoe UI" w:cs="Segoe UI"/>
                <w:sz w:val="18"/>
                <w:szCs w:val="18"/>
              </w:rPr>
            </w:pPr>
            <w:r w:rsidRPr="00215B3D">
              <w:rPr>
                <w:rFonts w:ascii="Segoe UI" w:hAnsi="Segoe UI" w:cs="Segoe UI"/>
                <w:sz w:val="18"/>
                <w:szCs w:val="18"/>
              </w:rPr>
              <w:t>REAL. AU 30 JUIN</w:t>
            </w:r>
          </w:p>
        </w:tc>
        <w:tc>
          <w:tcPr>
            <w:tcW w:w="810" w:type="dxa"/>
            <w:vMerge w:val="restart"/>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TAUX (%)</w:t>
            </w:r>
          </w:p>
        </w:tc>
        <w:tc>
          <w:tcPr>
            <w:tcW w:w="991" w:type="dxa"/>
            <w:vMerge w:val="restart"/>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PREV.</w:t>
            </w:r>
          </w:p>
        </w:tc>
        <w:tc>
          <w:tcPr>
            <w:tcW w:w="1357" w:type="dxa"/>
            <w:vMerge w:val="restart"/>
            <w:tcBorders>
              <w:top w:val="nil"/>
              <w:left w:val="single" w:sz="4" w:space="0" w:color="auto"/>
              <w:bottom w:val="single" w:sz="4" w:space="0" w:color="auto"/>
              <w:right w:val="single" w:sz="4" w:space="0" w:color="auto"/>
            </w:tcBorders>
            <w:vAlign w:val="center"/>
            <w:hideMark/>
          </w:tcPr>
          <w:p w:rsidR="00F866A4" w:rsidRPr="00215B3D" w:rsidRDefault="00347BE6" w:rsidP="00347BE6">
            <w:pPr>
              <w:spacing w:after="0" w:line="240" w:lineRule="auto"/>
              <w:jc w:val="center"/>
              <w:rPr>
                <w:rFonts w:ascii="Segoe UI" w:hAnsi="Segoe UI" w:cs="Segoe UI"/>
                <w:sz w:val="18"/>
                <w:szCs w:val="18"/>
              </w:rPr>
            </w:pPr>
            <w:r w:rsidRPr="00215B3D">
              <w:rPr>
                <w:rFonts w:ascii="Segoe UI" w:hAnsi="Segoe UI" w:cs="Segoe UI"/>
                <w:sz w:val="18"/>
                <w:szCs w:val="18"/>
              </w:rPr>
              <w:t>REAL. AU 30 JUIN</w:t>
            </w:r>
          </w:p>
        </w:tc>
        <w:tc>
          <w:tcPr>
            <w:tcW w:w="810" w:type="dxa"/>
            <w:vMerge w:val="restart"/>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TAUX (%)</w:t>
            </w:r>
          </w:p>
        </w:tc>
        <w:tc>
          <w:tcPr>
            <w:tcW w:w="969" w:type="dxa"/>
            <w:vMerge w:val="restart"/>
            <w:tcBorders>
              <w:top w:val="nil"/>
              <w:left w:val="single" w:sz="4" w:space="0" w:color="auto"/>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ECARTS</w:t>
            </w:r>
          </w:p>
        </w:tc>
        <w:tc>
          <w:tcPr>
            <w:tcW w:w="1258" w:type="dxa"/>
            <w:vMerge w:val="restart"/>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18"/>
                <w:szCs w:val="18"/>
              </w:rPr>
            </w:pPr>
            <w:r w:rsidRPr="00215B3D">
              <w:rPr>
                <w:rFonts w:ascii="Segoe UI" w:hAnsi="Segoe UI" w:cs="Segoe UI"/>
                <w:sz w:val="18"/>
                <w:szCs w:val="18"/>
              </w:rPr>
              <w:t>TAUX D'ACCROISSEMENT (%)</w:t>
            </w:r>
          </w:p>
        </w:tc>
      </w:tr>
      <w:tr w:rsidR="00F866A4" w:rsidRPr="00215B3D" w:rsidTr="00624F9A">
        <w:trPr>
          <w:trHeight w:val="307"/>
        </w:trPr>
        <w:tc>
          <w:tcPr>
            <w:tcW w:w="1418" w:type="dxa"/>
            <w:tcBorders>
              <w:top w:val="nil"/>
              <w:left w:val="nil"/>
              <w:bottom w:val="nil"/>
              <w:right w:val="nil"/>
            </w:tcBorders>
            <w:noWrap/>
            <w:vAlign w:val="bottom"/>
            <w:hideMark/>
          </w:tcPr>
          <w:p w:rsidR="00F866A4" w:rsidRPr="00215B3D" w:rsidRDefault="00F866A4" w:rsidP="00F866A4">
            <w:pPr>
              <w:spacing w:after="0" w:line="240" w:lineRule="auto"/>
              <w:rPr>
                <w:rFonts w:ascii="Segoe UI" w:hAnsi="Segoe UI" w:cs="Segoe UI"/>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1176"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991"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1357"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969"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c>
          <w:tcPr>
            <w:tcW w:w="1258" w:type="dxa"/>
            <w:vMerge/>
            <w:tcBorders>
              <w:top w:val="nil"/>
              <w:left w:val="single" w:sz="4" w:space="0" w:color="auto"/>
              <w:bottom w:val="single" w:sz="4" w:space="0" w:color="auto"/>
              <w:right w:val="single" w:sz="4" w:space="0" w:color="auto"/>
            </w:tcBorders>
            <w:vAlign w:val="center"/>
            <w:hideMark/>
          </w:tcPr>
          <w:p w:rsidR="00F866A4" w:rsidRPr="00215B3D" w:rsidRDefault="00F866A4" w:rsidP="003F310B">
            <w:pPr>
              <w:spacing w:after="0" w:line="240" w:lineRule="auto"/>
              <w:jc w:val="center"/>
              <w:rPr>
                <w:rFonts w:ascii="Segoe UI" w:hAnsi="Segoe UI" w:cs="Segoe UI"/>
                <w:sz w:val="20"/>
                <w:szCs w:val="20"/>
              </w:rPr>
            </w:pPr>
          </w:p>
        </w:tc>
      </w:tr>
      <w:tr w:rsidR="00F866A4" w:rsidRPr="00215B3D" w:rsidTr="003F310B">
        <w:trPr>
          <w:trHeight w:val="590"/>
        </w:trPr>
        <w:tc>
          <w:tcPr>
            <w:tcW w:w="1418" w:type="dxa"/>
            <w:tcBorders>
              <w:top w:val="single" w:sz="4" w:space="0" w:color="auto"/>
              <w:left w:val="single" w:sz="4" w:space="0" w:color="auto"/>
              <w:bottom w:val="single" w:sz="4" w:space="0" w:color="auto"/>
              <w:right w:val="single" w:sz="4" w:space="0" w:color="auto"/>
            </w:tcBorders>
            <w:noWrap/>
            <w:vAlign w:val="bottom"/>
            <w:hideMark/>
          </w:tcPr>
          <w:p w:rsidR="00F866A4" w:rsidRPr="00215B3D" w:rsidRDefault="00F866A4" w:rsidP="00624F9A">
            <w:pPr>
              <w:spacing w:after="0" w:line="240" w:lineRule="auto"/>
              <w:jc w:val="center"/>
              <w:rPr>
                <w:rFonts w:ascii="Segoe UI" w:hAnsi="Segoe UI" w:cs="Segoe UI"/>
                <w:sz w:val="20"/>
                <w:szCs w:val="20"/>
              </w:rPr>
            </w:pPr>
            <w:r w:rsidRPr="00215B3D">
              <w:rPr>
                <w:rFonts w:ascii="Segoe UI" w:hAnsi="Segoe UI" w:cs="Segoe UI"/>
                <w:sz w:val="20"/>
                <w:szCs w:val="20"/>
              </w:rPr>
              <w:t>F N R B</w:t>
            </w:r>
          </w:p>
        </w:tc>
        <w:tc>
          <w:tcPr>
            <w:tcW w:w="1134"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25 721</w:t>
            </w:r>
          </w:p>
        </w:tc>
        <w:tc>
          <w:tcPr>
            <w:tcW w:w="1176"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10 317,6</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Cs/>
                <w:iCs/>
                <w:sz w:val="20"/>
                <w:szCs w:val="20"/>
              </w:rPr>
            </w:pPr>
            <w:r w:rsidRPr="00215B3D">
              <w:rPr>
                <w:rFonts w:ascii="Segoe UI" w:hAnsi="Segoe UI" w:cs="Segoe UI"/>
                <w:bCs/>
                <w:iCs/>
                <w:sz w:val="20"/>
                <w:szCs w:val="20"/>
              </w:rPr>
              <w:t>40,1</w:t>
            </w:r>
          </w:p>
        </w:tc>
        <w:tc>
          <w:tcPr>
            <w:tcW w:w="991"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25 400</w:t>
            </w:r>
          </w:p>
        </w:tc>
        <w:tc>
          <w:tcPr>
            <w:tcW w:w="1357" w:type="dxa"/>
            <w:tcBorders>
              <w:top w:val="nil"/>
              <w:left w:val="nil"/>
              <w:bottom w:val="single" w:sz="4" w:space="0" w:color="auto"/>
              <w:right w:val="single" w:sz="4" w:space="0" w:color="auto"/>
            </w:tcBorders>
            <w:noWrap/>
            <w:vAlign w:val="center"/>
            <w:hideMark/>
          </w:tcPr>
          <w:p w:rsidR="00F866A4" w:rsidRPr="00215B3D" w:rsidRDefault="00D66C25" w:rsidP="003F310B">
            <w:pPr>
              <w:spacing w:after="0" w:line="240" w:lineRule="auto"/>
              <w:jc w:val="center"/>
              <w:rPr>
                <w:rFonts w:ascii="Segoe UI" w:hAnsi="Segoe UI" w:cs="Segoe UI"/>
                <w:sz w:val="20"/>
                <w:szCs w:val="20"/>
              </w:rPr>
            </w:pPr>
            <w:r w:rsidRPr="00215B3D">
              <w:rPr>
                <w:rFonts w:ascii="Segoe UI" w:hAnsi="Segoe UI" w:cs="Segoe UI"/>
                <w:sz w:val="20"/>
                <w:szCs w:val="20"/>
              </w:rPr>
              <w:t xml:space="preserve">11 </w:t>
            </w:r>
            <w:r w:rsidR="00F866A4" w:rsidRPr="00215B3D">
              <w:rPr>
                <w:rFonts w:ascii="Segoe UI" w:hAnsi="Segoe UI" w:cs="Segoe UI"/>
                <w:sz w:val="20"/>
                <w:szCs w:val="20"/>
              </w:rPr>
              <w:t>144,7</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43,9</w:t>
            </w:r>
          </w:p>
        </w:tc>
        <w:tc>
          <w:tcPr>
            <w:tcW w:w="969"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827,1</w:t>
            </w:r>
          </w:p>
        </w:tc>
        <w:tc>
          <w:tcPr>
            <w:tcW w:w="1258"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8,0</w:t>
            </w:r>
          </w:p>
        </w:tc>
      </w:tr>
      <w:tr w:rsidR="00F866A4" w:rsidRPr="00215B3D" w:rsidTr="003F310B">
        <w:trPr>
          <w:trHeight w:val="375"/>
        </w:trPr>
        <w:tc>
          <w:tcPr>
            <w:tcW w:w="1418" w:type="dxa"/>
            <w:tcBorders>
              <w:top w:val="nil"/>
              <w:left w:val="single" w:sz="4" w:space="0" w:color="auto"/>
              <w:bottom w:val="single" w:sz="4" w:space="0" w:color="auto"/>
              <w:right w:val="single" w:sz="4" w:space="0" w:color="auto"/>
            </w:tcBorders>
            <w:noWrap/>
            <w:vAlign w:val="bottom"/>
            <w:hideMark/>
          </w:tcPr>
          <w:p w:rsidR="00F866A4" w:rsidRPr="00215B3D" w:rsidRDefault="00F866A4" w:rsidP="00F866A4">
            <w:pPr>
              <w:spacing w:after="0" w:line="240" w:lineRule="auto"/>
              <w:rPr>
                <w:rFonts w:ascii="Segoe UI" w:hAnsi="Segoe UI" w:cs="Segoe UI"/>
                <w:sz w:val="20"/>
                <w:szCs w:val="20"/>
              </w:rPr>
            </w:pPr>
            <w:r w:rsidRPr="00215B3D">
              <w:rPr>
                <w:rFonts w:ascii="Segoe UI" w:hAnsi="Segoe UI" w:cs="Segoe UI"/>
                <w:sz w:val="16"/>
                <w:szCs w:val="16"/>
              </w:rPr>
              <w:t>FONDS ROUTIER</w:t>
            </w:r>
            <w:r w:rsidRPr="00215B3D">
              <w:rPr>
                <w:rFonts w:ascii="Segoe UI" w:hAnsi="Segoe UI" w:cs="Segoe UI"/>
                <w:sz w:val="20"/>
                <w:szCs w:val="20"/>
              </w:rPr>
              <w:t xml:space="preserve"> (Ressources propres)</w:t>
            </w:r>
          </w:p>
        </w:tc>
        <w:tc>
          <w:tcPr>
            <w:tcW w:w="1134"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3 456</w:t>
            </w:r>
          </w:p>
        </w:tc>
        <w:tc>
          <w:tcPr>
            <w:tcW w:w="1176"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2 049,2</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Cs/>
                <w:iCs/>
                <w:sz w:val="20"/>
                <w:szCs w:val="20"/>
              </w:rPr>
            </w:pPr>
            <w:r w:rsidRPr="00215B3D">
              <w:rPr>
                <w:rFonts w:ascii="Segoe UI" w:hAnsi="Segoe UI" w:cs="Segoe UI"/>
                <w:bCs/>
                <w:iCs/>
                <w:sz w:val="20"/>
                <w:szCs w:val="20"/>
              </w:rPr>
              <w:t>59,3</w:t>
            </w:r>
          </w:p>
        </w:tc>
        <w:tc>
          <w:tcPr>
            <w:tcW w:w="991"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4 400</w:t>
            </w:r>
          </w:p>
        </w:tc>
        <w:tc>
          <w:tcPr>
            <w:tcW w:w="1357"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1</w:t>
            </w:r>
            <w:r w:rsidR="00CD3261" w:rsidRPr="00215B3D">
              <w:rPr>
                <w:rFonts w:ascii="Segoe UI" w:hAnsi="Segoe UI" w:cs="Segoe UI"/>
                <w:sz w:val="20"/>
                <w:szCs w:val="20"/>
              </w:rPr>
              <w:t xml:space="preserve"> </w:t>
            </w:r>
            <w:r w:rsidRPr="00215B3D">
              <w:rPr>
                <w:rFonts w:ascii="Segoe UI" w:hAnsi="Segoe UI" w:cs="Segoe UI"/>
                <w:sz w:val="20"/>
                <w:szCs w:val="20"/>
              </w:rPr>
              <w:t>956,9</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44,5</w:t>
            </w:r>
          </w:p>
        </w:tc>
        <w:tc>
          <w:tcPr>
            <w:tcW w:w="969"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-92,3</w:t>
            </w:r>
          </w:p>
        </w:tc>
        <w:tc>
          <w:tcPr>
            <w:tcW w:w="1258"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-4,5</w:t>
            </w:r>
          </w:p>
        </w:tc>
      </w:tr>
      <w:tr w:rsidR="00F866A4" w:rsidRPr="00215B3D" w:rsidTr="003F310B">
        <w:trPr>
          <w:trHeight w:val="510"/>
        </w:trPr>
        <w:tc>
          <w:tcPr>
            <w:tcW w:w="1418" w:type="dxa"/>
            <w:tcBorders>
              <w:top w:val="nil"/>
              <w:left w:val="single" w:sz="4" w:space="0" w:color="auto"/>
              <w:bottom w:val="single" w:sz="4" w:space="0" w:color="auto"/>
              <w:right w:val="single" w:sz="4" w:space="0" w:color="auto"/>
            </w:tcBorders>
            <w:noWrap/>
            <w:vAlign w:val="bottom"/>
            <w:hideMark/>
          </w:tcPr>
          <w:p w:rsidR="00F866A4" w:rsidRPr="00215B3D" w:rsidRDefault="00F866A4" w:rsidP="00F866A4">
            <w:pPr>
              <w:spacing w:after="0" w:line="240" w:lineRule="auto"/>
              <w:rPr>
                <w:rFonts w:ascii="Segoe UI" w:hAnsi="Segoe UI" w:cs="Segoe UI"/>
                <w:sz w:val="20"/>
                <w:szCs w:val="20"/>
              </w:rPr>
            </w:pPr>
            <w:r w:rsidRPr="00215B3D">
              <w:rPr>
                <w:rFonts w:ascii="Segoe UI" w:hAnsi="Segoe UI" w:cs="Segoe UI"/>
                <w:sz w:val="20"/>
                <w:szCs w:val="20"/>
              </w:rPr>
              <w:t xml:space="preserve">  C A </w:t>
            </w:r>
            <w:proofErr w:type="spellStart"/>
            <w:r w:rsidRPr="00215B3D">
              <w:rPr>
                <w:rFonts w:ascii="Segoe UI" w:hAnsi="Segoe UI" w:cs="Segoe UI"/>
                <w:sz w:val="20"/>
                <w:szCs w:val="20"/>
              </w:rPr>
              <w:t>A</w:t>
            </w:r>
            <w:proofErr w:type="spellEnd"/>
          </w:p>
        </w:tc>
        <w:tc>
          <w:tcPr>
            <w:tcW w:w="1134"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4 000</w:t>
            </w:r>
          </w:p>
        </w:tc>
        <w:tc>
          <w:tcPr>
            <w:tcW w:w="1176"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1 567,9</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Cs/>
                <w:iCs/>
                <w:sz w:val="20"/>
                <w:szCs w:val="20"/>
              </w:rPr>
            </w:pPr>
            <w:r w:rsidRPr="00215B3D">
              <w:rPr>
                <w:rFonts w:ascii="Segoe UI" w:hAnsi="Segoe UI" w:cs="Segoe UI"/>
                <w:bCs/>
                <w:iCs/>
                <w:sz w:val="20"/>
                <w:szCs w:val="20"/>
              </w:rPr>
              <w:t>39,2</w:t>
            </w:r>
          </w:p>
        </w:tc>
        <w:tc>
          <w:tcPr>
            <w:tcW w:w="991"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3 300</w:t>
            </w:r>
          </w:p>
        </w:tc>
        <w:tc>
          <w:tcPr>
            <w:tcW w:w="1357" w:type="dxa"/>
            <w:tcBorders>
              <w:top w:val="nil"/>
              <w:left w:val="nil"/>
              <w:bottom w:val="single" w:sz="4" w:space="0" w:color="auto"/>
              <w:right w:val="single" w:sz="4" w:space="0" w:color="auto"/>
            </w:tcBorders>
            <w:noWrap/>
            <w:vAlign w:val="center"/>
            <w:hideMark/>
          </w:tcPr>
          <w:p w:rsidR="00F866A4" w:rsidRPr="00215B3D" w:rsidRDefault="00F866A4" w:rsidP="007C0DC9">
            <w:pPr>
              <w:spacing w:after="0" w:line="240" w:lineRule="auto"/>
              <w:jc w:val="center"/>
              <w:rPr>
                <w:rFonts w:ascii="Segoe UI" w:hAnsi="Segoe UI" w:cs="Segoe UI"/>
                <w:sz w:val="20"/>
                <w:szCs w:val="20"/>
              </w:rPr>
            </w:pPr>
            <w:r w:rsidRPr="00215B3D">
              <w:rPr>
                <w:rFonts w:ascii="Segoe UI" w:hAnsi="Segoe UI" w:cs="Segoe UI"/>
                <w:sz w:val="20"/>
                <w:szCs w:val="20"/>
              </w:rPr>
              <w:t>17</w:t>
            </w:r>
            <w:r w:rsidR="007C0DC9">
              <w:rPr>
                <w:rFonts w:ascii="Segoe UI" w:hAnsi="Segoe UI" w:cs="Segoe UI"/>
                <w:sz w:val="20"/>
                <w:szCs w:val="20"/>
              </w:rPr>
              <w:t> 645,3</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sz w:val="20"/>
                <w:szCs w:val="20"/>
              </w:rPr>
            </w:pPr>
            <w:r w:rsidRPr="00215B3D">
              <w:rPr>
                <w:rFonts w:ascii="Segoe UI" w:hAnsi="Segoe UI" w:cs="Segoe UI"/>
                <w:sz w:val="20"/>
                <w:szCs w:val="20"/>
              </w:rPr>
              <w:t>5</w:t>
            </w:r>
            <w:r w:rsidR="007C0DC9">
              <w:rPr>
                <w:rFonts w:ascii="Segoe UI" w:hAnsi="Segoe UI" w:cs="Segoe UI"/>
                <w:sz w:val="20"/>
                <w:szCs w:val="20"/>
              </w:rPr>
              <w:t>34,7</w:t>
            </w:r>
          </w:p>
        </w:tc>
        <w:tc>
          <w:tcPr>
            <w:tcW w:w="969" w:type="dxa"/>
            <w:tcBorders>
              <w:top w:val="nil"/>
              <w:left w:val="nil"/>
              <w:bottom w:val="single" w:sz="4" w:space="0" w:color="auto"/>
              <w:right w:val="single" w:sz="4" w:space="0" w:color="auto"/>
            </w:tcBorders>
            <w:noWrap/>
            <w:vAlign w:val="center"/>
            <w:hideMark/>
          </w:tcPr>
          <w:p w:rsidR="00F866A4" w:rsidRPr="00215B3D" w:rsidRDefault="007C0DC9" w:rsidP="007C0DC9">
            <w:pPr>
              <w:spacing w:after="0" w:line="240" w:lineRule="auto"/>
              <w:jc w:val="center"/>
              <w:rPr>
                <w:rFonts w:ascii="Segoe UI" w:hAnsi="Segoe UI" w:cs="Segoe UI"/>
                <w:sz w:val="20"/>
                <w:szCs w:val="20"/>
              </w:rPr>
            </w:pPr>
            <w:r>
              <w:rPr>
                <w:rFonts w:ascii="Segoe UI" w:hAnsi="Segoe UI" w:cs="Segoe UI"/>
                <w:sz w:val="20"/>
                <w:szCs w:val="20"/>
              </w:rPr>
              <w:t>16 077</w:t>
            </w:r>
            <w:r w:rsidR="00F866A4" w:rsidRPr="00215B3D">
              <w:rPr>
                <w:rFonts w:ascii="Segoe UI" w:hAnsi="Segoe UI" w:cs="Segoe UI"/>
                <w:sz w:val="20"/>
                <w:szCs w:val="20"/>
              </w:rPr>
              <w:t>,</w:t>
            </w:r>
            <w:r w:rsidR="00345567">
              <w:rPr>
                <w:rFonts w:ascii="Segoe UI" w:hAnsi="Segoe UI" w:cs="Segoe UI"/>
                <w:sz w:val="20"/>
                <w:szCs w:val="20"/>
              </w:rPr>
              <w:t>4</w:t>
            </w:r>
          </w:p>
        </w:tc>
        <w:tc>
          <w:tcPr>
            <w:tcW w:w="1258" w:type="dxa"/>
            <w:tcBorders>
              <w:top w:val="nil"/>
              <w:left w:val="nil"/>
              <w:bottom w:val="single" w:sz="4" w:space="0" w:color="auto"/>
              <w:right w:val="single" w:sz="4" w:space="0" w:color="auto"/>
            </w:tcBorders>
            <w:noWrap/>
            <w:vAlign w:val="center"/>
            <w:hideMark/>
          </w:tcPr>
          <w:p w:rsidR="00F866A4" w:rsidRPr="00215B3D" w:rsidRDefault="00EF68FF" w:rsidP="007C0DC9">
            <w:pPr>
              <w:spacing w:after="0" w:line="240" w:lineRule="auto"/>
              <w:jc w:val="center"/>
              <w:rPr>
                <w:rFonts w:ascii="Segoe UI" w:hAnsi="Segoe UI" w:cs="Segoe UI"/>
                <w:sz w:val="20"/>
                <w:szCs w:val="20"/>
              </w:rPr>
            </w:pPr>
            <w:r w:rsidRPr="00215B3D">
              <w:rPr>
                <w:rFonts w:ascii="Segoe UI" w:hAnsi="Segoe UI" w:cs="Segoe UI"/>
                <w:sz w:val="20"/>
                <w:szCs w:val="20"/>
              </w:rPr>
              <w:t xml:space="preserve">1 </w:t>
            </w:r>
            <w:r w:rsidR="007C0DC9">
              <w:rPr>
                <w:rFonts w:ascii="Segoe UI" w:hAnsi="Segoe UI" w:cs="Segoe UI"/>
                <w:sz w:val="20"/>
                <w:szCs w:val="20"/>
              </w:rPr>
              <w:t>025</w:t>
            </w:r>
            <w:r w:rsidR="00F866A4" w:rsidRPr="00215B3D">
              <w:rPr>
                <w:rFonts w:ascii="Segoe UI" w:hAnsi="Segoe UI" w:cs="Segoe UI"/>
                <w:sz w:val="20"/>
                <w:szCs w:val="20"/>
              </w:rPr>
              <w:t>,</w:t>
            </w:r>
            <w:r w:rsidR="007C0DC9">
              <w:rPr>
                <w:rFonts w:ascii="Segoe UI" w:hAnsi="Segoe UI" w:cs="Segoe UI"/>
                <w:sz w:val="20"/>
                <w:szCs w:val="20"/>
              </w:rPr>
              <w:t>4</w:t>
            </w:r>
          </w:p>
        </w:tc>
      </w:tr>
      <w:tr w:rsidR="00F866A4" w:rsidRPr="00215B3D" w:rsidTr="003F310B">
        <w:trPr>
          <w:trHeight w:val="465"/>
        </w:trPr>
        <w:tc>
          <w:tcPr>
            <w:tcW w:w="1418" w:type="dxa"/>
            <w:tcBorders>
              <w:top w:val="nil"/>
              <w:left w:val="single" w:sz="4" w:space="0" w:color="auto"/>
              <w:bottom w:val="single" w:sz="4" w:space="0" w:color="auto"/>
              <w:right w:val="single" w:sz="4" w:space="0" w:color="auto"/>
            </w:tcBorders>
            <w:noWrap/>
            <w:vAlign w:val="bottom"/>
            <w:hideMark/>
          </w:tcPr>
          <w:p w:rsidR="00F866A4" w:rsidRPr="00215B3D" w:rsidRDefault="00F866A4" w:rsidP="00F866A4">
            <w:pPr>
              <w:spacing w:after="0" w:line="240" w:lineRule="auto"/>
              <w:rPr>
                <w:rFonts w:ascii="Segoe UI" w:hAnsi="Segoe UI" w:cs="Segoe UI"/>
                <w:b/>
                <w:bCs/>
                <w:sz w:val="20"/>
                <w:szCs w:val="20"/>
              </w:rPr>
            </w:pPr>
            <w:r w:rsidRPr="00215B3D">
              <w:rPr>
                <w:rFonts w:ascii="Segoe UI" w:hAnsi="Segoe UI" w:cs="Segoe UI"/>
                <w:b/>
                <w:bCs/>
                <w:sz w:val="20"/>
                <w:szCs w:val="20"/>
              </w:rPr>
              <w:t>TOTAL</w:t>
            </w:r>
          </w:p>
        </w:tc>
        <w:tc>
          <w:tcPr>
            <w:tcW w:w="1134"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
                <w:bCs/>
                <w:sz w:val="20"/>
                <w:szCs w:val="20"/>
              </w:rPr>
            </w:pPr>
            <w:r w:rsidRPr="00215B3D">
              <w:rPr>
                <w:rFonts w:ascii="Segoe UI" w:hAnsi="Segoe UI" w:cs="Segoe UI"/>
                <w:b/>
                <w:bCs/>
                <w:sz w:val="20"/>
                <w:szCs w:val="20"/>
              </w:rPr>
              <w:t>33 177</w:t>
            </w:r>
          </w:p>
        </w:tc>
        <w:tc>
          <w:tcPr>
            <w:tcW w:w="1176"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
                <w:bCs/>
                <w:sz w:val="20"/>
                <w:szCs w:val="20"/>
              </w:rPr>
            </w:pPr>
            <w:r w:rsidRPr="00215B3D">
              <w:rPr>
                <w:rFonts w:ascii="Segoe UI" w:hAnsi="Segoe UI" w:cs="Segoe UI"/>
                <w:b/>
                <w:bCs/>
                <w:sz w:val="20"/>
                <w:szCs w:val="20"/>
              </w:rPr>
              <w:t>13 934,7</w:t>
            </w:r>
          </w:p>
        </w:tc>
        <w:tc>
          <w:tcPr>
            <w:tcW w:w="810"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
                <w:bCs/>
                <w:iCs/>
                <w:sz w:val="20"/>
                <w:szCs w:val="20"/>
              </w:rPr>
            </w:pPr>
            <w:r w:rsidRPr="00215B3D">
              <w:rPr>
                <w:rFonts w:ascii="Segoe UI" w:hAnsi="Segoe UI" w:cs="Segoe UI"/>
                <w:b/>
                <w:bCs/>
                <w:iCs/>
                <w:sz w:val="20"/>
                <w:szCs w:val="20"/>
              </w:rPr>
              <w:t>42,0</w:t>
            </w:r>
          </w:p>
        </w:tc>
        <w:tc>
          <w:tcPr>
            <w:tcW w:w="991" w:type="dxa"/>
            <w:tcBorders>
              <w:top w:val="nil"/>
              <w:left w:val="nil"/>
              <w:bottom w:val="single" w:sz="4" w:space="0" w:color="auto"/>
              <w:right w:val="single" w:sz="4" w:space="0" w:color="auto"/>
            </w:tcBorders>
            <w:noWrap/>
            <w:vAlign w:val="center"/>
            <w:hideMark/>
          </w:tcPr>
          <w:p w:rsidR="00F866A4" w:rsidRPr="00215B3D" w:rsidRDefault="00F866A4" w:rsidP="003F310B">
            <w:pPr>
              <w:spacing w:after="0" w:line="240" w:lineRule="auto"/>
              <w:jc w:val="center"/>
              <w:rPr>
                <w:rFonts w:ascii="Segoe UI" w:hAnsi="Segoe UI" w:cs="Segoe UI"/>
                <w:b/>
                <w:bCs/>
                <w:sz w:val="20"/>
                <w:szCs w:val="20"/>
              </w:rPr>
            </w:pPr>
            <w:r w:rsidRPr="00215B3D">
              <w:rPr>
                <w:rFonts w:ascii="Segoe UI" w:hAnsi="Segoe UI" w:cs="Segoe UI"/>
                <w:b/>
                <w:bCs/>
                <w:sz w:val="20"/>
                <w:szCs w:val="20"/>
              </w:rPr>
              <w:t>33 100</w:t>
            </w:r>
          </w:p>
        </w:tc>
        <w:tc>
          <w:tcPr>
            <w:tcW w:w="1357" w:type="dxa"/>
            <w:tcBorders>
              <w:top w:val="nil"/>
              <w:left w:val="nil"/>
              <w:bottom w:val="single" w:sz="4" w:space="0" w:color="auto"/>
              <w:right w:val="single" w:sz="4" w:space="0" w:color="auto"/>
            </w:tcBorders>
            <w:noWrap/>
            <w:vAlign w:val="center"/>
            <w:hideMark/>
          </w:tcPr>
          <w:p w:rsidR="00F866A4" w:rsidRPr="00215B3D" w:rsidRDefault="007C0DC9" w:rsidP="003F310B">
            <w:pPr>
              <w:spacing w:after="0" w:line="240" w:lineRule="auto"/>
              <w:jc w:val="center"/>
              <w:rPr>
                <w:rFonts w:ascii="Segoe UI" w:hAnsi="Segoe UI" w:cs="Segoe UI"/>
                <w:b/>
                <w:bCs/>
                <w:sz w:val="20"/>
                <w:szCs w:val="20"/>
              </w:rPr>
            </w:pPr>
            <w:r>
              <w:rPr>
                <w:rFonts w:ascii="Segoe UI" w:hAnsi="Segoe UI" w:cs="Segoe UI"/>
                <w:b/>
                <w:bCs/>
                <w:sz w:val="20"/>
                <w:szCs w:val="20"/>
              </w:rPr>
              <w:t>30 746</w:t>
            </w:r>
            <w:r w:rsidR="00F866A4" w:rsidRPr="00215B3D">
              <w:rPr>
                <w:rFonts w:ascii="Segoe UI" w:hAnsi="Segoe UI" w:cs="Segoe UI"/>
                <w:b/>
                <w:bCs/>
                <w:sz w:val="20"/>
                <w:szCs w:val="20"/>
              </w:rPr>
              <w:t>,</w:t>
            </w:r>
            <w:r>
              <w:rPr>
                <w:rFonts w:ascii="Segoe UI" w:hAnsi="Segoe UI" w:cs="Segoe UI"/>
                <w:b/>
                <w:bCs/>
                <w:sz w:val="20"/>
                <w:szCs w:val="20"/>
              </w:rPr>
              <w:t>9</w:t>
            </w:r>
          </w:p>
        </w:tc>
        <w:tc>
          <w:tcPr>
            <w:tcW w:w="810" w:type="dxa"/>
            <w:tcBorders>
              <w:top w:val="nil"/>
              <w:left w:val="nil"/>
              <w:bottom w:val="single" w:sz="4" w:space="0" w:color="auto"/>
              <w:right w:val="single" w:sz="4" w:space="0" w:color="auto"/>
            </w:tcBorders>
            <w:noWrap/>
            <w:vAlign w:val="center"/>
            <w:hideMark/>
          </w:tcPr>
          <w:p w:rsidR="00F866A4" w:rsidRPr="00215B3D" w:rsidRDefault="003F310B" w:rsidP="003F310B">
            <w:pPr>
              <w:spacing w:after="0" w:line="240" w:lineRule="auto"/>
              <w:rPr>
                <w:rFonts w:ascii="Segoe UI" w:hAnsi="Segoe UI" w:cs="Segoe UI"/>
                <w:b/>
                <w:bCs/>
                <w:sz w:val="20"/>
                <w:szCs w:val="20"/>
              </w:rPr>
            </w:pPr>
            <w:r w:rsidRPr="00215B3D">
              <w:rPr>
                <w:rFonts w:ascii="Segoe UI" w:hAnsi="Segoe UI" w:cs="Segoe UI"/>
                <w:b/>
                <w:bCs/>
                <w:sz w:val="20"/>
                <w:szCs w:val="20"/>
              </w:rPr>
              <w:t xml:space="preserve">  </w:t>
            </w:r>
            <w:r w:rsidR="007C0DC9">
              <w:rPr>
                <w:rFonts w:ascii="Segoe UI" w:hAnsi="Segoe UI" w:cs="Segoe UI"/>
                <w:b/>
                <w:bCs/>
                <w:sz w:val="20"/>
                <w:szCs w:val="20"/>
              </w:rPr>
              <w:t>92,9</w:t>
            </w:r>
          </w:p>
        </w:tc>
        <w:tc>
          <w:tcPr>
            <w:tcW w:w="969" w:type="dxa"/>
            <w:tcBorders>
              <w:top w:val="nil"/>
              <w:left w:val="nil"/>
              <w:bottom w:val="single" w:sz="4" w:space="0" w:color="auto"/>
              <w:right w:val="single" w:sz="4" w:space="0" w:color="auto"/>
            </w:tcBorders>
            <w:noWrap/>
            <w:vAlign w:val="center"/>
            <w:hideMark/>
          </w:tcPr>
          <w:p w:rsidR="00F866A4" w:rsidRPr="00215B3D" w:rsidRDefault="007C0DC9" w:rsidP="003F310B">
            <w:pPr>
              <w:spacing w:after="0" w:line="240" w:lineRule="auto"/>
              <w:jc w:val="center"/>
              <w:rPr>
                <w:rFonts w:ascii="Segoe UI" w:hAnsi="Segoe UI" w:cs="Segoe UI"/>
                <w:b/>
                <w:bCs/>
                <w:sz w:val="20"/>
                <w:szCs w:val="20"/>
              </w:rPr>
            </w:pPr>
            <w:r>
              <w:rPr>
                <w:rFonts w:ascii="Segoe UI" w:hAnsi="Segoe UI" w:cs="Segoe UI"/>
                <w:b/>
                <w:bCs/>
                <w:sz w:val="20"/>
                <w:szCs w:val="20"/>
              </w:rPr>
              <w:t>16 812</w:t>
            </w:r>
            <w:r w:rsidR="00F866A4" w:rsidRPr="00215B3D">
              <w:rPr>
                <w:rFonts w:ascii="Segoe UI" w:hAnsi="Segoe UI" w:cs="Segoe UI"/>
                <w:b/>
                <w:bCs/>
                <w:sz w:val="20"/>
                <w:szCs w:val="20"/>
              </w:rPr>
              <w:t>,2</w:t>
            </w:r>
          </w:p>
        </w:tc>
        <w:tc>
          <w:tcPr>
            <w:tcW w:w="1258" w:type="dxa"/>
            <w:tcBorders>
              <w:top w:val="nil"/>
              <w:left w:val="nil"/>
              <w:bottom w:val="single" w:sz="4" w:space="0" w:color="auto"/>
              <w:right w:val="single" w:sz="4" w:space="0" w:color="auto"/>
            </w:tcBorders>
            <w:noWrap/>
            <w:vAlign w:val="center"/>
            <w:hideMark/>
          </w:tcPr>
          <w:p w:rsidR="00F866A4" w:rsidRPr="00215B3D" w:rsidRDefault="003F310B" w:rsidP="007C0DC9">
            <w:pPr>
              <w:spacing w:after="0" w:line="240" w:lineRule="auto"/>
              <w:rPr>
                <w:rFonts w:ascii="Segoe UI" w:hAnsi="Segoe UI" w:cs="Segoe UI"/>
                <w:b/>
                <w:bCs/>
                <w:sz w:val="20"/>
                <w:szCs w:val="20"/>
              </w:rPr>
            </w:pPr>
            <w:r w:rsidRPr="00215B3D">
              <w:rPr>
                <w:rFonts w:ascii="Segoe UI" w:hAnsi="Segoe UI" w:cs="Segoe UI"/>
                <w:b/>
                <w:bCs/>
                <w:sz w:val="20"/>
                <w:szCs w:val="20"/>
              </w:rPr>
              <w:t xml:space="preserve">      </w:t>
            </w:r>
            <w:r w:rsidR="00F866A4" w:rsidRPr="00215B3D">
              <w:rPr>
                <w:rFonts w:ascii="Segoe UI" w:hAnsi="Segoe UI" w:cs="Segoe UI"/>
                <w:b/>
                <w:bCs/>
                <w:sz w:val="20"/>
                <w:szCs w:val="20"/>
              </w:rPr>
              <w:t>120,</w:t>
            </w:r>
            <w:r w:rsidR="007C0DC9">
              <w:rPr>
                <w:rFonts w:ascii="Segoe UI" w:hAnsi="Segoe UI" w:cs="Segoe UI"/>
                <w:b/>
                <w:bCs/>
                <w:sz w:val="20"/>
                <w:szCs w:val="20"/>
              </w:rPr>
              <w:t>6</w:t>
            </w:r>
          </w:p>
        </w:tc>
      </w:tr>
    </w:tbl>
    <w:p w:rsidR="00D23496" w:rsidRDefault="00F12E78" w:rsidP="009B6995">
      <w:pPr>
        <w:spacing w:before="120" w:after="0"/>
        <w:rPr>
          <w:rFonts w:ascii="Segoe UI" w:hAnsi="Segoe UI" w:cs="Segoe UI"/>
          <w:sz w:val="16"/>
          <w:szCs w:val="26"/>
        </w:rPr>
      </w:pPr>
      <w:r w:rsidRPr="00215B3D">
        <w:rPr>
          <w:rFonts w:ascii="Segoe UI" w:hAnsi="Segoe UI" w:cs="Segoe UI"/>
          <w:b/>
          <w:sz w:val="20"/>
          <w:szCs w:val="20"/>
          <w:u w:val="single"/>
        </w:rPr>
        <w:t>Source</w:t>
      </w:r>
      <w:r w:rsidRPr="00215B3D">
        <w:rPr>
          <w:rFonts w:ascii="Segoe UI" w:hAnsi="Segoe UI" w:cs="Segoe UI"/>
          <w:sz w:val="20"/>
          <w:szCs w:val="20"/>
        </w:rPr>
        <w:t> :</w:t>
      </w:r>
      <w:r w:rsidR="00D23496" w:rsidRPr="00215B3D">
        <w:rPr>
          <w:rFonts w:ascii="Segoe UI" w:hAnsi="Segoe UI" w:cs="Segoe UI"/>
          <w:sz w:val="20"/>
          <w:szCs w:val="20"/>
        </w:rPr>
        <w:t xml:space="preserve"> </w:t>
      </w:r>
      <w:r w:rsidRPr="00215B3D">
        <w:rPr>
          <w:rFonts w:ascii="Segoe UI" w:hAnsi="Segoe UI" w:cs="Segoe UI"/>
          <w:sz w:val="16"/>
          <w:szCs w:val="26"/>
        </w:rPr>
        <w:t>DGB, sur la base des données fournies par le FNRB et les autres organismes, juin 2017</w:t>
      </w:r>
    </w:p>
    <w:p w:rsidR="008253BA" w:rsidRDefault="008253BA" w:rsidP="009B6995">
      <w:pPr>
        <w:spacing w:before="120" w:after="0"/>
        <w:rPr>
          <w:rFonts w:ascii="Segoe UI" w:hAnsi="Segoe UI" w:cs="Segoe UI"/>
          <w:sz w:val="16"/>
          <w:szCs w:val="26"/>
        </w:rPr>
      </w:pPr>
    </w:p>
    <w:p w:rsidR="007C7AF8" w:rsidRPr="00215B3D" w:rsidRDefault="00050107" w:rsidP="00C71706">
      <w:pPr>
        <w:pStyle w:val="Titre3"/>
        <w:spacing w:before="0"/>
        <w:ind w:left="720"/>
        <w:rPr>
          <w:rFonts w:ascii="Segoe UI" w:hAnsi="Segoe UI" w:cs="Segoe UI"/>
          <w:sz w:val="26"/>
          <w:szCs w:val="26"/>
        </w:rPr>
      </w:pPr>
      <w:bookmarkStart w:id="18" w:name="_Toc496025004"/>
      <w:r w:rsidRPr="00215B3D">
        <w:rPr>
          <w:rFonts w:ascii="Segoe UI" w:hAnsi="Segoe UI" w:cs="Segoe UI"/>
          <w:sz w:val="26"/>
          <w:szCs w:val="26"/>
        </w:rPr>
        <w:t>A</w:t>
      </w:r>
      <w:r w:rsidR="00552020">
        <w:rPr>
          <w:rFonts w:ascii="Segoe UI" w:hAnsi="Segoe UI" w:cs="Segoe UI"/>
          <w:sz w:val="26"/>
          <w:szCs w:val="26"/>
        </w:rPr>
        <w:t xml:space="preserve">.4- </w:t>
      </w:r>
      <w:r w:rsidR="007C7AF8" w:rsidRPr="00215B3D">
        <w:rPr>
          <w:rFonts w:ascii="Segoe UI" w:hAnsi="Segoe UI" w:cs="Segoe UI"/>
          <w:sz w:val="26"/>
          <w:szCs w:val="26"/>
        </w:rPr>
        <w:t>Comptes d’</w:t>
      </w:r>
      <w:r w:rsidR="00456B26" w:rsidRPr="00215B3D">
        <w:rPr>
          <w:rFonts w:ascii="Segoe UI" w:hAnsi="Segoe UI" w:cs="Segoe UI"/>
          <w:sz w:val="26"/>
          <w:szCs w:val="26"/>
        </w:rPr>
        <w:t>A</w:t>
      </w:r>
      <w:r w:rsidR="007C7AF8" w:rsidRPr="00215B3D">
        <w:rPr>
          <w:rFonts w:ascii="Segoe UI" w:hAnsi="Segoe UI" w:cs="Segoe UI"/>
          <w:sz w:val="26"/>
          <w:szCs w:val="26"/>
        </w:rPr>
        <w:t>ffectation Spéciale (CAS)</w:t>
      </w:r>
      <w:bookmarkEnd w:id="18"/>
    </w:p>
    <w:p w:rsidR="005925F0" w:rsidRPr="00215B3D" w:rsidRDefault="005925F0" w:rsidP="000C178C">
      <w:pPr>
        <w:spacing w:after="0" w:line="360" w:lineRule="auto"/>
        <w:jc w:val="both"/>
        <w:rPr>
          <w:rFonts w:ascii="Segoe UI" w:hAnsi="Segoe UI" w:cs="Segoe UI"/>
          <w:sz w:val="10"/>
          <w:szCs w:val="26"/>
        </w:rPr>
      </w:pPr>
    </w:p>
    <w:p w:rsidR="007B5CDC" w:rsidRDefault="00803AD9" w:rsidP="000C178C">
      <w:pPr>
        <w:spacing w:after="0" w:line="360" w:lineRule="auto"/>
        <w:jc w:val="both"/>
        <w:rPr>
          <w:rFonts w:ascii="Segoe UI" w:hAnsi="Segoe UI" w:cs="Segoe UI"/>
          <w:sz w:val="24"/>
          <w:szCs w:val="26"/>
        </w:rPr>
      </w:pPr>
      <w:r w:rsidRPr="00215B3D">
        <w:rPr>
          <w:rFonts w:ascii="Segoe UI" w:hAnsi="Segoe UI" w:cs="Segoe UI"/>
          <w:sz w:val="24"/>
          <w:szCs w:val="26"/>
        </w:rPr>
        <w:t xml:space="preserve">Les recettes au profit des comptes Opérations Militaires à l’Etranger (OME) et Partenariat Mondial pour l’Education (PME), ont été mobilisées à hauteur de </w:t>
      </w:r>
      <w:r w:rsidR="00214007" w:rsidRPr="00214007">
        <w:rPr>
          <w:rFonts w:ascii="Segoe UI" w:hAnsi="Segoe UI" w:cs="Segoe UI"/>
          <w:b/>
          <w:sz w:val="24"/>
          <w:szCs w:val="26"/>
        </w:rPr>
        <w:t>5 050,8</w:t>
      </w:r>
      <w:r w:rsidR="00FE3CA5">
        <w:rPr>
          <w:rFonts w:ascii="Segoe UI" w:hAnsi="Segoe UI" w:cs="Segoe UI"/>
          <w:b/>
          <w:sz w:val="24"/>
          <w:szCs w:val="26"/>
        </w:rPr>
        <w:t xml:space="preserve"> </w:t>
      </w:r>
      <w:r w:rsidRPr="00215B3D">
        <w:rPr>
          <w:rFonts w:ascii="Segoe UI" w:hAnsi="Segoe UI" w:cs="Segoe UI"/>
          <w:b/>
          <w:sz w:val="24"/>
          <w:szCs w:val="26"/>
        </w:rPr>
        <w:t>millions de FCFA</w:t>
      </w:r>
      <w:r w:rsidRPr="00215B3D">
        <w:rPr>
          <w:rFonts w:ascii="Segoe UI" w:hAnsi="Segoe UI" w:cs="Segoe UI"/>
          <w:sz w:val="24"/>
          <w:szCs w:val="26"/>
        </w:rPr>
        <w:t xml:space="preserve">, à fin juin 2017, </w:t>
      </w:r>
      <w:r w:rsidR="005F6C03" w:rsidRPr="00215B3D">
        <w:rPr>
          <w:rFonts w:ascii="Segoe UI" w:hAnsi="Segoe UI" w:cs="Segoe UI"/>
          <w:sz w:val="24"/>
          <w:szCs w:val="26"/>
        </w:rPr>
        <w:t xml:space="preserve">sur une prévision </w:t>
      </w:r>
      <w:r w:rsidR="00464E37" w:rsidRPr="00215B3D">
        <w:rPr>
          <w:rFonts w:ascii="Segoe UI" w:hAnsi="Segoe UI" w:cs="Segoe UI"/>
          <w:sz w:val="24"/>
          <w:szCs w:val="26"/>
        </w:rPr>
        <w:t xml:space="preserve">annuelle </w:t>
      </w:r>
      <w:r w:rsidR="004E765F" w:rsidRPr="00215B3D">
        <w:rPr>
          <w:rFonts w:ascii="Segoe UI" w:hAnsi="Segoe UI" w:cs="Segoe UI"/>
          <w:sz w:val="24"/>
          <w:szCs w:val="26"/>
        </w:rPr>
        <w:t xml:space="preserve">de </w:t>
      </w:r>
      <w:r w:rsidR="00AD0DCC" w:rsidRPr="00215B3D">
        <w:rPr>
          <w:rFonts w:ascii="Segoe UI" w:hAnsi="Segoe UI" w:cs="Segoe UI"/>
          <w:sz w:val="24"/>
          <w:szCs w:val="26"/>
        </w:rPr>
        <w:t>23 784</w:t>
      </w:r>
      <w:r w:rsidR="005F6C03" w:rsidRPr="00215B3D">
        <w:rPr>
          <w:rFonts w:ascii="Segoe UI" w:hAnsi="Segoe UI" w:cs="Segoe UI"/>
          <w:sz w:val="24"/>
          <w:szCs w:val="26"/>
        </w:rPr>
        <w:t xml:space="preserve"> millions de FCFA</w:t>
      </w:r>
      <w:r w:rsidR="00F12E78" w:rsidRPr="00215B3D">
        <w:rPr>
          <w:rFonts w:ascii="Segoe UI" w:hAnsi="Segoe UI" w:cs="Segoe UI"/>
          <w:sz w:val="24"/>
          <w:szCs w:val="26"/>
        </w:rPr>
        <w:t xml:space="preserve"> correspondant à un taux de réalisation de </w:t>
      </w:r>
      <w:r w:rsidR="00FE3CA5">
        <w:rPr>
          <w:rFonts w:ascii="Segoe UI" w:hAnsi="Segoe UI" w:cs="Segoe UI"/>
          <w:b/>
          <w:sz w:val="24"/>
          <w:szCs w:val="26"/>
        </w:rPr>
        <w:t>2</w:t>
      </w:r>
      <w:r w:rsidR="00214007">
        <w:rPr>
          <w:rFonts w:ascii="Segoe UI" w:hAnsi="Segoe UI" w:cs="Segoe UI"/>
          <w:b/>
          <w:sz w:val="24"/>
          <w:szCs w:val="26"/>
        </w:rPr>
        <w:t>1,2</w:t>
      </w:r>
      <w:r w:rsidR="00F12E78" w:rsidRPr="00215B3D">
        <w:rPr>
          <w:rFonts w:ascii="Segoe UI" w:hAnsi="Segoe UI" w:cs="Segoe UI"/>
          <w:b/>
          <w:sz w:val="24"/>
          <w:szCs w:val="26"/>
        </w:rPr>
        <w:t>%</w:t>
      </w:r>
      <w:r w:rsidR="00A83CDD" w:rsidRPr="00215B3D">
        <w:rPr>
          <w:rFonts w:ascii="Segoe UI" w:hAnsi="Segoe UI" w:cs="Segoe UI"/>
          <w:b/>
          <w:sz w:val="24"/>
          <w:szCs w:val="26"/>
        </w:rPr>
        <w:t>.</w:t>
      </w:r>
      <w:r w:rsidR="004409BF" w:rsidRPr="00215B3D">
        <w:rPr>
          <w:rFonts w:ascii="Segoe UI" w:hAnsi="Segoe UI" w:cs="Segoe UI"/>
          <w:b/>
          <w:sz w:val="24"/>
          <w:szCs w:val="26"/>
        </w:rPr>
        <w:t xml:space="preserve"> </w:t>
      </w:r>
      <w:r w:rsidR="00B17F1C" w:rsidRPr="00215B3D">
        <w:rPr>
          <w:rFonts w:ascii="Segoe UI" w:hAnsi="Segoe UI" w:cs="Segoe UI"/>
          <w:sz w:val="24"/>
          <w:szCs w:val="26"/>
        </w:rPr>
        <w:t>L</w:t>
      </w:r>
      <w:r w:rsidR="002D0477" w:rsidRPr="00215B3D">
        <w:rPr>
          <w:rFonts w:ascii="Segoe UI" w:hAnsi="Segoe UI" w:cs="Segoe UI"/>
          <w:sz w:val="24"/>
          <w:szCs w:val="26"/>
        </w:rPr>
        <w:t>es réalisations des différents CAS se présente</w:t>
      </w:r>
      <w:r w:rsidR="00B17F1C" w:rsidRPr="00215B3D">
        <w:rPr>
          <w:rFonts w:ascii="Segoe UI" w:hAnsi="Segoe UI" w:cs="Segoe UI"/>
          <w:sz w:val="24"/>
          <w:szCs w:val="26"/>
        </w:rPr>
        <w:t>nt</w:t>
      </w:r>
      <w:r w:rsidR="002D0477" w:rsidRPr="00215B3D">
        <w:rPr>
          <w:rFonts w:ascii="Segoe UI" w:hAnsi="Segoe UI" w:cs="Segoe UI"/>
          <w:sz w:val="24"/>
          <w:szCs w:val="26"/>
        </w:rPr>
        <w:t xml:space="preserve"> ainsi qu’il suit :</w:t>
      </w:r>
    </w:p>
    <w:p w:rsidR="007E3BE0" w:rsidRDefault="007E3BE0" w:rsidP="000C178C">
      <w:pPr>
        <w:spacing w:after="0" w:line="360" w:lineRule="auto"/>
        <w:jc w:val="both"/>
        <w:rPr>
          <w:rFonts w:ascii="Segoe UI" w:hAnsi="Segoe UI" w:cs="Segoe UI"/>
          <w:sz w:val="24"/>
          <w:szCs w:val="26"/>
        </w:rPr>
      </w:pPr>
    </w:p>
    <w:p w:rsidR="007E3BE0" w:rsidRDefault="007E3BE0" w:rsidP="000C178C">
      <w:pPr>
        <w:spacing w:after="0" w:line="360" w:lineRule="auto"/>
        <w:jc w:val="both"/>
        <w:rPr>
          <w:rFonts w:ascii="Segoe UI" w:hAnsi="Segoe UI" w:cs="Segoe UI"/>
          <w:sz w:val="24"/>
          <w:szCs w:val="26"/>
        </w:rPr>
      </w:pPr>
    </w:p>
    <w:p w:rsidR="007E3BE0" w:rsidRDefault="007E3BE0" w:rsidP="000C178C">
      <w:pPr>
        <w:spacing w:after="0" w:line="360" w:lineRule="auto"/>
        <w:jc w:val="both"/>
        <w:rPr>
          <w:rFonts w:ascii="Segoe UI" w:hAnsi="Segoe UI" w:cs="Segoe UI"/>
          <w:sz w:val="24"/>
          <w:szCs w:val="26"/>
        </w:rPr>
      </w:pPr>
    </w:p>
    <w:p w:rsidR="007E3BE0" w:rsidRDefault="007E3BE0" w:rsidP="000C178C">
      <w:pPr>
        <w:spacing w:after="0" w:line="360" w:lineRule="auto"/>
        <w:jc w:val="both"/>
        <w:rPr>
          <w:rFonts w:ascii="Segoe UI" w:hAnsi="Segoe UI" w:cs="Segoe UI"/>
          <w:sz w:val="24"/>
          <w:szCs w:val="26"/>
        </w:rPr>
      </w:pPr>
    </w:p>
    <w:p w:rsidR="007E3BE0" w:rsidRDefault="007E3BE0" w:rsidP="000C178C">
      <w:pPr>
        <w:spacing w:after="0" w:line="360" w:lineRule="auto"/>
        <w:jc w:val="both"/>
        <w:rPr>
          <w:rFonts w:ascii="Segoe UI" w:hAnsi="Segoe UI" w:cs="Segoe UI"/>
          <w:sz w:val="24"/>
          <w:szCs w:val="26"/>
        </w:rPr>
      </w:pPr>
    </w:p>
    <w:p w:rsidR="007E3BE0" w:rsidRPr="00215B3D" w:rsidRDefault="007E3BE0" w:rsidP="000C178C">
      <w:pPr>
        <w:spacing w:after="0" w:line="360" w:lineRule="auto"/>
        <w:jc w:val="both"/>
        <w:rPr>
          <w:rFonts w:ascii="Segoe UI" w:hAnsi="Segoe UI" w:cs="Segoe UI"/>
          <w:sz w:val="24"/>
          <w:szCs w:val="26"/>
        </w:rPr>
      </w:pPr>
    </w:p>
    <w:p w:rsidR="000F429C" w:rsidRPr="00215B3D" w:rsidRDefault="00E545C0" w:rsidP="007B5CDC">
      <w:pPr>
        <w:pStyle w:val="Listedestableaux"/>
        <w:rPr>
          <w:rFonts w:ascii="Segoe UI" w:hAnsi="Segoe UI" w:cs="Segoe UI"/>
        </w:rPr>
      </w:pPr>
      <w:bookmarkStart w:id="19" w:name="_Toc495935940"/>
      <w:r w:rsidRPr="00215B3D">
        <w:rPr>
          <w:rFonts w:ascii="Segoe UI" w:hAnsi="Segoe UI" w:cs="Segoe UI"/>
          <w:u w:val="single"/>
        </w:rPr>
        <w:lastRenderedPageBreak/>
        <w:t xml:space="preserve">Tableau </w:t>
      </w:r>
      <w:r w:rsidR="00807BBA">
        <w:rPr>
          <w:rFonts w:ascii="Segoe UI" w:hAnsi="Segoe UI" w:cs="Segoe UI"/>
          <w:u w:val="single"/>
        </w:rPr>
        <w:t>5</w:t>
      </w:r>
      <w:r w:rsidRPr="00215B3D">
        <w:rPr>
          <w:rFonts w:ascii="Segoe UI" w:hAnsi="Segoe UI" w:cs="Segoe UI"/>
          <w:u w:val="single"/>
        </w:rPr>
        <w:t> :</w:t>
      </w:r>
      <w:r w:rsidR="00F64D87" w:rsidRPr="00215B3D">
        <w:rPr>
          <w:rFonts w:ascii="Segoe UI" w:hAnsi="Segoe UI" w:cs="Segoe UI"/>
        </w:rPr>
        <w:t xml:space="preserve"> </w:t>
      </w:r>
      <w:r w:rsidRPr="00215B3D">
        <w:rPr>
          <w:rFonts w:ascii="Segoe UI" w:hAnsi="Segoe UI" w:cs="Segoe UI"/>
        </w:rPr>
        <w:t xml:space="preserve">Evolution des réalisations des recettes des Comptes </w:t>
      </w:r>
      <w:r w:rsidR="0025437F" w:rsidRPr="00215B3D">
        <w:rPr>
          <w:rFonts w:ascii="Segoe UI" w:hAnsi="Segoe UI" w:cs="Segoe UI"/>
        </w:rPr>
        <w:t>OME et PME</w:t>
      </w:r>
      <w:r w:rsidR="003B3CD1" w:rsidRPr="00215B3D">
        <w:rPr>
          <w:rFonts w:ascii="Segoe UI" w:hAnsi="Segoe UI" w:cs="Segoe UI"/>
        </w:rPr>
        <w:t xml:space="preserve"> au 30 juin</w:t>
      </w:r>
      <w:r w:rsidR="00106E0A" w:rsidRPr="00215B3D">
        <w:rPr>
          <w:rFonts w:ascii="Segoe UI" w:hAnsi="Segoe UI" w:cs="Segoe UI"/>
        </w:rPr>
        <w:t xml:space="preserve"> 2016</w:t>
      </w:r>
      <w:r w:rsidRPr="00215B3D">
        <w:rPr>
          <w:rFonts w:ascii="Segoe UI" w:hAnsi="Segoe UI" w:cs="Segoe UI"/>
        </w:rPr>
        <w:t xml:space="preserve"> et 201</w:t>
      </w:r>
      <w:r w:rsidR="00106E0A" w:rsidRPr="00215B3D">
        <w:rPr>
          <w:rFonts w:ascii="Segoe UI" w:hAnsi="Segoe UI" w:cs="Segoe UI"/>
        </w:rPr>
        <w:t>7</w:t>
      </w:r>
      <w:bookmarkEnd w:id="19"/>
    </w:p>
    <w:p w:rsidR="009C1B13" w:rsidRPr="00215B3D" w:rsidRDefault="00137BF0" w:rsidP="00137BF0">
      <w:pPr>
        <w:spacing w:after="0" w:line="240" w:lineRule="auto"/>
        <w:jc w:val="center"/>
        <w:rPr>
          <w:rFonts w:ascii="Segoe UI" w:hAnsi="Segoe UI" w:cs="Segoe UI"/>
        </w:rPr>
      </w:pPr>
      <w:r w:rsidRPr="00215B3D">
        <w:rPr>
          <w:rFonts w:ascii="Segoe UI" w:hAnsi="Segoe UI" w:cs="Segoe UI"/>
        </w:rPr>
        <w:t xml:space="preserve">                                                                                    </w:t>
      </w:r>
      <w:r w:rsidR="00E545C0" w:rsidRPr="00215B3D">
        <w:rPr>
          <w:rFonts w:ascii="Segoe UI" w:hAnsi="Segoe UI" w:cs="Segoe UI"/>
        </w:rPr>
        <w:t>En millions de FCFA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1138"/>
        <w:gridCol w:w="1176"/>
        <w:gridCol w:w="1045"/>
        <w:gridCol w:w="1346"/>
        <w:gridCol w:w="1269"/>
        <w:gridCol w:w="851"/>
      </w:tblGrid>
      <w:tr w:rsidR="00D0234A" w:rsidRPr="00215B3D" w:rsidTr="00472BAF">
        <w:tc>
          <w:tcPr>
            <w:tcW w:w="2639" w:type="dxa"/>
            <w:vMerge w:val="restart"/>
            <w:vAlign w:val="center"/>
          </w:tcPr>
          <w:p w:rsidR="00D0234A" w:rsidRPr="00215B3D" w:rsidRDefault="00D0234A" w:rsidP="00472BAF">
            <w:pPr>
              <w:spacing w:after="0"/>
              <w:jc w:val="center"/>
              <w:rPr>
                <w:rFonts w:ascii="Segoe UI" w:hAnsi="Segoe UI" w:cs="Segoe UI"/>
                <w:b/>
                <w:sz w:val="24"/>
                <w:szCs w:val="26"/>
              </w:rPr>
            </w:pPr>
            <w:r w:rsidRPr="00215B3D">
              <w:rPr>
                <w:rFonts w:ascii="Segoe UI" w:hAnsi="Segoe UI" w:cs="Segoe UI"/>
                <w:b/>
                <w:sz w:val="24"/>
                <w:szCs w:val="26"/>
              </w:rPr>
              <w:t>Comptes d’affectation spéciale</w:t>
            </w:r>
          </w:p>
        </w:tc>
        <w:tc>
          <w:tcPr>
            <w:tcW w:w="3359" w:type="dxa"/>
            <w:gridSpan w:val="3"/>
            <w:vAlign w:val="center"/>
          </w:tcPr>
          <w:p w:rsidR="00D0234A" w:rsidRPr="00215B3D" w:rsidRDefault="00D0234A" w:rsidP="004262A3">
            <w:pPr>
              <w:spacing w:after="0"/>
              <w:jc w:val="center"/>
              <w:rPr>
                <w:rFonts w:ascii="Segoe UI" w:hAnsi="Segoe UI" w:cs="Segoe UI"/>
                <w:b/>
                <w:sz w:val="24"/>
                <w:szCs w:val="26"/>
              </w:rPr>
            </w:pPr>
            <w:r w:rsidRPr="00215B3D">
              <w:rPr>
                <w:rFonts w:ascii="Segoe UI" w:hAnsi="Segoe UI" w:cs="Segoe UI"/>
                <w:b/>
                <w:sz w:val="24"/>
                <w:szCs w:val="26"/>
              </w:rPr>
              <w:t>201</w:t>
            </w:r>
            <w:r w:rsidR="004262A3" w:rsidRPr="00215B3D">
              <w:rPr>
                <w:rFonts w:ascii="Segoe UI" w:hAnsi="Segoe UI" w:cs="Segoe UI"/>
                <w:b/>
                <w:sz w:val="24"/>
                <w:szCs w:val="26"/>
              </w:rPr>
              <w:t>6</w:t>
            </w:r>
          </w:p>
        </w:tc>
        <w:tc>
          <w:tcPr>
            <w:tcW w:w="3466" w:type="dxa"/>
            <w:gridSpan w:val="3"/>
            <w:vAlign w:val="center"/>
          </w:tcPr>
          <w:p w:rsidR="00D0234A" w:rsidRPr="00215B3D" w:rsidRDefault="00D0234A" w:rsidP="004262A3">
            <w:pPr>
              <w:spacing w:after="0"/>
              <w:jc w:val="center"/>
              <w:rPr>
                <w:rFonts w:ascii="Segoe UI" w:hAnsi="Segoe UI" w:cs="Segoe UI"/>
                <w:b/>
                <w:sz w:val="24"/>
                <w:szCs w:val="26"/>
              </w:rPr>
            </w:pPr>
            <w:r w:rsidRPr="00215B3D">
              <w:rPr>
                <w:rFonts w:ascii="Segoe UI" w:hAnsi="Segoe UI" w:cs="Segoe UI"/>
                <w:b/>
                <w:sz w:val="24"/>
                <w:szCs w:val="26"/>
              </w:rPr>
              <w:t>201</w:t>
            </w:r>
            <w:r w:rsidR="004262A3" w:rsidRPr="00215B3D">
              <w:rPr>
                <w:rFonts w:ascii="Segoe UI" w:hAnsi="Segoe UI" w:cs="Segoe UI"/>
                <w:b/>
                <w:sz w:val="24"/>
                <w:szCs w:val="26"/>
              </w:rPr>
              <w:t>7</w:t>
            </w:r>
          </w:p>
        </w:tc>
      </w:tr>
      <w:tr w:rsidR="00D0234A" w:rsidRPr="00215B3D" w:rsidTr="00472BAF">
        <w:tc>
          <w:tcPr>
            <w:tcW w:w="2639" w:type="dxa"/>
            <w:vMerge/>
            <w:vAlign w:val="center"/>
          </w:tcPr>
          <w:p w:rsidR="00D0234A" w:rsidRPr="00215B3D" w:rsidRDefault="00D0234A" w:rsidP="00472BAF">
            <w:pPr>
              <w:spacing w:after="0"/>
              <w:jc w:val="center"/>
              <w:rPr>
                <w:rFonts w:ascii="Segoe UI" w:hAnsi="Segoe UI" w:cs="Segoe UI"/>
                <w:b/>
                <w:sz w:val="24"/>
                <w:szCs w:val="26"/>
              </w:rPr>
            </w:pPr>
          </w:p>
        </w:tc>
        <w:tc>
          <w:tcPr>
            <w:tcW w:w="1138" w:type="dxa"/>
            <w:vAlign w:val="center"/>
          </w:tcPr>
          <w:p w:rsidR="00D0234A" w:rsidRPr="00215B3D" w:rsidRDefault="00D0234A" w:rsidP="00472BAF">
            <w:pPr>
              <w:spacing w:after="0"/>
              <w:jc w:val="center"/>
              <w:rPr>
                <w:rFonts w:ascii="Segoe UI" w:hAnsi="Segoe UI" w:cs="Segoe UI"/>
                <w:b/>
                <w:sz w:val="24"/>
                <w:szCs w:val="26"/>
              </w:rPr>
            </w:pPr>
            <w:proofErr w:type="spellStart"/>
            <w:r w:rsidRPr="00215B3D">
              <w:rPr>
                <w:rFonts w:ascii="Segoe UI" w:hAnsi="Segoe UI" w:cs="Segoe UI"/>
                <w:b/>
                <w:sz w:val="24"/>
                <w:szCs w:val="26"/>
              </w:rPr>
              <w:t>Prév</w:t>
            </w:r>
            <w:proofErr w:type="spellEnd"/>
            <w:r w:rsidRPr="00215B3D">
              <w:rPr>
                <w:rFonts w:ascii="Segoe UI" w:hAnsi="Segoe UI" w:cs="Segoe UI"/>
                <w:b/>
                <w:sz w:val="24"/>
                <w:szCs w:val="26"/>
              </w:rPr>
              <w:t>.</w:t>
            </w:r>
          </w:p>
        </w:tc>
        <w:tc>
          <w:tcPr>
            <w:tcW w:w="1176" w:type="dxa"/>
            <w:vAlign w:val="center"/>
          </w:tcPr>
          <w:p w:rsidR="00D0234A" w:rsidRPr="00215B3D" w:rsidRDefault="00D0234A" w:rsidP="00472BAF">
            <w:pPr>
              <w:spacing w:after="0"/>
              <w:jc w:val="center"/>
              <w:rPr>
                <w:rFonts w:ascii="Segoe UI" w:hAnsi="Segoe UI" w:cs="Segoe UI"/>
                <w:b/>
                <w:sz w:val="24"/>
                <w:szCs w:val="26"/>
              </w:rPr>
            </w:pPr>
            <w:r w:rsidRPr="00215B3D">
              <w:rPr>
                <w:rFonts w:ascii="Segoe UI" w:hAnsi="Segoe UI" w:cs="Segoe UI"/>
                <w:b/>
                <w:sz w:val="24"/>
                <w:szCs w:val="26"/>
              </w:rPr>
              <w:t>Réal.</w:t>
            </w:r>
          </w:p>
        </w:tc>
        <w:tc>
          <w:tcPr>
            <w:tcW w:w="1045" w:type="dxa"/>
            <w:vAlign w:val="center"/>
          </w:tcPr>
          <w:p w:rsidR="00D0234A" w:rsidRPr="00215B3D" w:rsidRDefault="00D0234A" w:rsidP="00472BAF">
            <w:pPr>
              <w:spacing w:after="0"/>
              <w:jc w:val="center"/>
              <w:rPr>
                <w:rFonts w:ascii="Segoe UI" w:hAnsi="Segoe UI" w:cs="Segoe UI"/>
                <w:b/>
                <w:sz w:val="24"/>
                <w:szCs w:val="26"/>
              </w:rPr>
            </w:pPr>
            <w:r w:rsidRPr="00215B3D">
              <w:rPr>
                <w:rFonts w:ascii="Segoe UI" w:hAnsi="Segoe UI" w:cs="Segoe UI"/>
                <w:b/>
                <w:sz w:val="24"/>
                <w:szCs w:val="26"/>
              </w:rPr>
              <w:t>Taux</w:t>
            </w:r>
          </w:p>
          <w:p w:rsidR="002B7875" w:rsidRPr="00215B3D" w:rsidRDefault="002B7875" w:rsidP="00472BAF">
            <w:pPr>
              <w:spacing w:after="0"/>
              <w:jc w:val="center"/>
              <w:rPr>
                <w:rFonts w:ascii="Segoe UI" w:hAnsi="Segoe UI" w:cs="Segoe UI"/>
                <w:b/>
                <w:sz w:val="24"/>
                <w:szCs w:val="26"/>
              </w:rPr>
            </w:pPr>
            <w:r w:rsidRPr="00215B3D">
              <w:rPr>
                <w:rFonts w:ascii="Segoe UI" w:hAnsi="Segoe UI" w:cs="Segoe UI"/>
                <w:b/>
                <w:sz w:val="24"/>
                <w:szCs w:val="26"/>
              </w:rPr>
              <w:t>(%)</w:t>
            </w:r>
          </w:p>
        </w:tc>
        <w:tc>
          <w:tcPr>
            <w:tcW w:w="1346" w:type="dxa"/>
            <w:vAlign w:val="center"/>
          </w:tcPr>
          <w:p w:rsidR="00D0234A" w:rsidRPr="00215B3D" w:rsidRDefault="00D0234A" w:rsidP="00472BAF">
            <w:pPr>
              <w:spacing w:after="0"/>
              <w:jc w:val="center"/>
              <w:rPr>
                <w:rFonts w:ascii="Segoe UI" w:hAnsi="Segoe UI" w:cs="Segoe UI"/>
                <w:b/>
                <w:sz w:val="24"/>
                <w:szCs w:val="26"/>
              </w:rPr>
            </w:pPr>
            <w:proofErr w:type="spellStart"/>
            <w:r w:rsidRPr="00215B3D">
              <w:rPr>
                <w:rFonts w:ascii="Segoe UI" w:hAnsi="Segoe UI" w:cs="Segoe UI"/>
                <w:b/>
                <w:sz w:val="24"/>
                <w:szCs w:val="26"/>
              </w:rPr>
              <w:t>Prév</w:t>
            </w:r>
            <w:proofErr w:type="spellEnd"/>
            <w:r w:rsidRPr="00215B3D">
              <w:rPr>
                <w:rFonts w:ascii="Segoe UI" w:hAnsi="Segoe UI" w:cs="Segoe UI"/>
                <w:b/>
                <w:sz w:val="24"/>
                <w:szCs w:val="26"/>
              </w:rPr>
              <w:t>.</w:t>
            </w:r>
          </w:p>
        </w:tc>
        <w:tc>
          <w:tcPr>
            <w:tcW w:w="1269" w:type="dxa"/>
            <w:vAlign w:val="center"/>
          </w:tcPr>
          <w:p w:rsidR="00D0234A" w:rsidRPr="00215B3D" w:rsidRDefault="00D0234A" w:rsidP="00472BAF">
            <w:pPr>
              <w:spacing w:after="0"/>
              <w:jc w:val="center"/>
              <w:rPr>
                <w:rFonts w:ascii="Segoe UI" w:hAnsi="Segoe UI" w:cs="Segoe UI"/>
                <w:b/>
                <w:sz w:val="24"/>
                <w:szCs w:val="26"/>
              </w:rPr>
            </w:pPr>
            <w:r w:rsidRPr="00215B3D">
              <w:rPr>
                <w:rFonts w:ascii="Segoe UI" w:hAnsi="Segoe UI" w:cs="Segoe UI"/>
                <w:b/>
                <w:sz w:val="24"/>
                <w:szCs w:val="26"/>
              </w:rPr>
              <w:t>Réal.</w:t>
            </w:r>
          </w:p>
        </w:tc>
        <w:tc>
          <w:tcPr>
            <w:tcW w:w="851" w:type="dxa"/>
            <w:vAlign w:val="center"/>
          </w:tcPr>
          <w:p w:rsidR="00D0234A" w:rsidRPr="00215B3D" w:rsidRDefault="00D0234A" w:rsidP="00472BAF">
            <w:pPr>
              <w:spacing w:after="0"/>
              <w:jc w:val="center"/>
              <w:rPr>
                <w:rFonts w:ascii="Segoe UI" w:hAnsi="Segoe UI" w:cs="Segoe UI"/>
                <w:b/>
                <w:sz w:val="24"/>
                <w:szCs w:val="26"/>
              </w:rPr>
            </w:pPr>
            <w:r w:rsidRPr="00215B3D">
              <w:rPr>
                <w:rFonts w:ascii="Segoe UI" w:hAnsi="Segoe UI" w:cs="Segoe UI"/>
                <w:b/>
                <w:sz w:val="24"/>
                <w:szCs w:val="26"/>
              </w:rPr>
              <w:t>Taux</w:t>
            </w:r>
          </w:p>
          <w:p w:rsidR="00B17F1C" w:rsidRPr="00215B3D" w:rsidRDefault="00B17F1C" w:rsidP="00472BAF">
            <w:pPr>
              <w:spacing w:after="0"/>
              <w:jc w:val="center"/>
              <w:rPr>
                <w:rFonts w:ascii="Segoe UI" w:hAnsi="Segoe UI" w:cs="Segoe UI"/>
                <w:b/>
                <w:sz w:val="24"/>
                <w:szCs w:val="26"/>
              </w:rPr>
            </w:pPr>
            <w:r w:rsidRPr="00215B3D">
              <w:rPr>
                <w:rFonts w:ascii="Segoe UI" w:hAnsi="Segoe UI" w:cs="Segoe UI"/>
                <w:b/>
                <w:sz w:val="24"/>
                <w:szCs w:val="26"/>
              </w:rPr>
              <w:t>(%)</w:t>
            </w:r>
          </w:p>
        </w:tc>
      </w:tr>
      <w:tr w:rsidR="0002064C" w:rsidRPr="00215B3D" w:rsidTr="00472BAF">
        <w:tc>
          <w:tcPr>
            <w:tcW w:w="2639" w:type="dxa"/>
          </w:tcPr>
          <w:p w:rsidR="0002064C" w:rsidRPr="00215B3D" w:rsidRDefault="0002064C" w:rsidP="00472BAF">
            <w:pPr>
              <w:spacing w:after="0"/>
              <w:jc w:val="both"/>
              <w:rPr>
                <w:rFonts w:ascii="Segoe UI" w:hAnsi="Segoe UI" w:cs="Segoe UI"/>
                <w:sz w:val="24"/>
                <w:szCs w:val="26"/>
              </w:rPr>
            </w:pPr>
            <w:r w:rsidRPr="00215B3D">
              <w:rPr>
                <w:rFonts w:ascii="Segoe UI" w:hAnsi="Segoe UI" w:cs="Segoe UI"/>
                <w:sz w:val="24"/>
                <w:szCs w:val="26"/>
              </w:rPr>
              <w:t>Opérations Militaires à l’Extérieur (OME)</w:t>
            </w:r>
          </w:p>
        </w:tc>
        <w:tc>
          <w:tcPr>
            <w:tcW w:w="1138" w:type="dxa"/>
          </w:tcPr>
          <w:p w:rsidR="0002064C" w:rsidRPr="00215B3D" w:rsidRDefault="004262A3" w:rsidP="00472BAF">
            <w:pPr>
              <w:spacing w:after="0"/>
              <w:jc w:val="right"/>
              <w:rPr>
                <w:rFonts w:ascii="Segoe UI" w:hAnsi="Segoe UI" w:cs="Segoe UI"/>
                <w:sz w:val="24"/>
                <w:szCs w:val="26"/>
              </w:rPr>
            </w:pPr>
            <w:r w:rsidRPr="00215B3D">
              <w:rPr>
                <w:rFonts w:ascii="Segoe UI" w:hAnsi="Segoe UI" w:cs="Segoe UI"/>
                <w:sz w:val="24"/>
                <w:szCs w:val="26"/>
              </w:rPr>
              <w:t>13</w:t>
            </w:r>
            <w:r w:rsidR="0002064C" w:rsidRPr="00215B3D">
              <w:rPr>
                <w:rFonts w:ascii="Segoe UI" w:hAnsi="Segoe UI" w:cs="Segoe UI"/>
                <w:sz w:val="24"/>
                <w:szCs w:val="26"/>
              </w:rPr>
              <w:t xml:space="preserve"> 000</w:t>
            </w:r>
          </w:p>
        </w:tc>
        <w:tc>
          <w:tcPr>
            <w:tcW w:w="1176" w:type="dxa"/>
          </w:tcPr>
          <w:p w:rsidR="0002064C" w:rsidRPr="00215B3D" w:rsidRDefault="009F683D" w:rsidP="00472BAF">
            <w:pPr>
              <w:spacing w:after="0"/>
              <w:jc w:val="right"/>
              <w:rPr>
                <w:rFonts w:ascii="Segoe UI" w:hAnsi="Segoe UI" w:cs="Segoe UI"/>
                <w:sz w:val="24"/>
                <w:szCs w:val="26"/>
              </w:rPr>
            </w:pPr>
            <w:r w:rsidRPr="00215B3D">
              <w:rPr>
                <w:rFonts w:ascii="Segoe UI" w:hAnsi="Segoe UI" w:cs="Segoe UI"/>
                <w:sz w:val="24"/>
                <w:szCs w:val="26"/>
              </w:rPr>
              <w:t>1</w:t>
            </w:r>
            <w:r w:rsidR="004262A3" w:rsidRPr="00215B3D">
              <w:rPr>
                <w:rFonts w:ascii="Segoe UI" w:hAnsi="Segoe UI" w:cs="Segoe UI"/>
                <w:sz w:val="24"/>
                <w:szCs w:val="26"/>
              </w:rPr>
              <w:t> 047,3</w:t>
            </w:r>
          </w:p>
        </w:tc>
        <w:tc>
          <w:tcPr>
            <w:tcW w:w="1045" w:type="dxa"/>
          </w:tcPr>
          <w:p w:rsidR="0002064C" w:rsidRPr="00215B3D" w:rsidRDefault="004262A3" w:rsidP="00472BAF">
            <w:pPr>
              <w:spacing w:after="0"/>
              <w:jc w:val="center"/>
              <w:rPr>
                <w:rFonts w:ascii="Segoe UI" w:hAnsi="Segoe UI" w:cs="Segoe UI"/>
                <w:sz w:val="24"/>
                <w:szCs w:val="26"/>
              </w:rPr>
            </w:pPr>
            <w:r w:rsidRPr="00215B3D">
              <w:rPr>
                <w:rFonts w:ascii="Segoe UI" w:hAnsi="Segoe UI" w:cs="Segoe UI"/>
                <w:sz w:val="24"/>
                <w:szCs w:val="26"/>
              </w:rPr>
              <w:t>8,1</w:t>
            </w:r>
          </w:p>
        </w:tc>
        <w:tc>
          <w:tcPr>
            <w:tcW w:w="1346" w:type="dxa"/>
          </w:tcPr>
          <w:p w:rsidR="0002064C" w:rsidRPr="00215B3D" w:rsidRDefault="0002064C" w:rsidP="004262A3">
            <w:pPr>
              <w:spacing w:after="0"/>
              <w:jc w:val="right"/>
              <w:rPr>
                <w:rFonts w:ascii="Segoe UI" w:hAnsi="Segoe UI" w:cs="Segoe UI"/>
                <w:sz w:val="24"/>
                <w:szCs w:val="26"/>
              </w:rPr>
            </w:pPr>
            <w:r w:rsidRPr="00215B3D">
              <w:rPr>
                <w:rFonts w:ascii="Segoe UI" w:hAnsi="Segoe UI" w:cs="Segoe UI"/>
                <w:sz w:val="24"/>
                <w:szCs w:val="26"/>
              </w:rPr>
              <w:t>1</w:t>
            </w:r>
            <w:r w:rsidR="004262A3" w:rsidRPr="00215B3D">
              <w:rPr>
                <w:rFonts w:ascii="Segoe UI" w:hAnsi="Segoe UI" w:cs="Segoe UI"/>
                <w:sz w:val="24"/>
                <w:szCs w:val="26"/>
              </w:rPr>
              <w:t>6</w:t>
            </w:r>
            <w:r w:rsidRPr="00215B3D">
              <w:rPr>
                <w:rFonts w:ascii="Segoe UI" w:hAnsi="Segoe UI" w:cs="Segoe UI"/>
                <w:sz w:val="24"/>
                <w:szCs w:val="26"/>
              </w:rPr>
              <w:t xml:space="preserve"> 000</w:t>
            </w:r>
          </w:p>
        </w:tc>
        <w:tc>
          <w:tcPr>
            <w:tcW w:w="1269" w:type="dxa"/>
          </w:tcPr>
          <w:p w:rsidR="0002064C" w:rsidRPr="00215B3D" w:rsidRDefault="00FE3CA5" w:rsidP="00214007">
            <w:pPr>
              <w:spacing w:after="0"/>
              <w:jc w:val="center"/>
              <w:rPr>
                <w:rFonts w:ascii="Segoe UI" w:hAnsi="Segoe UI" w:cs="Segoe UI"/>
                <w:sz w:val="24"/>
                <w:szCs w:val="26"/>
              </w:rPr>
            </w:pPr>
            <w:r>
              <w:rPr>
                <w:rFonts w:ascii="Segoe UI" w:hAnsi="Segoe UI" w:cs="Segoe UI"/>
                <w:sz w:val="24"/>
                <w:szCs w:val="26"/>
              </w:rPr>
              <w:t>5</w:t>
            </w:r>
            <w:r w:rsidR="00214007">
              <w:rPr>
                <w:rFonts w:ascii="Segoe UI" w:hAnsi="Segoe UI" w:cs="Segoe UI"/>
                <w:sz w:val="24"/>
                <w:szCs w:val="26"/>
              </w:rPr>
              <w:t> </w:t>
            </w:r>
            <w:r>
              <w:rPr>
                <w:rFonts w:ascii="Segoe UI" w:hAnsi="Segoe UI" w:cs="Segoe UI"/>
                <w:sz w:val="24"/>
                <w:szCs w:val="26"/>
              </w:rPr>
              <w:t>0</w:t>
            </w:r>
            <w:r w:rsidR="00214007">
              <w:rPr>
                <w:rFonts w:ascii="Segoe UI" w:hAnsi="Segoe UI" w:cs="Segoe UI"/>
                <w:sz w:val="24"/>
                <w:szCs w:val="26"/>
              </w:rPr>
              <w:t>50,8</w:t>
            </w:r>
          </w:p>
        </w:tc>
        <w:tc>
          <w:tcPr>
            <w:tcW w:w="851" w:type="dxa"/>
          </w:tcPr>
          <w:p w:rsidR="0002064C" w:rsidRPr="00215B3D" w:rsidRDefault="004262A3" w:rsidP="00214007">
            <w:pPr>
              <w:spacing w:after="0" w:line="240" w:lineRule="auto"/>
              <w:jc w:val="center"/>
              <w:rPr>
                <w:rFonts w:ascii="Times New Roman" w:hAnsi="Times New Roman"/>
                <w:sz w:val="20"/>
                <w:szCs w:val="20"/>
              </w:rPr>
            </w:pPr>
            <w:r w:rsidRPr="00215B3D">
              <w:rPr>
                <w:rFonts w:ascii="Segoe UI" w:hAnsi="Segoe UI" w:cs="Segoe UI"/>
                <w:sz w:val="24"/>
                <w:szCs w:val="26"/>
              </w:rPr>
              <w:t>31,</w:t>
            </w:r>
            <w:r w:rsidR="00214007">
              <w:rPr>
                <w:rFonts w:ascii="Segoe UI" w:hAnsi="Segoe UI" w:cs="Segoe UI"/>
                <w:sz w:val="24"/>
                <w:szCs w:val="26"/>
              </w:rPr>
              <w:t>6</w:t>
            </w:r>
          </w:p>
        </w:tc>
      </w:tr>
      <w:tr w:rsidR="0002064C" w:rsidRPr="00215B3D" w:rsidTr="00472BAF">
        <w:tc>
          <w:tcPr>
            <w:tcW w:w="2639" w:type="dxa"/>
          </w:tcPr>
          <w:p w:rsidR="0002064C" w:rsidRPr="00215B3D" w:rsidRDefault="0002064C" w:rsidP="00472BAF">
            <w:pPr>
              <w:spacing w:after="0"/>
              <w:jc w:val="both"/>
              <w:rPr>
                <w:rFonts w:ascii="Segoe UI" w:hAnsi="Segoe UI" w:cs="Segoe UI"/>
                <w:sz w:val="24"/>
                <w:szCs w:val="26"/>
              </w:rPr>
            </w:pPr>
            <w:r w:rsidRPr="00215B3D">
              <w:rPr>
                <w:rFonts w:ascii="Segoe UI" w:hAnsi="Segoe UI" w:cs="Segoe UI"/>
                <w:sz w:val="24"/>
                <w:szCs w:val="26"/>
              </w:rPr>
              <w:t>Partenariat Mondial pour l’Education (PME)</w:t>
            </w:r>
          </w:p>
        </w:tc>
        <w:tc>
          <w:tcPr>
            <w:tcW w:w="1138" w:type="dxa"/>
          </w:tcPr>
          <w:p w:rsidR="0002064C" w:rsidRPr="00215B3D" w:rsidRDefault="004262A3" w:rsidP="00472BAF">
            <w:pPr>
              <w:spacing w:after="0"/>
              <w:jc w:val="right"/>
              <w:rPr>
                <w:rFonts w:ascii="Segoe UI" w:hAnsi="Segoe UI" w:cs="Segoe UI"/>
                <w:sz w:val="24"/>
                <w:szCs w:val="26"/>
              </w:rPr>
            </w:pPr>
            <w:r w:rsidRPr="00215B3D">
              <w:rPr>
                <w:rFonts w:ascii="Segoe UI" w:hAnsi="Segoe UI" w:cs="Segoe UI"/>
                <w:sz w:val="24"/>
                <w:szCs w:val="26"/>
              </w:rPr>
              <w:t>12 295</w:t>
            </w:r>
          </w:p>
        </w:tc>
        <w:tc>
          <w:tcPr>
            <w:tcW w:w="1176" w:type="dxa"/>
          </w:tcPr>
          <w:p w:rsidR="0002064C" w:rsidRPr="00215B3D" w:rsidRDefault="004262A3" w:rsidP="00472BAF">
            <w:pPr>
              <w:spacing w:after="0"/>
              <w:jc w:val="right"/>
              <w:rPr>
                <w:rFonts w:ascii="Segoe UI" w:hAnsi="Segoe UI" w:cs="Segoe UI"/>
                <w:sz w:val="24"/>
                <w:szCs w:val="26"/>
              </w:rPr>
            </w:pPr>
            <w:r w:rsidRPr="00215B3D">
              <w:rPr>
                <w:rFonts w:ascii="Segoe UI" w:hAnsi="Segoe UI" w:cs="Segoe UI"/>
                <w:sz w:val="24"/>
                <w:szCs w:val="26"/>
              </w:rPr>
              <w:t>0</w:t>
            </w:r>
          </w:p>
        </w:tc>
        <w:tc>
          <w:tcPr>
            <w:tcW w:w="1045" w:type="dxa"/>
          </w:tcPr>
          <w:p w:rsidR="0002064C" w:rsidRPr="00215B3D" w:rsidRDefault="004262A3" w:rsidP="00472BAF">
            <w:pPr>
              <w:spacing w:after="0"/>
              <w:jc w:val="center"/>
              <w:rPr>
                <w:rFonts w:ascii="Segoe UI" w:hAnsi="Segoe UI" w:cs="Segoe UI"/>
                <w:sz w:val="24"/>
                <w:szCs w:val="26"/>
              </w:rPr>
            </w:pPr>
            <w:r w:rsidRPr="00215B3D">
              <w:rPr>
                <w:rFonts w:ascii="Segoe UI" w:hAnsi="Segoe UI" w:cs="Segoe UI"/>
                <w:sz w:val="24"/>
                <w:szCs w:val="26"/>
              </w:rPr>
              <w:t>0</w:t>
            </w:r>
          </w:p>
        </w:tc>
        <w:tc>
          <w:tcPr>
            <w:tcW w:w="1346" w:type="dxa"/>
          </w:tcPr>
          <w:p w:rsidR="0002064C" w:rsidRPr="00215B3D" w:rsidRDefault="004262A3" w:rsidP="004262A3">
            <w:pPr>
              <w:spacing w:after="0"/>
              <w:jc w:val="right"/>
              <w:rPr>
                <w:rFonts w:ascii="Segoe UI" w:hAnsi="Segoe UI" w:cs="Segoe UI"/>
                <w:sz w:val="24"/>
                <w:szCs w:val="26"/>
              </w:rPr>
            </w:pPr>
            <w:r w:rsidRPr="00215B3D">
              <w:rPr>
                <w:rFonts w:ascii="Segoe UI" w:hAnsi="Segoe UI" w:cs="Segoe UI"/>
                <w:sz w:val="24"/>
                <w:szCs w:val="26"/>
              </w:rPr>
              <w:t>7 784,0</w:t>
            </w:r>
          </w:p>
        </w:tc>
        <w:tc>
          <w:tcPr>
            <w:tcW w:w="1269" w:type="dxa"/>
          </w:tcPr>
          <w:p w:rsidR="0002064C" w:rsidRPr="00215B3D" w:rsidRDefault="00214007" w:rsidP="00472BAF">
            <w:pPr>
              <w:spacing w:after="0"/>
              <w:jc w:val="center"/>
              <w:rPr>
                <w:rFonts w:ascii="Segoe UI" w:hAnsi="Segoe UI" w:cs="Segoe UI"/>
                <w:sz w:val="24"/>
                <w:szCs w:val="26"/>
              </w:rPr>
            </w:pPr>
            <w:r>
              <w:rPr>
                <w:rFonts w:ascii="Segoe UI" w:hAnsi="Segoe UI" w:cs="Segoe UI"/>
                <w:sz w:val="24"/>
                <w:szCs w:val="26"/>
              </w:rPr>
              <w:t>0</w:t>
            </w:r>
          </w:p>
        </w:tc>
        <w:tc>
          <w:tcPr>
            <w:tcW w:w="851" w:type="dxa"/>
          </w:tcPr>
          <w:p w:rsidR="0002064C" w:rsidRPr="00215B3D" w:rsidRDefault="00214007" w:rsidP="00472BAF">
            <w:pPr>
              <w:spacing w:after="0" w:line="240" w:lineRule="auto"/>
              <w:jc w:val="center"/>
              <w:rPr>
                <w:rFonts w:ascii="Times New Roman" w:hAnsi="Times New Roman"/>
                <w:sz w:val="20"/>
                <w:szCs w:val="20"/>
              </w:rPr>
            </w:pPr>
            <w:r>
              <w:rPr>
                <w:rFonts w:ascii="Segoe UI" w:hAnsi="Segoe UI" w:cs="Segoe UI"/>
                <w:sz w:val="24"/>
                <w:szCs w:val="26"/>
              </w:rPr>
              <w:t>0</w:t>
            </w:r>
          </w:p>
        </w:tc>
      </w:tr>
      <w:tr w:rsidR="0002064C" w:rsidRPr="00215B3D" w:rsidTr="00472BAF">
        <w:tc>
          <w:tcPr>
            <w:tcW w:w="2639" w:type="dxa"/>
          </w:tcPr>
          <w:p w:rsidR="0002064C" w:rsidRPr="00215B3D" w:rsidRDefault="0002064C" w:rsidP="00472BAF">
            <w:pPr>
              <w:spacing w:after="0" w:line="240" w:lineRule="auto"/>
              <w:jc w:val="both"/>
              <w:rPr>
                <w:rFonts w:ascii="Segoe UI" w:hAnsi="Segoe UI" w:cs="Segoe UI"/>
                <w:b/>
                <w:sz w:val="24"/>
                <w:szCs w:val="26"/>
              </w:rPr>
            </w:pPr>
            <w:r w:rsidRPr="00215B3D">
              <w:rPr>
                <w:rFonts w:ascii="Segoe UI" w:hAnsi="Segoe UI" w:cs="Segoe UI"/>
                <w:b/>
                <w:sz w:val="24"/>
                <w:szCs w:val="26"/>
              </w:rPr>
              <w:t>Total</w:t>
            </w:r>
          </w:p>
        </w:tc>
        <w:tc>
          <w:tcPr>
            <w:tcW w:w="1138" w:type="dxa"/>
          </w:tcPr>
          <w:p w:rsidR="0002064C" w:rsidRPr="00215B3D" w:rsidRDefault="004262A3" w:rsidP="004262A3">
            <w:pPr>
              <w:spacing w:after="0" w:line="240" w:lineRule="auto"/>
              <w:jc w:val="center"/>
              <w:rPr>
                <w:rFonts w:ascii="Segoe UI" w:hAnsi="Segoe UI" w:cs="Segoe UI"/>
                <w:b/>
                <w:sz w:val="24"/>
                <w:szCs w:val="26"/>
              </w:rPr>
            </w:pPr>
            <w:r w:rsidRPr="00215B3D">
              <w:rPr>
                <w:rFonts w:ascii="Segoe UI" w:hAnsi="Segoe UI" w:cs="Segoe UI"/>
                <w:b/>
                <w:sz w:val="24"/>
                <w:szCs w:val="26"/>
              </w:rPr>
              <w:t>25 295</w:t>
            </w:r>
          </w:p>
        </w:tc>
        <w:tc>
          <w:tcPr>
            <w:tcW w:w="1176" w:type="dxa"/>
          </w:tcPr>
          <w:p w:rsidR="0002064C" w:rsidRPr="00215B3D" w:rsidRDefault="004262A3" w:rsidP="00472BAF">
            <w:pPr>
              <w:spacing w:after="0" w:line="240" w:lineRule="auto"/>
              <w:jc w:val="right"/>
              <w:rPr>
                <w:rFonts w:ascii="Segoe UI" w:hAnsi="Segoe UI" w:cs="Segoe UI"/>
                <w:b/>
                <w:sz w:val="24"/>
                <w:szCs w:val="26"/>
              </w:rPr>
            </w:pPr>
            <w:r w:rsidRPr="00215B3D">
              <w:rPr>
                <w:rFonts w:ascii="Segoe UI" w:hAnsi="Segoe UI" w:cs="Segoe UI"/>
                <w:b/>
                <w:sz w:val="24"/>
                <w:szCs w:val="26"/>
              </w:rPr>
              <w:t>1 047,3</w:t>
            </w:r>
          </w:p>
        </w:tc>
        <w:tc>
          <w:tcPr>
            <w:tcW w:w="1045" w:type="dxa"/>
          </w:tcPr>
          <w:p w:rsidR="0002064C" w:rsidRPr="00215B3D" w:rsidRDefault="004262A3" w:rsidP="004262A3">
            <w:pPr>
              <w:spacing w:after="0" w:line="240" w:lineRule="auto"/>
              <w:jc w:val="center"/>
              <w:rPr>
                <w:rFonts w:ascii="Segoe UI" w:hAnsi="Segoe UI" w:cs="Segoe UI"/>
                <w:b/>
                <w:sz w:val="24"/>
                <w:szCs w:val="26"/>
              </w:rPr>
            </w:pPr>
            <w:r w:rsidRPr="00215B3D">
              <w:rPr>
                <w:rFonts w:ascii="Segoe UI" w:hAnsi="Segoe UI" w:cs="Segoe UI"/>
                <w:b/>
                <w:sz w:val="24"/>
                <w:szCs w:val="26"/>
              </w:rPr>
              <w:t>4</w:t>
            </w:r>
            <w:r w:rsidR="001A7D2F" w:rsidRPr="00215B3D">
              <w:rPr>
                <w:rFonts w:ascii="Segoe UI" w:hAnsi="Segoe UI" w:cs="Segoe UI"/>
                <w:b/>
                <w:sz w:val="24"/>
                <w:szCs w:val="26"/>
              </w:rPr>
              <w:t>,</w:t>
            </w:r>
            <w:r w:rsidRPr="00215B3D">
              <w:rPr>
                <w:rFonts w:ascii="Segoe UI" w:hAnsi="Segoe UI" w:cs="Segoe UI"/>
                <w:b/>
                <w:sz w:val="24"/>
                <w:szCs w:val="26"/>
              </w:rPr>
              <w:t>1</w:t>
            </w:r>
          </w:p>
        </w:tc>
        <w:tc>
          <w:tcPr>
            <w:tcW w:w="1346" w:type="dxa"/>
          </w:tcPr>
          <w:p w:rsidR="0002064C" w:rsidRPr="00215B3D" w:rsidRDefault="004262A3" w:rsidP="00472BAF">
            <w:pPr>
              <w:spacing w:after="0" w:line="240" w:lineRule="auto"/>
              <w:jc w:val="right"/>
              <w:rPr>
                <w:rFonts w:ascii="Segoe UI" w:hAnsi="Segoe UI" w:cs="Segoe UI"/>
                <w:b/>
                <w:sz w:val="24"/>
                <w:szCs w:val="26"/>
              </w:rPr>
            </w:pPr>
            <w:r w:rsidRPr="00215B3D">
              <w:rPr>
                <w:rFonts w:ascii="Segoe UI" w:hAnsi="Segoe UI" w:cs="Segoe UI"/>
                <w:b/>
                <w:sz w:val="24"/>
                <w:szCs w:val="26"/>
              </w:rPr>
              <w:t>23 784</w:t>
            </w:r>
          </w:p>
        </w:tc>
        <w:tc>
          <w:tcPr>
            <w:tcW w:w="1269" w:type="dxa"/>
          </w:tcPr>
          <w:p w:rsidR="0002064C" w:rsidRPr="00215B3D" w:rsidRDefault="00214007" w:rsidP="004262A3">
            <w:pPr>
              <w:spacing w:after="0" w:line="240" w:lineRule="auto"/>
              <w:rPr>
                <w:rFonts w:ascii="Segoe UI" w:hAnsi="Segoe UI" w:cs="Segoe UI"/>
                <w:b/>
                <w:sz w:val="24"/>
                <w:szCs w:val="26"/>
              </w:rPr>
            </w:pPr>
            <w:r>
              <w:rPr>
                <w:rFonts w:ascii="Segoe UI" w:hAnsi="Segoe UI" w:cs="Segoe UI"/>
                <w:b/>
                <w:sz w:val="24"/>
                <w:szCs w:val="26"/>
              </w:rPr>
              <w:t>5 050,8</w:t>
            </w:r>
          </w:p>
        </w:tc>
        <w:tc>
          <w:tcPr>
            <w:tcW w:w="851" w:type="dxa"/>
          </w:tcPr>
          <w:p w:rsidR="0002064C" w:rsidRPr="00215B3D" w:rsidRDefault="00FE3CA5" w:rsidP="00214007">
            <w:pPr>
              <w:spacing w:after="0" w:line="240" w:lineRule="auto"/>
              <w:jc w:val="center"/>
              <w:rPr>
                <w:rFonts w:ascii="Segoe UI" w:hAnsi="Segoe UI" w:cs="Segoe UI"/>
                <w:b/>
                <w:sz w:val="24"/>
                <w:szCs w:val="26"/>
              </w:rPr>
            </w:pPr>
            <w:r>
              <w:rPr>
                <w:rFonts w:ascii="Segoe UI" w:hAnsi="Segoe UI" w:cs="Segoe UI"/>
                <w:b/>
                <w:sz w:val="24"/>
                <w:szCs w:val="26"/>
              </w:rPr>
              <w:t>2</w:t>
            </w:r>
            <w:r w:rsidR="00214007">
              <w:rPr>
                <w:rFonts w:ascii="Segoe UI" w:hAnsi="Segoe UI" w:cs="Segoe UI"/>
                <w:b/>
                <w:sz w:val="24"/>
                <w:szCs w:val="26"/>
              </w:rPr>
              <w:t>1</w:t>
            </w:r>
            <w:r>
              <w:rPr>
                <w:rFonts w:ascii="Segoe UI" w:hAnsi="Segoe UI" w:cs="Segoe UI"/>
                <w:b/>
                <w:sz w:val="24"/>
                <w:szCs w:val="26"/>
              </w:rPr>
              <w:t>,</w:t>
            </w:r>
            <w:r w:rsidR="00214007">
              <w:rPr>
                <w:rFonts w:ascii="Segoe UI" w:hAnsi="Segoe UI" w:cs="Segoe UI"/>
                <w:b/>
                <w:sz w:val="24"/>
                <w:szCs w:val="26"/>
              </w:rPr>
              <w:t>2</w:t>
            </w:r>
          </w:p>
        </w:tc>
      </w:tr>
    </w:tbl>
    <w:p w:rsidR="009C1B13" w:rsidRPr="00215B3D" w:rsidRDefault="00324277" w:rsidP="0025437F">
      <w:pPr>
        <w:spacing w:before="120" w:after="0"/>
        <w:rPr>
          <w:rFonts w:ascii="Segoe UI" w:hAnsi="Segoe UI" w:cs="Segoe UI"/>
          <w:sz w:val="20"/>
          <w:szCs w:val="20"/>
        </w:rPr>
      </w:pPr>
      <w:r w:rsidRPr="00215B3D">
        <w:rPr>
          <w:rFonts w:ascii="Segoe UI" w:hAnsi="Segoe UI" w:cs="Segoe UI"/>
          <w:b/>
          <w:sz w:val="20"/>
          <w:szCs w:val="20"/>
          <w:u w:val="single"/>
        </w:rPr>
        <w:t>Source</w:t>
      </w:r>
      <w:r w:rsidRPr="00215B3D">
        <w:rPr>
          <w:rFonts w:ascii="Segoe UI" w:hAnsi="Segoe UI" w:cs="Segoe UI"/>
          <w:sz w:val="20"/>
          <w:szCs w:val="20"/>
        </w:rPr>
        <w:t> :</w:t>
      </w:r>
      <w:r w:rsidR="00E545C0" w:rsidRPr="00215B3D">
        <w:rPr>
          <w:rFonts w:ascii="Segoe UI" w:hAnsi="Segoe UI" w:cs="Segoe UI"/>
          <w:sz w:val="20"/>
          <w:szCs w:val="20"/>
        </w:rPr>
        <w:t xml:space="preserve"> </w:t>
      </w:r>
      <w:r w:rsidRPr="00215B3D">
        <w:rPr>
          <w:rFonts w:ascii="Segoe UI" w:hAnsi="Segoe UI" w:cs="Segoe UI"/>
          <w:sz w:val="16"/>
          <w:szCs w:val="26"/>
        </w:rPr>
        <w:t xml:space="preserve">DGB, sur la base des données fournies par  la </w:t>
      </w:r>
      <w:r w:rsidR="007A5D8E" w:rsidRPr="00215B3D">
        <w:rPr>
          <w:rFonts w:ascii="Segoe UI" w:hAnsi="Segoe UI" w:cs="Segoe UI"/>
          <w:sz w:val="20"/>
          <w:szCs w:val="20"/>
        </w:rPr>
        <w:t>DGTCP</w:t>
      </w:r>
      <w:r w:rsidR="00E545C0" w:rsidRPr="00215B3D">
        <w:rPr>
          <w:rFonts w:ascii="Segoe UI" w:hAnsi="Segoe UI" w:cs="Segoe UI"/>
          <w:sz w:val="20"/>
          <w:szCs w:val="20"/>
        </w:rPr>
        <w:t xml:space="preserve">, </w:t>
      </w:r>
      <w:r w:rsidR="00D5702B" w:rsidRPr="00215B3D">
        <w:rPr>
          <w:rFonts w:ascii="Segoe UI" w:hAnsi="Segoe UI" w:cs="Segoe UI"/>
          <w:sz w:val="20"/>
          <w:szCs w:val="20"/>
        </w:rPr>
        <w:t>juin</w:t>
      </w:r>
      <w:r w:rsidR="00E545C0" w:rsidRPr="00215B3D">
        <w:rPr>
          <w:rFonts w:ascii="Segoe UI" w:hAnsi="Segoe UI" w:cs="Segoe UI"/>
          <w:sz w:val="20"/>
          <w:szCs w:val="20"/>
        </w:rPr>
        <w:t xml:space="preserve"> 201</w:t>
      </w:r>
      <w:r w:rsidR="00FF5D91" w:rsidRPr="00215B3D">
        <w:rPr>
          <w:rFonts w:ascii="Segoe UI" w:hAnsi="Segoe UI" w:cs="Segoe UI"/>
          <w:sz w:val="20"/>
          <w:szCs w:val="20"/>
        </w:rPr>
        <w:t>7</w:t>
      </w:r>
    </w:p>
    <w:p w:rsidR="00F9594F" w:rsidRPr="00215B3D" w:rsidRDefault="00552020" w:rsidP="00942A22">
      <w:pPr>
        <w:pStyle w:val="Titre3"/>
        <w:ind w:left="720"/>
        <w:rPr>
          <w:rFonts w:ascii="Segoe UI" w:hAnsi="Segoe UI" w:cs="Segoe UI"/>
          <w:sz w:val="26"/>
          <w:szCs w:val="26"/>
        </w:rPr>
      </w:pPr>
      <w:bookmarkStart w:id="20" w:name="_Toc496025005"/>
      <w:r>
        <w:rPr>
          <w:rFonts w:ascii="Segoe UI" w:hAnsi="Segoe UI" w:cs="Segoe UI"/>
          <w:sz w:val="26"/>
          <w:szCs w:val="26"/>
        </w:rPr>
        <w:t>A.5-</w:t>
      </w:r>
      <w:r w:rsidR="00230139" w:rsidRPr="00215B3D">
        <w:rPr>
          <w:rFonts w:ascii="Segoe UI" w:hAnsi="Segoe UI" w:cs="Segoe UI"/>
          <w:sz w:val="26"/>
          <w:szCs w:val="26"/>
        </w:rPr>
        <w:t xml:space="preserve"> </w:t>
      </w:r>
      <w:r w:rsidR="007C7AF8" w:rsidRPr="00215B3D">
        <w:rPr>
          <w:rFonts w:ascii="Segoe UI" w:hAnsi="Segoe UI" w:cs="Segoe UI"/>
          <w:sz w:val="26"/>
          <w:szCs w:val="26"/>
        </w:rPr>
        <w:t>A</w:t>
      </w:r>
      <w:r w:rsidR="00456B26" w:rsidRPr="00215B3D">
        <w:rPr>
          <w:rFonts w:ascii="Segoe UI" w:hAnsi="Segoe UI" w:cs="Segoe UI"/>
          <w:sz w:val="26"/>
          <w:szCs w:val="26"/>
        </w:rPr>
        <w:t>utres recettes budgétaires</w:t>
      </w:r>
      <w:bookmarkEnd w:id="20"/>
    </w:p>
    <w:p w:rsidR="0025437F" w:rsidRPr="00215B3D" w:rsidRDefault="0025437F" w:rsidP="0025437F">
      <w:pPr>
        <w:rPr>
          <w:sz w:val="8"/>
        </w:rPr>
      </w:pPr>
    </w:p>
    <w:p w:rsidR="004D4123" w:rsidRPr="00215B3D" w:rsidRDefault="00120275" w:rsidP="007A5D8E">
      <w:pPr>
        <w:spacing w:after="0" w:line="360" w:lineRule="auto"/>
        <w:jc w:val="both"/>
        <w:rPr>
          <w:rFonts w:ascii="Segoe UI" w:hAnsi="Segoe UI" w:cs="Segoe UI"/>
          <w:bCs/>
          <w:iCs/>
          <w:sz w:val="24"/>
          <w:szCs w:val="26"/>
        </w:rPr>
      </w:pPr>
      <w:r w:rsidRPr="00215B3D">
        <w:rPr>
          <w:rFonts w:ascii="Segoe UI" w:hAnsi="Segoe UI" w:cs="Segoe UI"/>
          <w:bCs/>
          <w:iCs/>
          <w:sz w:val="24"/>
          <w:szCs w:val="26"/>
        </w:rPr>
        <w:t>Sont classés dans l</w:t>
      </w:r>
      <w:r w:rsidR="00D87365" w:rsidRPr="00215B3D">
        <w:rPr>
          <w:rFonts w:ascii="Segoe UI" w:hAnsi="Segoe UI" w:cs="Segoe UI"/>
          <w:bCs/>
          <w:iCs/>
          <w:sz w:val="24"/>
          <w:szCs w:val="26"/>
        </w:rPr>
        <w:t>a catégorie des autres recettes budgétaires</w:t>
      </w:r>
      <w:r w:rsidR="0025437F" w:rsidRPr="00215B3D">
        <w:rPr>
          <w:rFonts w:ascii="Segoe UI" w:hAnsi="Segoe UI" w:cs="Segoe UI"/>
          <w:bCs/>
          <w:iCs/>
          <w:sz w:val="24"/>
          <w:szCs w:val="26"/>
        </w:rPr>
        <w:t xml:space="preserve">, </w:t>
      </w:r>
      <w:r w:rsidR="00C848D8" w:rsidRPr="00215B3D">
        <w:rPr>
          <w:rFonts w:ascii="Segoe UI" w:hAnsi="Segoe UI" w:cs="Segoe UI"/>
          <w:bCs/>
          <w:iCs/>
          <w:sz w:val="24"/>
          <w:szCs w:val="26"/>
        </w:rPr>
        <w:t xml:space="preserve">les fonds de concours et les recettes assimilées, les dons budgétaires et </w:t>
      </w:r>
      <w:r w:rsidR="00D87365" w:rsidRPr="00215B3D">
        <w:rPr>
          <w:rFonts w:ascii="Segoe UI" w:hAnsi="Segoe UI" w:cs="Segoe UI"/>
          <w:bCs/>
          <w:iCs/>
          <w:sz w:val="24"/>
          <w:szCs w:val="26"/>
        </w:rPr>
        <w:t>l</w:t>
      </w:r>
      <w:r w:rsidR="00293D0A" w:rsidRPr="00215B3D">
        <w:rPr>
          <w:rFonts w:ascii="Segoe UI" w:hAnsi="Segoe UI" w:cs="Segoe UI"/>
          <w:bCs/>
          <w:iCs/>
          <w:sz w:val="24"/>
          <w:szCs w:val="26"/>
        </w:rPr>
        <w:t>es</w:t>
      </w:r>
      <w:r w:rsidR="00383DEC" w:rsidRPr="00215B3D">
        <w:rPr>
          <w:rFonts w:ascii="Segoe UI" w:hAnsi="Segoe UI" w:cs="Segoe UI"/>
          <w:bCs/>
          <w:iCs/>
          <w:sz w:val="24"/>
          <w:szCs w:val="26"/>
        </w:rPr>
        <w:t xml:space="preserve"> produits issus des</w:t>
      </w:r>
      <w:r w:rsidR="00F64D87" w:rsidRPr="00215B3D">
        <w:rPr>
          <w:rFonts w:ascii="Segoe UI" w:hAnsi="Segoe UI" w:cs="Segoe UI"/>
          <w:bCs/>
          <w:iCs/>
          <w:sz w:val="24"/>
          <w:szCs w:val="26"/>
        </w:rPr>
        <w:t xml:space="preserve"> </w:t>
      </w:r>
      <w:r w:rsidR="00C848D8" w:rsidRPr="00215B3D">
        <w:rPr>
          <w:rFonts w:ascii="Segoe UI" w:hAnsi="Segoe UI" w:cs="Segoe UI"/>
          <w:bCs/>
          <w:iCs/>
          <w:sz w:val="24"/>
          <w:szCs w:val="26"/>
        </w:rPr>
        <w:t xml:space="preserve">allègements de la dette. </w:t>
      </w:r>
    </w:p>
    <w:p w:rsidR="007D1E20" w:rsidRPr="00215B3D" w:rsidRDefault="00C848D8" w:rsidP="00EB5D35">
      <w:pPr>
        <w:spacing w:after="0" w:line="360" w:lineRule="auto"/>
        <w:jc w:val="both"/>
        <w:rPr>
          <w:rFonts w:ascii="Segoe UI" w:hAnsi="Segoe UI" w:cs="Segoe UI"/>
          <w:bCs/>
          <w:iCs/>
          <w:sz w:val="24"/>
          <w:szCs w:val="26"/>
        </w:rPr>
      </w:pPr>
      <w:r w:rsidRPr="00215B3D">
        <w:rPr>
          <w:rFonts w:ascii="Segoe UI" w:hAnsi="Segoe UI" w:cs="Segoe UI"/>
          <w:bCs/>
          <w:iCs/>
          <w:sz w:val="24"/>
          <w:szCs w:val="26"/>
        </w:rPr>
        <w:t xml:space="preserve">A fin </w:t>
      </w:r>
      <w:r w:rsidR="00BE4E81" w:rsidRPr="00215B3D">
        <w:rPr>
          <w:rFonts w:ascii="Segoe UI" w:hAnsi="Segoe UI" w:cs="Segoe UI"/>
          <w:bCs/>
          <w:iCs/>
          <w:sz w:val="24"/>
          <w:szCs w:val="26"/>
        </w:rPr>
        <w:t>juin 2017</w:t>
      </w:r>
      <w:r w:rsidRPr="00215B3D">
        <w:rPr>
          <w:rFonts w:ascii="Segoe UI" w:hAnsi="Segoe UI" w:cs="Segoe UI"/>
          <w:bCs/>
          <w:iCs/>
          <w:sz w:val="24"/>
          <w:szCs w:val="26"/>
        </w:rPr>
        <w:t>, s</w:t>
      </w:r>
      <w:r w:rsidR="00383DEC" w:rsidRPr="00215B3D">
        <w:rPr>
          <w:rFonts w:ascii="Segoe UI" w:hAnsi="Segoe UI" w:cs="Segoe UI"/>
          <w:bCs/>
          <w:iCs/>
          <w:sz w:val="24"/>
          <w:szCs w:val="26"/>
        </w:rPr>
        <w:t>euls</w:t>
      </w:r>
      <w:r w:rsidRPr="00215B3D">
        <w:rPr>
          <w:rFonts w:ascii="Segoe UI" w:hAnsi="Segoe UI" w:cs="Segoe UI"/>
          <w:bCs/>
          <w:iCs/>
          <w:sz w:val="24"/>
          <w:szCs w:val="26"/>
        </w:rPr>
        <w:t xml:space="preserve"> </w:t>
      </w:r>
      <w:r w:rsidR="00383DEC" w:rsidRPr="00215B3D">
        <w:rPr>
          <w:rFonts w:ascii="Segoe UI" w:hAnsi="Segoe UI" w:cs="Segoe UI"/>
          <w:bCs/>
          <w:iCs/>
          <w:sz w:val="24"/>
          <w:szCs w:val="26"/>
        </w:rPr>
        <w:t xml:space="preserve">les produits liés </w:t>
      </w:r>
      <w:r w:rsidR="004B522B" w:rsidRPr="00215B3D">
        <w:rPr>
          <w:rFonts w:ascii="Segoe UI" w:hAnsi="Segoe UI" w:cs="Segoe UI"/>
          <w:bCs/>
          <w:iCs/>
          <w:sz w:val="24"/>
          <w:szCs w:val="26"/>
        </w:rPr>
        <w:t>aux fonds de concours</w:t>
      </w:r>
      <w:r w:rsidR="00E154CE" w:rsidRPr="00215B3D">
        <w:rPr>
          <w:rFonts w:ascii="Segoe UI" w:hAnsi="Segoe UI" w:cs="Segoe UI"/>
          <w:bCs/>
          <w:iCs/>
          <w:sz w:val="24"/>
          <w:szCs w:val="26"/>
        </w:rPr>
        <w:t xml:space="preserve"> et recettes assimilées</w:t>
      </w:r>
      <w:r w:rsidR="00324277" w:rsidRPr="00215B3D">
        <w:rPr>
          <w:rFonts w:ascii="Segoe UI" w:hAnsi="Segoe UI" w:cs="Segoe UI"/>
          <w:bCs/>
          <w:iCs/>
          <w:sz w:val="24"/>
          <w:szCs w:val="26"/>
        </w:rPr>
        <w:t xml:space="preserve"> </w:t>
      </w:r>
      <w:r w:rsidR="00383DEC" w:rsidRPr="00215B3D">
        <w:rPr>
          <w:rFonts w:ascii="Segoe UI" w:hAnsi="Segoe UI" w:cs="Segoe UI"/>
          <w:bCs/>
          <w:iCs/>
          <w:sz w:val="24"/>
          <w:szCs w:val="26"/>
        </w:rPr>
        <w:t>ont connu de mobilisation</w:t>
      </w:r>
      <w:r w:rsidRPr="00215B3D">
        <w:rPr>
          <w:rFonts w:ascii="Segoe UI" w:hAnsi="Segoe UI" w:cs="Segoe UI"/>
          <w:bCs/>
          <w:iCs/>
          <w:sz w:val="24"/>
          <w:szCs w:val="26"/>
        </w:rPr>
        <w:t xml:space="preserve"> s’établissant à </w:t>
      </w:r>
      <w:r w:rsidR="0083792D" w:rsidRPr="00215B3D">
        <w:rPr>
          <w:rFonts w:ascii="Segoe UI" w:hAnsi="Segoe UI" w:cs="Segoe UI"/>
          <w:b/>
          <w:bCs/>
          <w:iCs/>
          <w:sz w:val="24"/>
          <w:szCs w:val="26"/>
        </w:rPr>
        <w:t>20 587,6 millions de FCFA</w:t>
      </w:r>
      <w:r w:rsidR="00E154CE" w:rsidRPr="00215B3D">
        <w:rPr>
          <w:rFonts w:ascii="Segoe UI" w:hAnsi="Segoe UI" w:cs="Segoe UI"/>
          <w:bCs/>
          <w:iCs/>
          <w:sz w:val="24"/>
          <w:szCs w:val="26"/>
        </w:rPr>
        <w:t>,</w:t>
      </w:r>
      <w:r w:rsidR="00D60C60" w:rsidRPr="00215B3D">
        <w:rPr>
          <w:rFonts w:ascii="Segoe UI" w:hAnsi="Segoe UI" w:cs="Segoe UI"/>
          <w:bCs/>
          <w:iCs/>
          <w:sz w:val="24"/>
          <w:szCs w:val="26"/>
        </w:rPr>
        <w:t xml:space="preserve"> soit</w:t>
      </w:r>
      <w:r w:rsidR="004B522B" w:rsidRPr="00215B3D">
        <w:rPr>
          <w:rFonts w:ascii="Segoe UI" w:hAnsi="Segoe UI" w:cs="Segoe UI"/>
          <w:bCs/>
          <w:iCs/>
          <w:sz w:val="24"/>
          <w:szCs w:val="26"/>
        </w:rPr>
        <w:t xml:space="preserve"> </w:t>
      </w:r>
      <w:r w:rsidR="00295F05" w:rsidRPr="00215B3D">
        <w:rPr>
          <w:rFonts w:ascii="Segoe UI" w:hAnsi="Segoe UI" w:cs="Segoe UI"/>
          <w:b/>
          <w:bCs/>
          <w:iCs/>
          <w:sz w:val="24"/>
          <w:szCs w:val="26"/>
        </w:rPr>
        <w:t>34,1</w:t>
      </w:r>
      <w:r w:rsidR="00D60C60" w:rsidRPr="00215B3D">
        <w:rPr>
          <w:rFonts w:ascii="Segoe UI" w:hAnsi="Segoe UI" w:cs="Segoe UI"/>
          <w:b/>
          <w:bCs/>
          <w:iCs/>
          <w:sz w:val="24"/>
          <w:szCs w:val="26"/>
        </w:rPr>
        <w:t>%</w:t>
      </w:r>
      <w:r w:rsidR="00F64D87" w:rsidRPr="00215B3D">
        <w:rPr>
          <w:rFonts w:ascii="Segoe UI" w:hAnsi="Segoe UI" w:cs="Segoe UI"/>
          <w:bCs/>
          <w:iCs/>
          <w:sz w:val="24"/>
          <w:szCs w:val="26"/>
        </w:rPr>
        <w:t xml:space="preserve"> </w:t>
      </w:r>
      <w:r w:rsidR="00D60C60" w:rsidRPr="00215B3D">
        <w:rPr>
          <w:rFonts w:ascii="Segoe UI" w:hAnsi="Segoe UI" w:cs="Segoe UI"/>
          <w:bCs/>
          <w:iCs/>
          <w:sz w:val="24"/>
          <w:szCs w:val="26"/>
        </w:rPr>
        <w:t>de</w:t>
      </w:r>
      <w:r w:rsidR="00295F05" w:rsidRPr="00215B3D">
        <w:rPr>
          <w:rFonts w:ascii="Segoe UI" w:hAnsi="Segoe UI" w:cs="Segoe UI"/>
          <w:bCs/>
          <w:iCs/>
          <w:sz w:val="24"/>
          <w:szCs w:val="26"/>
        </w:rPr>
        <w:t xml:space="preserve"> leurs prévisions annuelles</w:t>
      </w:r>
      <w:r w:rsidR="00996979">
        <w:rPr>
          <w:rFonts w:ascii="Segoe UI" w:hAnsi="Segoe UI" w:cs="Segoe UI"/>
          <w:bCs/>
          <w:iCs/>
          <w:sz w:val="24"/>
          <w:szCs w:val="26"/>
        </w:rPr>
        <w:t>.</w:t>
      </w:r>
    </w:p>
    <w:p w:rsidR="00C848D8" w:rsidRPr="00215B3D" w:rsidRDefault="00C848D8" w:rsidP="00EB5D35">
      <w:pPr>
        <w:spacing w:after="0" w:line="360" w:lineRule="auto"/>
        <w:jc w:val="both"/>
        <w:rPr>
          <w:rFonts w:ascii="Segoe UI" w:hAnsi="Segoe UI" w:cs="Segoe UI"/>
          <w:bCs/>
          <w:iCs/>
          <w:sz w:val="12"/>
          <w:szCs w:val="26"/>
        </w:rPr>
      </w:pPr>
    </w:p>
    <w:p w:rsidR="00807BBA" w:rsidRPr="007E3BE0" w:rsidRDefault="007D1E20" w:rsidP="000C178C">
      <w:pPr>
        <w:spacing w:after="0" w:line="360" w:lineRule="auto"/>
        <w:jc w:val="both"/>
        <w:rPr>
          <w:rFonts w:ascii="Segoe UI" w:hAnsi="Segoe UI" w:cs="Segoe UI"/>
          <w:bCs/>
          <w:iCs/>
          <w:sz w:val="24"/>
          <w:szCs w:val="26"/>
        </w:rPr>
      </w:pPr>
      <w:r w:rsidRPr="00215B3D">
        <w:rPr>
          <w:rFonts w:ascii="Segoe UI" w:hAnsi="Segoe UI" w:cs="Segoe UI"/>
          <w:bCs/>
          <w:iCs/>
          <w:sz w:val="24"/>
          <w:szCs w:val="26"/>
        </w:rPr>
        <w:t xml:space="preserve">Le </w:t>
      </w:r>
      <w:r w:rsidR="00D6545F" w:rsidRPr="00215B3D">
        <w:rPr>
          <w:rFonts w:ascii="Segoe UI" w:hAnsi="Segoe UI" w:cs="Segoe UI"/>
          <w:bCs/>
          <w:iCs/>
          <w:sz w:val="24"/>
          <w:szCs w:val="26"/>
        </w:rPr>
        <w:t xml:space="preserve">tableau n° </w:t>
      </w:r>
      <w:r w:rsidR="007A5D8E" w:rsidRPr="00215B3D">
        <w:rPr>
          <w:rFonts w:ascii="Segoe UI" w:hAnsi="Segoe UI" w:cs="Segoe UI"/>
          <w:bCs/>
          <w:iCs/>
          <w:sz w:val="24"/>
          <w:szCs w:val="26"/>
        </w:rPr>
        <w:t>4</w:t>
      </w:r>
      <w:r w:rsidR="00DB61B3" w:rsidRPr="00215B3D">
        <w:rPr>
          <w:rFonts w:ascii="Segoe UI" w:hAnsi="Segoe UI" w:cs="Segoe UI"/>
          <w:bCs/>
          <w:iCs/>
          <w:sz w:val="24"/>
          <w:szCs w:val="26"/>
        </w:rPr>
        <w:t xml:space="preserve"> ci-après </w:t>
      </w:r>
      <w:r w:rsidR="004B7BCB" w:rsidRPr="00215B3D">
        <w:rPr>
          <w:rFonts w:ascii="Segoe UI" w:hAnsi="Segoe UI" w:cs="Segoe UI"/>
          <w:bCs/>
          <w:iCs/>
          <w:sz w:val="24"/>
          <w:szCs w:val="26"/>
        </w:rPr>
        <w:t xml:space="preserve">présente le </w:t>
      </w:r>
      <w:r w:rsidRPr="00215B3D">
        <w:rPr>
          <w:rFonts w:ascii="Segoe UI" w:hAnsi="Segoe UI" w:cs="Segoe UI"/>
          <w:bCs/>
          <w:iCs/>
          <w:sz w:val="24"/>
          <w:szCs w:val="26"/>
        </w:rPr>
        <w:t>détail</w:t>
      </w:r>
      <w:r w:rsidR="004B7BCB" w:rsidRPr="00215B3D">
        <w:rPr>
          <w:rFonts w:ascii="Segoe UI" w:hAnsi="Segoe UI" w:cs="Segoe UI"/>
          <w:bCs/>
          <w:iCs/>
          <w:sz w:val="24"/>
          <w:szCs w:val="26"/>
        </w:rPr>
        <w:t xml:space="preserve"> du</w:t>
      </w:r>
      <w:r w:rsidR="009C2DFB" w:rsidRPr="00215B3D">
        <w:rPr>
          <w:rFonts w:ascii="Segoe UI" w:hAnsi="Segoe UI" w:cs="Segoe UI"/>
          <w:bCs/>
          <w:iCs/>
          <w:sz w:val="24"/>
          <w:szCs w:val="26"/>
        </w:rPr>
        <w:t xml:space="preserve"> niveau</w:t>
      </w:r>
      <w:r w:rsidR="00DB61B3" w:rsidRPr="00215B3D">
        <w:rPr>
          <w:rFonts w:ascii="Segoe UI" w:hAnsi="Segoe UI" w:cs="Segoe UI"/>
          <w:bCs/>
          <w:iCs/>
          <w:sz w:val="24"/>
          <w:szCs w:val="26"/>
        </w:rPr>
        <w:t xml:space="preserve"> de mobilisation d</w:t>
      </w:r>
      <w:r w:rsidRPr="00215B3D">
        <w:rPr>
          <w:rFonts w:ascii="Segoe UI" w:hAnsi="Segoe UI" w:cs="Segoe UI"/>
          <w:bCs/>
          <w:iCs/>
          <w:sz w:val="24"/>
          <w:szCs w:val="26"/>
        </w:rPr>
        <w:t xml:space="preserve">es autres recettes </w:t>
      </w:r>
      <w:r w:rsidR="00DB61B3" w:rsidRPr="00215B3D">
        <w:rPr>
          <w:rFonts w:ascii="Segoe UI" w:hAnsi="Segoe UI" w:cs="Segoe UI"/>
          <w:bCs/>
          <w:iCs/>
          <w:sz w:val="24"/>
          <w:szCs w:val="26"/>
        </w:rPr>
        <w:t xml:space="preserve">budgétaires </w:t>
      </w:r>
      <w:r w:rsidR="009216F5" w:rsidRPr="00215B3D">
        <w:rPr>
          <w:rFonts w:ascii="Segoe UI" w:hAnsi="Segoe UI" w:cs="Segoe UI"/>
          <w:bCs/>
          <w:iCs/>
          <w:sz w:val="24"/>
          <w:szCs w:val="26"/>
        </w:rPr>
        <w:t xml:space="preserve">à fin </w:t>
      </w:r>
      <w:r w:rsidR="0094263F" w:rsidRPr="00215B3D">
        <w:rPr>
          <w:rFonts w:ascii="Segoe UI" w:hAnsi="Segoe UI" w:cs="Segoe UI"/>
          <w:bCs/>
          <w:iCs/>
          <w:sz w:val="24"/>
          <w:szCs w:val="26"/>
        </w:rPr>
        <w:t>juin</w:t>
      </w:r>
      <w:r w:rsidR="00F64D87" w:rsidRPr="00215B3D">
        <w:rPr>
          <w:rFonts w:ascii="Segoe UI" w:hAnsi="Segoe UI" w:cs="Segoe UI"/>
          <w:bCs/>
          <w:iCs/>
          <w:sz w:val="24"/>
          <w:szCs w:val="26"/>
        </w:rPr>
        <w:t xml:space="preserve"> </w:t>
      </w:r>
      <w:r w:rsidR="00DB61B3" w:rsidRPr="00215B3D">
        <w:rPr>
          <w:rFonts w:ascii="Segoe UI" w:hAnsi="Segoe UI" w:cs="Segoe UI"/>
          <w:bCs/>
          <w:iCs/>
          <w:sz w:val="24"/>
          <w:szCs w:val="26"/>
        </w:rPr>
        <w:t>201</w:t>
      </w:r>
      <w:r w:rsidR="00B274FD" w:rsidRPr="00215B3D">
        <w:rPr>
          <w:rFonts w:ascii="Segoe UI" w:hAnsi="Segoe UI" w:cs="Segoe UI"/>
          <w:bCs/>
          <w:iCs/>
          <w:sz w:val="24"/>
          <w:szCs w:val="26"/>
        </w:rPr>
        <w:t>6</w:t>
      </w:r>
      <w:r w:rsidR="00DB61B3" w:rsidRPr="00215B3D">
        <w:rPr>
          <w:rFonts w:ascii="Segoe UI" w:hAnsi="Segoe UI" w:cs="Segoe UI"/>
          <w:bCs/>
          <w:iCs/>
          <w:sz w:val="24"/>
          <w:szCs w:val="26"/>
        </w:rPr>
        <w:t xml:space="preserve"> et </w:t>
      </w:r>
      <w:r w:rsidRPr="00215B3D">
        <w:rPr>
          <w:rFonts w:ascii="Segoe UI" w:hAnsi="Segoe UI" w:cs="Segoe UI"/>
          <w:bCs/>
          <w:iCs/>
          <w:sz w:val="24"/>
          <w:szCs w:val="26"/>
        </w:rPr>
        <w:t>201</w:t>
      </w:r>
      <w:r w:rsidR="001A06A6" w:rsidRPr="00215B3D">
        <w:rPr>
          <w:rFonts w:ascii="Segoe UI" w:hAnsi="Segoe UI" w:cs="Segoe UI"/>
          <w:bCs/>
          <w:iCs/>
          <w:sz w:val="24"/>
          <w:szCs w:val="26"/>
        </w:rPr>
        <w:t>7</w:t>
      </w:r>
      <w:r w:rsidR="00DB61B3" w:rsidRPr="00215B3D">
        <w:rPr>
          <w:rFonts w:ascii="Segoe UI" w:hAnsi="Segoe UI" w:cs="Segoe UI"/>
          <w:bCs/>
          <w:iCs/>
          <w:sz w:val="24"/>
          <w:szCs w:val="26"/>
        </w:rPr>
        <w:t>.</w:t>
      </w:r>
    </w:p>
    <w:p w:rsidR="00807BBA" w:rsidRDefault="00807BBA"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7E3BE0" w:rsidRDefault="007E3BE0" w:rsidP="000C178C">
      <w:pPr>
        <w:spacing w:after="0" w:line="360" w:lineRule="auto"/>
        <w:jc w:val="both"/>
        <w:rPr>
          <w:rFonts w:ascii="Segoe UI" w:hAnsi="Segoe UI" w:cs="Segoe UI"/>
          <w:bCs/>
          <w:iCs/>
          <w:sz w:val="6"/>
          <w:szCs w:val="26"/>
        </w:rPr>
      </w:pPr>
    </w:p>
    <w:p w:rsidR="00807BBA" w:rsidRDefault="00807BBA" w:rsidP="000C178C">
      <w:pPr>
        <w:spacing w:after="0" w:line="360" w:lineRule="auto"/>
        <w:jc w:val="both"/>
        <w:rPr>
          <w:rFonts w:ascii="Segoe UI" w:hAnsi="Segoe UI" w:cs="Segoe UI"/>
          <w:bCs/>
          <w:iCs/>
          <w:sz w:val="6"/>
          <w:szCs w:val="26"/>
        </w:rPr>
      </w:pPr>
    </w:p>
    <w:p w:rsidR="00807BBA" w:rsidRPr="0074636F" w:rsidRDefault="00807BBA" w:rsidP="000C178C">
      <w:pPr>
        <w:spacing w:after="0" w:line="360" w:lineRule="auto"/>
        <w:jc w:val="both"/>
        <w:rPr>
          <w:rFonts w:ascii="Segoe UI" w:hAnsi="Segoe UI" w:cs="Segoe UI"/>
          <w:bCs/>
          <w:iCs/>
          <w:sz w:val="6"/>
          <w:szCs w:val="26"/>
        </w:rPr>
      </w:pPr>
    </w:p>
    <w:p w:rsidR="00086FAE" w:rsidRPr="00215B3D" w:rsidRDefault="00E96F11" w:rsidP="00A45FDE">
      <w:pPr>
        <w:pStyle w:val="Listedestableaux"/>
        <w:rPr>
          <w:rFonts w:ascii="Segoe UI" w:hAnsi="Segoe UI" w:cs="Segoe UI"/>
        </w:rPr>
      </w:pPr>
      <w:bookmarkStart w:id="21" w:name="_Toc495935941"/>
      <w:r w:rsidRPr="00215B3D">
        <w:rPr>
          <w:rFonts w:ascii="Segoe UI" w:hAnsi="Segoe UI" w:cs="Segoe UI"/>
          <w:u w:val="single"/>
        </w:rPr>
        <w:lastRenderedPageBreak/>
        <w:t xml:space="preserve">Tableau </w:t>
      </w:r>
      <w:r w:rsidR="00807BBA">
        <w:rPr>
          <w:rFonts w:ascii="Segoe UI" w:hAnsi="Segoe UI" w:cs="Segoe UI"/>
          <w:u w:val="single"/>
        </w:rPr>
        <w:t>6</w:t>
      </w:r>
      <w:r w:rsidRPr="00215B3D">
        <w:rPr>
          <w:rFonts w:ascii="Segoe UI" w:hAnsi="Segoe UI" w:cs="Segoe UI"/>
        </w:rPr>
        <w:t> : Récapitulatif de la mobilisation des autr</w:t>
      </w:r>
      <w:r w:rsidR="00B274FD" w:rsidRPr="00215B3D">
        <w:rPr>
          <w:rFonts w:ascii="Segoe UI" w:hAnsi="Segoe UI" w:cs="Segoe UI"/>
        </w:rPr>
        <w:t>es ressources budgétaires à fin juin</w:t>
      </w:r>
      <w:r w:rsidRPr="00215B3D">
        <w:rPr>
          <w:rFonts w:ascii="Segoe UI" w:hAnsi="Segoe UI" w:cs="Segoe UI"/>
        </w:rPr>
        <w:t xml:space="preserve"> 201</w:t>
      </w:r>
      <w:r w:rsidR="00B274FD" w:rsidRPr="00215B3D">
        <w:rPr>
          <w:rFonts w:ascii="Segoe UI" w:hAnsi="Segoe UI" w:cs="Segoe UI"/>
        </w:rPr>
        <w:t>6</w:t>
      </w:r>
      <w:r w:rsidRPr="00215B3D">
        <w:rPr>
          <w:rFonts w:ascii="Segoe UI" w:hAnsi="Segoe UI" w:cs="Segoe UI"/>
        </w:rPr>
        <w:t xml:space="preserve"> et 201</w:t>
      </w:r>
      <w:r w:rsidR="00B274FD" w:rsidRPr="00215B3D">
        <w:rPr>
          <w:rFonts w:ascii="Segoe UI" w:hAnsi="Segoe UI" w:cs="Segoe UI"/>
        </w:rPr>
        <w:t>7</w:t>
      </w:r>
      <w:bookmarkEnd w:id="21"/>
    </w:p>
    <w:p w:rsidR="006000F8" w:rsidRPr="00215B3D" w:rsidRDefault="006000F8" w:rsidP="006000F8">
      <w:pPr>
        <w:pStyle w:val="Listedestableaux"/>
        <w:spacing w:line="240" w:lineRule="auto"/>
        <w:rPr>
          <w:rFonts w:ascii="Segoe UI" w:hAnsi="Segoe UI" w:cs="Segoe UI"/>
          <w:b w:val="0"/>
        </w:rPr>
      </w:pPr>
      <w:r w:rsidRPr="00215B3D">
        <w:rPr>
          <w:rFonts w:ascii="Segoe UI" w:hAnsi="Segoe UI" w:cs="Segoe UI"/>
        </w:rPr>
        <w:t xml:space="preserve">                                                                                   </w:t>
      </w:r>
      <w:bookmarkStart w:id="22" w:name="_Toc495935942"/>
      <w:r w:rsidRPr="00215B3D">
        <w:rPr>
          <w:rFonts w:ascii="Segoe UI" w:hAnsi="Segoe UI" w:cs="Segoe UI"/>
          <w:b w:val="0"/>
          <w:sz w:val="22"/>
        </w:rPr>
        <w:t>En millions de FCFA</w:t>
      </w:r>
      <w:bookmarkEnd w:id="22"/>
    </w:p>
    <w:tbl>
      <w:tblPr>
        <w:tblpPr w:leftFromText="141" w:rightFromText="141" w:vertAnchor="text" w:horzAnchor="margin" w:tblpXSpec="center" w:tblpY="175"/>
        <w:tblW w:w="9852" w:type="dxa"/>
        <w:tblLayout w:type="fixed"/>
        <w:tblCellMar>
          <w:left w:w="70" w:type="dxa"/>
          <w:right w:w="70" w:type="dxa"/>
        </w:tblCellMar>
        <w:tblLook w:val="04A0" w:firstRow="1" w:lastRow="0" w:firstColumn="1" w:lastColumn="0" w:noHBand="0" w:noVBand="1"/>
      </w:tblPr>
      <w:tblGrid>
        <w:gridCol w:w="1489"/>
        <w:gridCol w:w="1134"/>
        <w:gridCol w:w="1134"/>
        <w:gridCol w:w="860"/>
        <w:gridCol w:w="1125"/>
        <w:gridCol w:w="1200"/>
        <w:gridCol w:w="737"/>
        <w:gridCol w:w="1110"/>
        <w:gridCol w:w="1063"/>
      </w:tblGrid>
      <w:tr w:rsidR="00BA4BEC" w:rsidRPr="00215B3D" w:rsidTr="00D54A83">
        <w:trPr>
          <w:trHeight w:val="600"/>
        </w:trPr>
        <w:tc>
          <w:tcPr>
            <w:tcW w:w="1489" w:type="dxa"/>
            <w:vMerge w:val="restart"/>
            <w:tcBorders>
              <w:top w:val="single" w:sz="4" w:space="0" w:color="auto"/>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jc w:val="center"/>
              <w:rPr>
                <w:rFonts w:ascii="Segoe UI" w:hAnsi="Segoe UI" w:cs="Segoe UI"/>
                <w:b/>
                <w:bCs/>
                <w:sz w:val="20"/>
                <w:szCs w:val="20"/>
              </w:rPr>
            </w:pPr>
            <w:r w:rsidRPr="00215B3D">
              <w:rPr>
                <w:rFonts w:ascii="Segoe UI" w:hAnsi="Segoe UI" w:cs="Segoe UI"/>
                <w:b/>
                <w:bCs/>
                <w:sz w:val="20"/>
                <w:szCs w:val="20"/>
              </w:rPr>
              <w:t>NATURE DES RESSOURCES</w:t>
            </w:r>
          </w:p>
        </w:tc>
        <w:tc>
          <w:tcPr>
            <w:tcW w:w="3128" w:type="dxa"/>
            <w:gridSpan w:val="3"/>
            <w:tcBorders>
              <w:top w:val="single" w:sz="4" w:space="0" w:color="auto"/>
              <w:left w:val="nil"/>
              <w:bottom w:val="single" w:sz="4" w:space="0" w:color="auto"/>
              <w:right w:val="single" w:sz="4" w:space="0" w:color="auto"/>
            </w:tcBorders>
            <w:noWrap/>
            <w:vAlign w:val="center"/>
            <w:hideMark/>
          </w:tcPr>
          <w:p w:rsidR="00BA4BEC" w:rsidRPr="00215B3D" w:rsidRDefault="00BA4BEC" w:rsidP="00BE0E9F">
            <w:pPr>
              <w:spacing w:after="0" w:line="240" w:lineRule="auto"/>
              <w:jc w:val="center"/>
              <w:rPr>
                <w:rFonts w:ascii="Segoe UI" w:hAnsi="Segoe UI" w:cs="Segoe UI"/>
                <w:b/>
                <w:bCs/>
                <w:sz w:val="20"/>
                <w:szCs w:val="20"/>
              </w:rPr>
            </w:pPr>
            <w:r w:rsidRPr="00215B3D">
              <w:rPr>
                <w:rFonts w:ascii="Segoe UI" w:hAnsi="Segoe UI" w:cs="Segoe UI"/>
                <w:b/>
                <w:bCs/>
                <w:sz w:val="20"/>
                <w:szCs w:val="20"/>
              </w:rPr>
              <w:t>201</w:t>
            </w:r>
            <w:r w:rsidR="00BE0E9F" w:rsidRPr="00215B3D">
              <w:rPr>
                <w:rFonts w:ascii="Segoe UI" w:hAnsi="Segoe UI" w:cs="Segoe UI"/>
                <w:b/>
                <w:bCs/>
                <w:sz w:val="20"/>
                <w:szCs w:val="20"/>
              </w:rPr>
              <w:t>6</w:t>
            </w:r>
          </w:p>
        </w:tc>
        <w:tc>
          <w:tcPr>
            <w:tcW w:w="3062" w:type="dxa"/>
            <w:gridSpan w:val="3"/>
            <w:tcBorders>
              <w:top w:val="single" w:sz="4" w:space="0" w:color="auto"/>
              <w:left w:val="nil"/>
              <w:bottom w:val="single" w:sz="4" w:space="0" w:color="auto"/>
              <w:right w:val="single" w:sz="4" w:space="0" w:color="auto"/>
            </w:tcBorders>
            <w:shd w:val="clear" w:color="000000" w:fill="DBE5F1"/>
            <w:noWrap/>
            <w:vAlign w:val="center"/>
            <w:hideMark/>
          </w:tcPr>
          <w:p w:rsidR="00BA4BEC" w:rsidRPr="00215B3D" w:rsidRDefault="00BA4BEC" w:rsidP="00BE0E9F">
            <w:pPr>
              <w:spacing w:after="0" w:line="240" w:lineRule="auto"/>
              <w:jc w:val="center"/>
              <w:rPr>
                <w:rFonts w:ascii="Segoe UI" w:hAnsi="Segoe UI" w:cs="Segoe UI"/>
                <w:b/>
                <w:bCs/>
                <w:sz w:val="20"/>
                <w:szCs w:val="20"/>
              </w:rPr>
            </w:pPr>
            <w:r w:rsidRPr="00215B3D">
              <w:rPr>
                <w:rFonts w:ascii="Segoe UI" w:hAnsi="Segoe UI" w:cs="Segoe UI"/>
                <w:b/>
                <w:bCs/>
                <w:sz w:val="20"/>
                <w:szCs w:val="20"/>
              </w:rPr>
              <w:t>201</w:t>
            </w:r>
            <w:r w:rsidR="00BE0E9F" w:rsidRPr="00215B3D">
              <w:rPr>
                <w:rFonts w:ascii="Segoe UI" w:hAnsi="Segoe UI" w:cs="Segoe UI"/>
                <w:b/>
                <w:bCs/>
                <w:sz w:val="20"/>
                <w:szCs w:val="20"/>
              </w:rPr>
              <w:t>7</w:t>
            </w:r>
          </w:p>
        </w:tc>
        <w:tc>
          <w:tcPr>
            <w:tcW w:w="2173" w:type="dxa"/>
            <w:gridSpan w:val="2"/>
            <w:tcBorders>
              <w:top w:val="single" w:sz="4" w:space="0" w:color="auto"/>
              <w:left w:val="nil"/>
              <w:bottom w:val="single" w:sz="4" w:space="0" w:color="auto"/>
              <w:right w:val="single" w:sz="4" w:space="0" w:color="auto"/>
            </w:tcBorders>
            <w:vAlign w:val="center"/>
            <w:hideMark/>
          </w:tcPr>
          <w:p w:rsidR="00BA4BEC" w:rsidRPr="00215B3D" w:rsidRDefault="00BA4BEC" w:rsidP="00BA4BEC">
            <w:pPr>
              <w:spacing w:after="0" w:line="240" w:lineRule="auto"/>
              <w:jc w:val="center"/>
              <w:rPr>
                <w:rFonts w:ascii="Segoe UI" w:hAnsi="Segoe UI" w:cs="Segoe UI"/>
                <w:b/>
                <w:bCs/>
                <w:sz w:val="20"/>
                <w:szCs w:val="20"/>
              </w:rPr>
            </w:pPr>
            <w:r w:rsidRPr="00215B3D">
              <w:rPr>
                <w:rFonts w:ascii="Segoe UI" w:hAnsi="Segoe UI" w:cs="Segoe UI"/>
                <w:b/>
                <w:bCs/>
                <w:sz w:val="20"/>
                <w:szCs w:val="20"/>
              </w:rPr>
              <w:t>ECARTS DE REALISATION</w:t>
            </w:r>
          </w:p>
        </w:tc>
      </w:tr>
      <w:tr w:rsidR="00BA4BEC" w:rsidRPr="00215B3D" w:rsidTr="00D54A83">
        <w:trPr>
          <w:trHeight w:val="329"/>
        </w:trPr>
        <w:tc>
          <w:tcPr>
            <w:tcW w:w="1489" w:type="dxa"/>
            <w:vMerge/>
            <w:tcBorders>
              <w:top w:val="single" w:sz="4" w:space="0" w:color="auto"/>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b/>
                <w:bCs/>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 xml:space="preserve">PREV. Annuelles  </w:t>
            </w:r>
          </w:p>
        </w:tc>
        <w:tc>
          <w:tcPr>
            <w:tcW w:w="1134" w:type="dxa"/>
            <w:vMerge w:val="restart"/>
            <w:tcBorders>
              <w:top w:val="nil"/>
              <w:left w:val="single" w:sz="4" w:space="0" w:color="auto"/>
              <w:bottom w:val="single" w:sz="4" w:space="0" w:color="auto"/>
              <w:right w:val="single" w:sz="4" w:space="0" w:color="auto"/>
            </w:tcBorders>
            <w:vAlign w:val="center"/>
            <w:hideMark/>
          </w:tcPr>
          <w:p w:rsidR="00BA4BEC" w:rsidRPr="00215B3D" w:rsidRDefault="00BA4BEC" w:rsidP="0093416F">
            <w:pPr>
              <w:spacing w:after="0" w:line="240" w:lineRule="auto"/>
              <w:jc w:val="center"/>
              <w:rPr>
                <w:rFonts w:ascii="Segoe UI" w:hAnsi="Segoe UI" w:cs="Segoe UI"/>
                <w:sz w:val="20"/>
                <w:szCs w:val="20"/>
              </w:rPr>
            </w:pPr>
            <w:r w:rsidRPr="00215B3D">
              <w:rPr>
                <w:rFonts w:ascii="Segoe UI" w:hAnsi="Segoe UI" w:cs="Segoe UI"/>
                <w:sz w:val="20"/>
                <w:szCs w:val="20"/>
              </w:rPr>
              <w:t>REAL. au 3</w:t>
            </w:r>
            <w:r w:rsidR="0034704F" w:rsidRPr="00215B3D">
              <w:rPr>
                <w:rFonts w:ascii="Segoe UI" w:hAnsi="Segoe UI" w:cs="Segoe UI"/>
                <w:sz w:val="20"/>
                <w:szCs w:val="20"/>
              </w:rPr>
              <w:t>0 JUIN</w:t>
            </w:r>
          </w:p>
        </w:tc>
        <w:tc>
          <w:tcPr>
            <w:tcW w:w="860" w:type="dxa"/>
            <w:vMerge w:val="restart"/>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TAUX (%)</w:t>
            </w:r>
          </w:p>
        </w:tc>
        <w:tc>
          <w:tcPr>
            <w:tcW w:w="1125" w:type="dxa"/>
            <w:vMerge w:val="restart"/>
            <w:tcBorders>
              <w:top w:val="nil"/>
              <w:left w:val="single" w:sz="4" w:space="0" w:color="auto"/>
              <w:bottom w:val="single" w:sz="4" w:space="0" w:color="auto"/>
              <w:right w:val="single" w:sz="4" w:space="0" w:color="auto"/>
            </w:tcBorders>
            <w:shd w:val="clear" w:color="000000" w:fill="DBE5F1"/>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 xml:space="preserve">PREV. Annuelles  </w:t>
            </w:r>
          </w:p>
        </w:tc>
        <w:tc>
          <w:tcPr>
            <w:tcW w:w="1200" w:type="dxa"/>
            <w:vMerge w:val="restart"/>
            <w:tcBorders>
              <w:top w:val="nil"/>
              <w:left w:val="single" w:sz="4" w:space="0" w:color="auto"/>
              <w:bottom w:val="single" w:sz="4" w:space="0" w:color="auto"/>
              <w:right w:val="single" w:sz="4" w:space="0" w:color="auto"/>
            </w:tcBorders>
            <w:shd w:val="clear" w:color="000000" w:fill="DBE5F1"/>
            <w:vAlign w:val="center"/>
            <w:hideMark/>
          </w:tcPr>
          <w:p w:rsidR="00BA4BEC" w:rsidRPr="00215B3D" w:rsidRDefault="00BA4BEC" w:rsidP="0093416F">
            <w:pPr>
              <w:spacing w:after="0" w:line="240" w:lineRule="auto"/>
              <w:jc w:val="center"/>
              <w:rPr>
                <w:rFonts w:ascii="Segoe UI" w:hAnsi="Segoe UI" w:cs="Segoe UI"/>
                <w:sz w:val="20"/>
                <w:szCs w:val="20"/>
              </w:rPr>
            </w:pPr>
            <w:r w:rsidRPr="00215B3D">
              <w:rPr>
                <w:rFonts w:ascii="Segoe UI" w:hAnsi="Segoe UI" w:cs="Segoe UI"/>
                <w:sz w:val="20"/>
                <w:szCs w:val="20"/>
              </w:rPr>
              <w:t>REAL. au 3</w:t>
            </w:r>
            <w:r w:rsidR="0034704F" w:rsidRPr="00215B3D">
              <w:rPr>
                <w:rFonts w:ascii="Segoe UI" w:hAnsi="Segoe UI" w:cs="Segoe UI"/>
                <w:sz w:val="20"/>
                <w:szCs w:val="20"/>
              </w:rPr>
              <w:t>0 JUIN</w:t>
            </w:r>
          </w:p>
        </w:tc>
        <w:tc>
          <w:tcPr>
            <w:tcW w:w="737" w:type="dxa"/>
            <w:vMerge w:val="restart"/>
            <w:tcBorders>
              <w:top w:val="nil"/>
              <w:left w:val="single" w:sz="4" w:space="0" w:color="auto"/>
              <w:bottom w:val="single" w:sz="4" w:space="0" w:color="auto"/>
              <w:right w:val="single" w:sz="4" w:space="0" w:color="auto"/>
            </w:tcBorders>
            <w:shd w:val="clear" w:color="000000" w:fill="DBE5F1"/>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TAUX (%)</w:t>
            </w:r>
          </w:p>
        </w:tc>
        <w:tc>
          <w:tcPr>
            <w:tcW w:w="1110" w:type="dxa"/>
            <w:vMerge w:val="restart"/>
            <w:tcBorders>
              <w:top w:val="nil"/>
              <w:left w:val="single" w:sz="4" w:space="0" w:color="auto"/>
              <w:bottom w:val="single" w:sz="4" w:space="0" w:color="auto"/>
              <w:right w:val="single" w:sz="4" w:space="0" w:color="auto"/>
            </w:tcBorders>
            <w:noWrap/>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ECARTS</w:t>
            </w:r>
          </w:p>
        </w:tc>
        <w:tc>
          <w:tcPr>
            <w:tcW w:w="1063" w:type="dxa"/>
            <w:vMerge w:val="restart"/>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jc w:val="center"/>
              <w:rPr>
                <w:rFonts w:ascii="Segoe UI" w:hAnsi="Segoe UI" w:cs="Segoe UI"/>
                <w:sz w:val="20"/>
                <w:szCs w:val="20"/>
              </w:rPr>
            </w:pPr>
            <w:r w:rsidRPr="00215B3D">
              <w:rPr>
                <w:rFonts w:ascii="Segoe UI" w:hAnsi="Segoe UI" w:cs="Segoe UI"/>
                <w:sz w:val="20"/>
                <w:szCs w:val="20"/>
              </w:rPr>
              <w:t>Taux d'accroissement</w:t>
            </w:r>
            <w:r w:rsidR="00B84A1B" w:rsidRPr="00215B3D">
              <w:rPr>
                <w:rFonts w:ascii="Segoe UI" w:hAnsi="Segoe UI" w:cs="Segoe UI"/>
                <w:sz w:val="20"/>
                <w:szCs w:val="20"/>
              </w:rPr>
              <w:t xml:space="preserve"> (%)</w:t>
            </w:r>
          </w:p>
        </w:tc>
      </w:tr>
      <w:tr w:rsidR="00BA4BEC" w:rsidRPr="00215B3D" w:rsidTr="00D54A83">
        <w:trPr>
          <w:trHeight w:val="600"/>
        </w:trPr>
        <w:tc>
          <w:tcPr>
            <w:tcW w:w="1489" w:type="dxa"/>
            <w:vMerge/>
            <w:tcBorders>
              <w:top w:val="single" w:sz="4" w:space="0" w:color="auto"/>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b/>
                <w:bCs/>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1125"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737"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1110"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c>
          <w:tcPr>
            <w:tcW w:w="1063" w:type="dxa"/>
            <w:vMerge/>
            <w:tcBorders>
              <w:top w:val="nil"/>
              <w:left w:val="single" w:sz="4" w:space="0" w:color="auto"/>
              <w:bottom w:val="single" w:sz="4" w:space="0" w:color="auto"/>
              <w:right w:val="single" w:sz="4" w:space="0" w:color="auto"/>
            </w:tcBorders>
            <w:vAlign w:val="center"/>
            <w:hideMark/>
          </w:tcPr>
          <w:p w:rsidR="00BA4BEC" w:rsidRPr="00215B3D" w:rsidRDefault="00BA4BEC" w:rsidP="00BA4BEC">
            <w:pPr>
              <w:spacing w:after="0" w:line="240" w:lineRule="auto"/>
              <w:rPr>
                <w:rFonts w:ascii="Segoe UI" w:hAnsi="Segoe UI" w:cs="Segoe UI"/>
                <w:sz w:val="20"/>
                <w:szCs w:val="20"/>
              </w:rPr>
            </w:pPr>
          </w:p>
        </w:tc>
      </w:tr>
      <w:tr w:rsidR="00BA4BEC" w:rsidRPr="00215B3D" w:rsidTr="00D54A83">
        <w:trPr>
          <w:trHeight w:val="315"/>
        </w:trPr>
        <w:tc>
          <w:tcPr>
            <w:tcW w:w="1489" w:type="dxa"/>
            <w:tcBorders>
              <w:top w:val="nil"/>
              <w:left w:val="single" w:sz="4" w:space="0" w:color="auto"/>
              <w:bottom w:val="single" w:sz="4" w:space="0" w:color="auto"/>
              <w:right w:val="single" w:sz="4" w:space="0" w:color="auto"/>
            </w:tcBorders>
            <w:vAlign w:val="bottom"/>
            <w:hideMark/>
          </w:tcPr>
          <w:p w:rsidR="00BA4BEC" w:rsidRPr="00215B3D" w:rsidRDefault="00BA4BEC" w:rsidP="00BA4BEC">
            <w:pPr>
              <w:spacing w:after="0" w:line="240" w:lineRule="auto"/>
              <w:rPr>
                <w:rFonts w:ascii="Segoe UI" w:hAnsi="Segoe UI" w:cs="Segoe UI"/>
                <w:sz w:val="20"/>
                <w:szCs w:val="20"/>
              </w:rPr>
            </w:pPr>
            <w:r w:rsidRPr="00215B3D">
              <w:rPr>
                <w:rFonts w:ascii="Segoe UI" w:hAnsi="Segoe UI" w:cs="Segoe UI"/>
                <w:sz w:val="20"/>
                <w:szCs w:val="20"/>
              </w:rPr>
              <w:t>Dons budgétaires</w:t>
            </w:r>
          </w:p>
        </w:tc>
        <w:tc>
          <w:tcPr>
            <w:tcW w:w="1134" w:type="dxa"/>
            <w:tcBorders>
              <w:top w:val="nil"/>
              <w:left w:val="nil"/>
              <w:bottom w:val="single" w:sz="4" w:space="0" w:color="auto"/>
              <w:right w:val="single" w:sz="4" w:space="0" w:color="auto"/>
            </w:tcBorders>
            <w:noWrap/>
            <w:vAlign w:val="center"/>
            <w:hideMark/>
          </w:tcPr>
          <w:p w:rsidR="00BA4BEC" w:rsidRPr="00215B3D" w:rsidRDefault="00BE0E9F" w:rsidP="00BA4BEC">
            <w:pPr>
              <w:spacing w:after="0" w:line="240" w:lineRule="auto"/>
              <w:jc w:val="right"/>
              <w:rPr>
                <w:rFonts w:ascii="Segoe UI" w:hAnsi="Segoe UI" w:cs="Segoe UI"/>
                <w:i/>
                <w:iCs/>
                <w:sz w:val="20"/>
                <w:szCs w:val="20"/>
              </w:rPr>
            </w:pPr>
            <w:r w:rsidRPr="00215B3D">
              <w:rPr>
                <w:rFonts w:ascii="Segoe UI" w:hAnsi="Segoe UI" w:cs="Segoe UI"/>
                <w:i/>
                <w:iCs/>
                <w:sz w:val="20"/>
                <w:szCs w:val="20"/>
              </w:rPr>
              <w:t>0</w:t>
            </w:r>
          </w:p>
        </w:tc>
        <w:tc>
          <w:tcPr>
            <w:tcW w:w="1134" w:type="dxa"/>
            <w:tcBorders>
              <w:top w:val="nil"/>
              <w:left w:val="nil"/>
              <w:bottom w:val="single" w:sz="4" w:space="0" w:color="auto"/>
              <w:right w:val="single" w:sz="4" w:space="0" w:color="auto"/>
            </w:tcBorders>
            <w:noWrap/>
            <w:vAlign w:val="center"/>
            <w:hideMark/>
          </w:tcPr>
          <w:p w:rsidR="00BA4BEC" w:rsidRPr="00215B3D" w:rsidRDefault="00BA4BEC" w:rsidP="00BA4BEC">
            <w:pPr>
              <w:spacing w:after="0" w:line="240" w:lineRule="auto"/>
              <w:jc w:val="right"/>
              <w:rPr>
                <w:rFonts w:ascii="Segoe UI" w:hAnsi="Segoe UI" w:cs="Segoe UI"/>
                <w:i/>
                <w:iCs/>
                <w:sz w:val="20"/>
                <w:szCs w:val="20"/>
              </w:rPr>
            </w:pPr>
            <w:r w:rsidRPr="00215B3D">
              <w:rPr>
                <w:rFonts w:ascii="Segoe UI" w:hAnsi="Segoe UI" w:cs="Segoe UI"/>
                <w:i/>
                <w:iCs/>
                <w:sz w:val="20"/>
                <w:szCs w:val="20"/>
              </w:rPr>
              <w:t>0,0</w:t>
            </w:r>
          </w:p>
        </w:tc>
        <w:tc>
          <w:tcPr>
            <w:tcW w:w="860" w:type="dxa"/>
            <w:tcBorders>
              <w:top w:val="nil"/>
              <w:left w:val="nil"/>
              <w:bottom w:val="single" w:sz="4" w:space="0" w:color="auto"/>
              <w:right w:val="single" w:sz="4" w:space="0" w:color="auto"/>
            </w:tcBorders>
            <w:noWrap/>
            <w:vAlign w:val="center"/>
            <w:hideMark/>
          </w:tcPr>
          <w:p w:rsidR="00BA4BEC" w:rsidRPr="00215B3D" w:rsidRDefault="00BA4BEC" w:rsidP="00595513">
            <w:pPr>
              <w:spacing w:after="0" w:line="240" w:lineRule="auto"/>
              <w:jc w:val="center"/>
              <w:rPr>
                <w:rFonts w:ascii="Segoe UI" w:hAnsi="Segoe UI" w:cs="Segoe UI"/>
                <w:i/>
                <w:iCs/>
                <w:sz w:val="20"/>
                <w:szCs w:val="20"/>
              </w:rPr>
            </w:pPr>
            <w:r w:rsidRPr="00215B3D">
              <w:rPr>
                <w:rFonts w:ascii="Segoe UI" w:hAnsi="Segoe UI" w:cs="Segoe UI"/>
                <w:i/>
                <w:iCs/>
                <w:sz w:val="20"/>
                <w:szCs w:val="20"/>
              </w:rPr>
              <w:t>0,0</w:t>
            </w:r>
          </w:p>
        </w:tc>
        <w:tc>
          <w:tcPr>
            <w:tcW w:w="1125"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BE0E9F">
            <w:pPr>
              <w:spacing w:after="0" w:line="240" w:lineRule="auto"/>
              <w:jc w:val="right"/>
              <w:rPr>
                <w:rFonts w:ascii="Segoe UI" w:hAnsi="Segoe UI" w:cs="Segoe UI"/>
                <w:i/>
                <w:iCs/>
                <w:sz w:val="20"/>
                <w:szCs w:val="20"/>
              </w:rPr>
            </w:pPr>
            <w:r w:rsidRPr="00215B3D">
              <w:rPr>
                <w:rFonts w:ascii="Segoe UI" w:hAnsi="Segoe UI" w:cs="Segoe UI"/>
                <w:i/>
                <w:iCs/>
                <w:sz w:val="20"/>
                <w:szCs w:val="20"/>
              </w:rPr>
              <w:t>15 840</w:t>
            </w:r>
            <w:r w:rsidR="00FD75B8" w:rsidRPr="00215B3D">
              <w:rPr>
                <w:rFonts w:ascii="Segoe UI" w:hAnsi="Segoe UI" w:cs="Segoe UI"/>
                <w:i/>
                <w:iCs/>
                <w:sz w:val="20"/>
                <w:szCs w:val="20"/>
              </w:rPr>
              <w:t>,0</w:t>
            </w:r>
          </w:p>
        </w:tc>
        <w:tc>
          <w:tcPr>
            <w:tcW w:w="1200" w:type="dxa"/>
            <w:tcBorders>
              <w:top w:val="nil"/>
              <w:left w:val="nil"/>
              <w:bottom w:val="single" w:sz="4" w:space="0" w:color="auto"/>
              <w:right w:val="single" w:sz="4" w:space="0" w:color="auto"/>
            </w:tcBorders>
            <w:shd w:val="clear" w:color="000000" w:fill="DBE5F1"/>
            <w:noWrap/>
            <w:vAlign w:val="center"/>
            <w:hideMark/>
          </w:tcPr>
          <w:p w:rsidR="00BA4BEC" w:rsidRPr="00215B3D" w:rsidRDefault="00BA4BEC" w:rsidP="00BA4BEC">
            <w:pPr>
              <w:spacing w:after="0" w:line="240" w:lineRule="auto"/>
              <w:jc w:val="right"/>
              <w:rPr>
                <w:rFonts w:ascii="Segoe UI" w:hAnsi="Segoe UI" w:cs="Segoe UI"/>
                <w:i/>
                <w:iCs/>
                <w:sz w:val="20"/>
                <w:szCs w:val="20"/>
              </w:rPr>
            </w:pPr>
            <w:r w:rsidRPr="00215B3D">
              <w:rPr>
                <w:rFonts w:ascii="Segoe UI" w:hAnsi="Segoe UI" w:cs="Segoe UI"/>
                <w:i/>
                <w:iCs/>
                <w:sz w:val="20"/>
                <w:szCs w:val="20"/>
              </w:rPr>
              <w:t>0,0</w:t>
            </w:r>
          </w:p>
        </w:tc>
        <w:tc>
          <w:tcPr>
            <w:tcW w:w="737" w:type="dxa"/>
            <w:tcBorders>
              <w:top w:val="nil"/>
              <w:left w:val="nil"/>
              <w:bottom w:val="single" w:sz="4" w:space="0" w:color="auto"/>
              <w:right w:val="single" w:sz="4" w:space="0" w:color="auto"/>
            </w:tcBorders>
            <w:shd w:val="clear" w:color="000000" w:fill="DBE5F1"/>
            <w:noWrap/>
            <w:vAlign w:val="center"/>
            <w:hideMark/>
          </w:tcPr>
          <w:p w:rsidR="00BA4BEC" w:rsidRPr="00215B3D" w:rsidRDefault="00BA4BEC" w:rsidP="00595513">
            <w:pPr>
              <w:spacing w:after="0" w:line="240" w:lineRule="auto"/>
              <w:jc w:val="center"/>
              <w:rPr>
                <w:rFonts w:ascii="Segoe UI" w:hAnsi="Segoe UI" w:cs="Segoe UI"/>
                <w:sz w:val="20"/>
                <w:szCs w:val="20"/>
              </w:rPr>
            </w:pPr>
            <w:r w:rsidRPr="00215B3D">
              <w:rPr>
                <w:rFonts w:ascii="Segoe UI" w:hAnsi="Segoe UI" w:cs="Segoe UI"/>
                <w:sz w:val="20"/>
                <w:szCs w:val="20"/>
              </w:rPr>
              <w:t>0,0</w:t>
            </w:r>
          </w:p>
        </w:tc>
        <w:tc>
          <w:tcPr>
            <w:tcW w:w="1110" w:type="dxa"/>
            <w:tcBorders>
              <w:top w:val="nil"/>
              <w:left w:val="nil"/>
              <w:bottom w:val="single" w:sz="4" w:space="0" w:color="auto"/>
              <w:right w:val="single" w:sz="4" w:space="0" w:color="auto"/>
            </w:tcBorders>
            <w:noWrap/>
            <w:vAlign w:val="center"/>
            <w:hideMark/>
          </w:tcPr>
          <w:p w:rsidR="00BA4BEC" w:rsidRPr="00215B3D" w:rsidRDefault="00BA4BEC" w:rsidP="00BA4BEC">
            <w:pPr>
              <w:spacing w:after="0" w:line="240" w:lineRule="auto"/>
              <w:jc w:val="right"/>
              <w:rPr>
                <w:rFonts w:ascii="Segoe UI" w:hAnsi="Segoe UI" w:cs="Segoe UI"/>
                <w:sz w:val="20"/>
                <w:szCs w:val="20"/>
              </w:rPr>
            </w:pPr>
            <w:r w:rsidRPr="00215B3D">
              <w:rPr>
                <w:rFonts w:ascii="Segoe UI" w:hAnsi="Segoe UI" w:cs="Segoe UI"/>
                <w:sz w:val="20"/>
                <w:szCs w:val="20"/>
              </w:rPr>
              <w:t>0,0</w:t>
            </w:r>
          </w:p>
        </w:tc>
        <w:tc>
          <w:tcPr>
            <w:tcW w:w="1063" w:type="dxa"/>
            <w:tcBorders>
              <w:top w:val="nil"/>
              <w:left w:val="nil"/>
              <w:bottom w:val="single" w:sz="4" w:space="0" w:color="auto"/>
              <w:right w:val="single" w:sz="4" w:space="0" w:color="auto"/>
            </w:tcBorders>
            <w:noWrap/>
            <w:vAlign w:val="center"/>
            <w:hideMark/>
          </w:tcPr>
          <w:p w:rsidR="00BA4BEC" w:rsidRPr="00215B3D" w:rsidRDefault="00172307" w:rsidP="00595513">
            <w:pPr>
              <w:spacing w:after="0" w:line="240" w:lineRule="auto"/>
              <w:jc w:val="center"/>
              <w:rPr>
                <w:rFonts w:ascii="Segoe UI" w:hAnsi="Segoe UI" w:cs="Segoe UI"/>
                <w:sz w:val="20"/>
                <w:szCs w:val="20"/>
              </w:rPr>
            </w:pPr>
            <w:r w:rsidRPr="00215B3D">
              <w:rPr>
                <w:rFonts w:ascii="Segoe UI" w:hAnsi="Segoe UI" w:cs="Segoe UI"/>
                <w:sz w:val="20"/>
                <w:szCs w:val="20"/>
              </w:rPr>
              <w:t>-</w:t>
            </w:r>
          </w:p>
        </w:tc>
      </w:tr>
      <w:tr w:rsidR="00BA4BEC" w:rsidRPr="00215B3D" w:rsidTr="00D54A83">
        <w:trPr>
          <w:trHeight w:val="630"/>
        </w:trPr>
        <w:tc>
          <w:tcPr>
            <w:tcW w:w="1489" w:type="dxa"/>
            <w:tcBorders>
              <w:top w:val="nil"/>
              <w:left w:val="single" w:sz="4" w:space="0" w:color="auto"/>
              <w:bottom w:val="single" w:sz="4" w:space="0" w:color="auto"/>
              <w:right w:val="single" w:sz="4" w:space="0" w:color="auto"/>
            </w:tcBorders>
            <w:vAlign w:val="bottom"/>
            <w:hideMark/>
          </w:tcPr>
          <w:p w:rsidR="00BA4BEC" w:rsidRPr="00215B3D" w:rsidRDefault="00BA4BEC" w:rsidP="00BA4BEC">
            <w:pPr>
              <w:spacing w:after="0" w:line="240" w:lineRule="auto"/>
              <w:rPr>
                <w:rFonts w:ascii="Segoe UI" w:hAnsi="Segoe UI" w:cs="Segoe UI"/>
                <w:sz w:val="20"/>
                <w:szCs w:val="20"/>
              </w:rPr>
            </w:pPr>
            <w:r w:rsidRPr="00215B3D">
              <w:rPr>
                <w:rFonts w:ascii="Segoe UI" w:hAnsi="Segoe UI" w:cs="Segoe UI"/>
                <w:sz w:val="20"/>
                <w:szCs w:val="20"/>
              </w:rPr>
              <w:t>Allègement de la dette (IPPTE)</w:t>
            </w:r>
          </w:p>
        </w:tc>
        <w:tc>
          <w:tcPr>
            <w:tcW w:w="1134" w:type="dxa"/>
            <w:tcBorders>
              <w:top w:val="nil"/>
              <w:left w:val="nil"/>
              <w:bottom w:val="single" w:sz="4" w:space="0" w:color="auto"/>
              <w:right w:val="single" w:sz="4" w:space="0" w:color="auto"/>
            </w:tcBorders>
            <w:noWrap/>
            <w:vAlign w:val="center"/>
            <w:hideMark/>
          </w:tcPr>
          <w:p w:rsidR="00BA4BEC" w:rsidRPr="00215B3D" w:rsidRDefault="00BE0E9F" w:rsidP="00207359">
            <w:pPr>
              <w:spacing w:after="0" w:line="240" w:lineRule="auto"/>
              <w:jc w:val="right"/>
              <w:rPr>
                <w:rFonts w:ascii="Segoe UI" w:hAnsi="Segoe UI" w:cs="Segoe UI"/>
                <w:i/>
                <w:iCs/>
                <w:sz w:val="20"/>
                <w:szCs w:val="20"/>
              </w:rPr>
            </w:pPr>
            <w:r w:rsidRPr="00215B3D">
              <w:rPr>
                <w:rFonts w:ascii="Segoe UI" w:hAnsi="Segoe UI" w:cs="Segoe UI"/>
                <w:i/>
                <w:iCs/>
                <w:sz w:val="20"/>
                <w:szCs w:val="20"/>
              </w:rPr>
              <w:t>8 469</w:t>
            </w:r>
          </w:p>
        </w:tc>
        <w:tc>
          <w:tcPr>
            <w:tcW w:w="1134" w:type="dxa"/>
            <w:tcBorders>
              <w:top w:val="nil"/>
              <w:left w:val="nil"/>
              <w:bottom w:val="single" w:sz="4" w:space="0" w:color="auto"/>
              <w:right w:val="single" w:sz="4" w:space="0" w:color="auto"/>
            </w:tcBorders>
            <w:noWrap/>
            <w:vAlign w:val="center"/>
            <w:hideMark/>
          </w:tcPr>
          <w:p w:rsidR="00BA4BEC" w:rsidRPr="00215B3D" w:rsidRDefault="00C82F16" w:rsidP="00083FC3">
            <w:pPr>
              <w:spacing w:after="0" w:line="240" w:lineRule="auto"/>
              <w:jc w:val="right"/>
              <w:rPr>
                <w:rFonts w:ascii="Segoe UI" w:hAnsi="Segoe UI" w:cs="Segoe UI"/>
                <w:i/>
                <w:iCs/>
                <w:sz w:val="20"/>
                <w:szCs w:val="20"/>
              </w:rPr>
            </w:pPr>
            <w:r w:rsidRPr="00215B3D">
              <w:rPr>
                <w:rFonts w:ascii="Segoe UI" w:hAnsi="Segoe UI" w:cs="Segoe UI"/>
                <w:i/>
                <w:iCs/>
                <w:sz w:val="20"/>
                <w:szCs w:val="20"/>
              </w:rPr>
              <w:t> </w:t>
            </w:r>
            <w:r w:rsidR="00BE0E9F" w:rsidRPr="00215B3D">
              <w:rPr>
                <w:rFonts w:ascii="Segoe UI" w:hAnsi="Segoe UI" w:cs="Segoe UI"/>
                <w:i/>
                <w:iCs/>
                <w:sz w:val="20"/>
                <w:szCs w:val="20"/>
              </w:rPr>
              <w:t>2</w:t>
            </w:r>
            <w:r w:rsidR="00083FC3" w:rsidRPr="00215B3D">
              <w:rPr>
                <w:rFonts w:ascii="Segoe UI" w:hAnsi="Segoe UI" w:cs="Segoe UI"/>
                <w:i/>
                <w:iCs/>
                <w:sz w:val="20"/>
                <w:szCs w:val="20"/>
              </w:rPr>
              <w:t xml:space="preserve"> </w:t>
            </w:r>
            <w:r w:rsidR="00BE0E9F" w:rsidRPr="00215B3D">
              <w:rPr>
                <w:rFonts w:ascii="Segoe UI" w:hAnsi="Segoe UI" w:cs="Segoe UI"/>
                <w:i/>
                <w:iCs/>
                <w:sz w:val="20"/>
                <w:szCs w:val="20"/>
              </w:rPr>
              <w:t>877,5</w:t>
            </w:r>
          </w:p>
        </w:tc>
        <w:tc>
          <w:tcPr>
            <w:tcW w:w="860" w:type="dxa"/>
            <w:tcBorders>
              <w:top w:val="nil"/>
              <w:left w:val="nil"/>
              <w:bottom w:val="single" w:sz="4" w:space="0" w:color="auto"/>
              <w:right w:val="single" w:sz="4" w:space="0" w:color="auto"/>
            </w:tcBorders>
            <w:noWrap/>
            <w:vAlign w:val="center"/>
            <w:hideMark/>
          </w:tcPr>
          <w:p w:rsidR="00BA4BEC" w:rsidRPr="00215B3D" w:rsidRDefault="00BE0E9F" w:rsidP="003612CF">
            <w:pPr>
              <w:spacing w:after="0" w:line="240" w:lineRule="auto"/>
              <w:jc w:val="center"/>
              <w:rPr>
                <w:rFonts w:ascii="Segoe UI" w:hAnsi="Segoe UI" w:cs="Segoe UI"/>
                <w:i/>
                <w:iCs/>
                <w:sz w:val="20"/>
                <w:szCs w:val="20"/>
              </w:rPr>
            </w:pPr>
            <w:r w:rsidRPr="00215B3D">
              <w:rPr>
                <w:rFonts w:ascii="Segoe UI" w:hAnsi="Segoe UI" w:cs="Segoe UI"/>
                <w:i/>
                <w:iCs/>
                <w:sz w:val="20"/>
                <w:szCs w:val="20"/>
              </w:rPr>
              <w:t>34,0</w:t>
            </w:r>
          </w:p>
        </w:tc>
        <w:tc>
          <w:tcPr>
            <w:tcW w:w="1125"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BA4BEC">
            <w:pPr>
              <w:spacing w:after="0" w:line="240" w:lineRule="auto"/>
              <w:jc w:val="right"/>
              <w:rPr>
                <w:rFonts w:ascii="Segoe UI" w:hAnsi="Segoe UI" w:cs="Segoe UI"/>
                <w:i/>
                <w:iCs/>
                <w:sz w:val="20"/>
                <w:szCs w:val="20"/>
              </w:rPr>
            </w:pPr>
            <w:r w:rsidRPr="00215B3D">
              <w:rPr>
                <w:rFonts w:ascii="Segoe UI" w:hAnsi="Segoe UI" w:cs="Segoe UI"/>
                <w:i/>
                <w:iCs/>
                <w:sz w:val="20"/>
                <w:szCs w:val="20"/>
              </w:rPr>
              <w:t>8000,0</w:t>
            </w:r>
          </w:p>
        </w:tc>
        <w:tc>
          <w:tcPr>
            <w:tcW w:w="1200"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3612CF">
            <w:pPr>
              <w:spacing w:after="0" w:line="240" w:lineRule="auto"/>
              <w:jc w:val="right"/>
              <w:rPr>
                <w:rFonts w:ascii="Segoe UI" w:hAnsi="Segoe UI" w:cs="Segoe UI"/>
                <w:i/>
                <w:iCs/>
                <w:sz w:val="20"/>
                <w:szCs w:val="20"/>
              </w:rPr>
            </w:pPr>
            <w:r w:rsidRPr="00215B3D">
              <w:rPr>
                <w:rFonts w:ascii="Segoe UI" w:hAnsi="Segoe UI" w:cs="Segoe UI"/>
                <w:i/>
                <w:iCs/>
                <w:sz w:val="20"/>
                <w:szCs w:val="20"/>
              </w:rPr>
              <w:t>0,0</w:t>
            </w:r>
          </w:p>
        </w:tc>
        <w:tc>
          <w:tcPr>
            <w:tcW w:w="737"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3612CF">
            <w:pPr>
              <w:spacing w:after="0" w:line="240" w:lineRule="auto"/>
              <w:jc w:val="center"/>
              <w:rPr>
                <w:rFonts w:ascii="Segoe UI" w:hAnsi="Segoe UI" w:cs="Segoe UI"/>
                <w:i/>
                <w:iCs/>
                <w:sz w:val="20"/>
                <w:szCs w:val="20"/>
              </w:rPr>
            </w:pPr>
            <w:r w:rsidRPr="00215B3D">
              <w:rPr>
                <w:rFonts w:ascii="Segoe UI" w:hAnsi="Segoe UI" w:cs="Segoe UI"/>
                <w:i/>
                <w:iCs/>
                <w:sz w:val="20"/>
                <w:szCs w:val="20"/>
              </w:rPr>
              <w:t>0</w:t>
            </w:r>
            <w:r w:rsidR="00E57BCF" w:rsidRPr="00215B3D">
              <w:rPr>
                <w:rFonts w:ascii="Segoe UI" w:hAnsi="Segoe UI" w:cs="Segoe UI"/>
                <w:i/>
                <w:iCs/>
                <w:sz w:val="20"/>
                <w:szCs w:val="20"/>
              </w:rPr>
              <w:t>,0</w:t>
            </w:r>
          </w:p>
        </w:tc>
        <w:tc>
          <w:tcPr>
            <w:tcW w:w="1110" w:type="dxa"/>
            <w:tcBorders>
              <w:top w:val="nil"/>
              <w:left w:val="nil"/>
              <w:bottom w:val="single" w:sz="4" w:space="0" w:color="auto"/>
              <w:right w:val="single" w:sz="4" w:space="0" w:color="auto"/>
            </w:tcBorders>
            <w:noWrap/>
            <w:vAlign w:val="center"/>
            <w:hideMark/>
          </w:tcPr>
          <w:p w:rsidR="00BA4BEC" w:rsidRPr="00215B3D" w:rsidRDefault="00BA4BEC" w:rsidP="00083FC3">
            <w:pPr>
              <w:spacing w:after="0" w:line="240" w:lineRule="auto"/>
              <w:jc w:val="right"/>
              <w:rPr>
                <w:rFonts w:ascii="Segoe UI" w:hAnsi="Segoe UI" w:cs="Segoe UI"/>
                <w:i/>
                <w:iCs/>
                <w:sz w:val="20"/>
                <w:szCs w:val="20"/>
              </w:rPr>
            </w:pPr>
            <w:r w:rsidRPr="00215B3D">
              <w:rPr>
                <w:rFonts w:ascii="Segoe UI" w:hAnsi="Segoe UI" w:cs="Segoe UI"/>
                <w:i/>
                <w:iCs/>
                <w:sz w:val="20"/>
                <w:szCs w:val="20"/>
              </w:rPr>
              <w:t>-</w:t>
            </w:r>
            <w:r w:rsidR="00083FC3" w:rsidRPr="00215B3D">
              <w:rPr>
                <w:rFonts w:ascii="Segoe UI" w:hAnsi="Segoe UI" w:cs="Segoe UI"/>
                <w:i/>
                <w:iCs/>
                <w:sz w:val="20"/>
                <w:szCs w:val="20"/>
              </w:rPr>
              <w:t>2 877,5</w:t>
            </w:r>
          </w:p>
        </w:tc>
        <w:tc>
          <w:tcPr>
            <w:tcW w:w="1063" w:type="dxa"/>
            <w:tcBorders>
              <w:top w:val="nil"/>
              <w:left w:val="nil"/>
              <w:bottom w:val="single" w:sz="4" w:space="0" w:color="auto"/>
              <w:right w:val="single" w:sz="4" w:space="0" w:color="auto"/>
            </w:tcBorders>
            <w:noWrap/>
            <w:vAlign w:val="center"/>
            <w:hideMark/>
          </w:tcPr>
          <w:p w:rsidR="00BA4BEC" w:rsidRPr="00215B3D" w:rsidRDefault="00E91003" w:rsidP="003612CF">
            <w:pPr>
              <w:spacing w:after="0" w:line="240" w:lineRule="auto"/>
              <w:jc w:val="center"/>
              <w:rPr>
                <w:rFonts w:ascii="Segoe UI" w:hAnsi="Segoe UI" w:cs="Segoe UI"/>
                <w:i/>
                <w:iCs/>
                <w:sz w:val="20"/>
                <w:szCs w:val="20"/>
              </w:rPr>
            </w:pPr>
            <w:r w:rsidRPr="00215B3D">
              <w:rPr>
                <w:rFonts w:ascii="Segoe UI" w:hAnsi="Segoe UI" w:cs="Segoe UI"/>
                <w:i/>
                <w:iCs/>
                <w:sz w:val="20"/>
                <w:szCs w:val="20"/>
              </w:rPr>
              <w:t>-</w:t>
            </w:r>
            <w:r w:rsidR="00872EFA" w:rsidRPr="00215B3D">
              <w:rPr>
                <w:rFonts w:ascii="Segoe UI" w:hAnsi="Segoe UI" w:cs="Segoe UI"/>
                <w:i/>
                <w:iCs/>
                <w:sz w:val="20"/>
                <w:szCs w:val="20"/>
              </w:rPr>
              <w:t>100,0</w:t>
            </w:r>
          </w:p>
        </w:tc>
      </w:tr>
      <w:tr w:rsidR="00BA4BEC" w:rsidRPr="00215B3D" w:rsidTr="00D54A83">
        <w:trPr>
          <w:trHeight w:val="630"/>
        </w:trPr>
        <w:tc>
          <w:tcPr>
            <w:tcW w:w="1489" w:type="dxa"/>
            <w:tcBorders>
              <w:top w:val="nil"/>
              <w:left w:val="single" w:sz="4" w:space="0" w:color="auto"/>
              <w:bottom w:val="single" w:sz="4" w:space="0" w:color="auto"/>
              <w:right w:val="single" w:sz="4" w:space="0" w:color="auto"/>
            </w:tcBorders>
            <w:vAlign w:val="bottom"/>
            <w:hideMark/>
          </w:tcPr>
          <w:p w:rsidR="00BA4BEC" w:rsidRPr="00215B3D" w:rsidRDefault="00BA4BEC" w:rsidP="00BA4BEC">
            <w:pPr>
              <w:spacing w:after="0" w:line="240" w:lineRule="auto"/>
              <w:rPr>
                <w:rFonts w:ascii="Segoe UI" w:hAnsi="Segoe UI" w:cs="Segoe UI"/>
                <w:sz w:val="20"/>
                <w:szCs w:val="20"/>
              </w:rPr>
            </w:pPr>
            <w:r w:rsidRPr="00215B3D">
              <w:rPr>
                <w:rFonts w:ascii="Segoe UI" w:hAnsi="Segoe UI" w:cs="Segoe UI"/>
                <w:sz w:val="20"/>
                <w:szCs w:val="20"/>
              </w:rPr>
              <w:t>Fonds de concours + recettes assimilées</w:t>
            </w:r>
          </w:p>
        </w:tc>
        <w:tc>
          <w:tcPr>
            <w:tcW w:w="1134" w:type="dxa"/>
            <w:tcBorders>
              <w:top w:val="nil"/>
              <w:left w:val="nil"/>
              <w:bottom w:val="single" w:sz="4" w:space="0" w:color="auto"/>
              <w:right w:val="single" w:sz="4" w:space="0" w:color="auto"/>
            </w:tcBorders>
            <w:noWrap/>
            <w:vAlign w:val="center"/>
            <w:hideMark/>
          </w:tcPr>
          <w:p w:rsidR="00BA4BEC" w:rsidRPr="00215B3D" w:rsidRDefault="00BE0E9F" w:rsidP="00BA4BEC">
            <w:pPr>
              <w:spacing w:after="0" w:line="240" w:lineRule="auto"/>
              <w:jc w:val="right"/>
              <w:rPr>
                <w:rFonts w:ascii="Segoe UI" w:hAnsi="Segoe UI" w:cs="Segoe UI"/>
                <w:i/>
                <w:iCs/>
                <w:sz w:val="20"/>
                <w:szCs w:val="20"/>
              </w:rPr>
            </w:pPr>
            <w:r w:rsidRPr="00215B3D">
              <w:rPr>
                <w:rFonts w:ascii="Segoe UI" w:hAnsi="Segoe UI" w:cs="Segoe UI"/>
                <w:i/>
                <w:iCs/>
                <w:sz w:val="20"/>
                <w:szCs w:val="20"/>
              </w:rPr>
              <w:t xml:space="preserve">42 830 </w:t>
            </w:r>
          </w:p>
        </w:tc>
        <w:tc>
          <w:tcPr>
            <w:tcW w:w="1134" w:type="dxa"/>
            <w:tcBorders>
              <w:top w:val="nil"/>
              <w:left w:val="nil"/>
              <w:bottom w:val="single" w:sz="4" w:space="0" w:color="auto"/>
              <w:right w:val="single" w:sz="4" w:space="0" w:color="auto"/>
            </w:tcBorders>
            <w:noWrap/>
            <w:vAlign w:val="center"/>
            <w:hideMark/>
          </w:tcPr>
          <w:p w:rsidR="00BA4BEC" w:rsidRPr="00215B3D" w:rsidRDefault="00BE0E9F" w:rsidP="006D7FA3">
            <w:pPr>
              <w:spacing w:after="0" w:line="240" w:lineRule="auto"/>
              <w:jc w:val="right"/>
              <w:rPr>
                <w:rFonts w:ascii="Segoe UI" w:hAnsi="Segoe UI" w:cs="Segoe UI"/>
                <w:i/>
                <w:iCs/>
                <w:sz w:val="20"/>
                <w:szCs w:val="20"/>
              </w:rPr>
            </w:pPr>
            <w:r w:rsidRPr="00215B3D">
              <w:rPr>
                <w:rFonts w:ascii="Segoe UI" w:hAnsi="Segoe UI" w:cs="Segoe UI"/>
                <w:i/>
                <w:iCs/>
                <w:sz w:val="20"/>
                <w:szCs w:val="20"/>
              </w:rPr>
              <w:t>9 094,6</w:t>
            </w:r>
          </w:p>
        </w:tc>
        <w:tc>
          <w:tcPr>
            <w:tcW w:w="860" w:type="dxa"/>
            <w:tcBorders>
              <w:top w:val="nil"/>
              <w:left w:val="nil"/>
              <w:bottom w:val="single" w:sz="4" w:space="0" w:color="auto"/>
              <w:right w:val="single" w:sz="4" w:space="0" w:color="auto"/>
            </w:tcBorders>
            <w:noWrap/>
            <w:vAlign w:val="center"/>
            <w:hideMark/>
          </w:tcPr>
          <w:p w:rsidR="00BA4BEC" w:rsidRPr="00215B3D" w:rsidRDefault="00BE0E9F" w:rsidP="006D7FA3">
            <w:pPr>
              <w:spacing w:after="0" w:line="240" w:lineRule="auto"/>
              <w:jc w:val="center"/>
              <w:rPr>
                <w:rFonts w:ascii="Segoe UI" w:hAnsi="Segoe UI" w:cs="Segoe UI"/>
                <w:i/>
                <w:iCs/>
                <w:sz w:val="20"/>
                <w:szCs w:val="20"/>
              </w:rPr>
            </w:pPr>
            <w:r w:rsidRPr="00215B3D">
              <w:rPr>
                <w:rFonts w:ascii="Segoe UI" w:hAnsi="Segoe UI" w:cs="Segoe UI"/>
                <w:i/>
                <w:iCs/>
                <w:sz w:val="20"/>
                <w:szCs w:val="20"/>
              </w:rPr>
              <w:t>21,</w:t>
            </w:r>
            <w:r w:rsidR="001A06A6" w:rsidRPr="00215B3D">
              <w:rPr>
                <w:rFonts w:ascii="Segoe UI" w:hAnsi="Segoe UI" w:cs="Segoe UI"/>
                <w:i/>
                <w:iCs/>
                <w:sz w:val="20"/>
                <w:szCs w:val="20"/>
              </w:rPr>
              <w:t>2</w:t>
            </w:r>
          </w:p>
        </w:tc>
        <w:tc>
          <w:tcPr>
            <w:tcW w:w="1125"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BE0E9F">
            <w:pPr>
              <w:spacing w:after="0" w:line="240" w:lineRule="auto"/>
              <w:jc w:val="center"/>
              <w:rPr>
                <w:rFonts w:ascii="Segoe UI" w:hAnsi="Segoe UI" w:cs="Segoe UI"/>
                <w:i/>
                <w:iCs/>
                <w:sz w:val="20"/>
                <w:szCs w:val="20"/>
              </w:rPr>
            </w:pPr>
            <w:r w:rsidRPr="00215B3D">
              <w:rPr>
                <w:rFonts w:ascii="Segoe UI" w:hAnsi="Segoe UI" w:cs="Segoe UI"/>
                <w:i/>
                <w:iCs/>
                <w:sz w:val="20"/>
                <w:szCs w:val="20"/>
              </w:rPr>
              <w:t>60 300</w:t>
            </w:r>
          </w:p>
        </w:tc>
        <w:tc>
          <w:tcPr>
            <w:tcW w:w="1200"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BE0E9F">
            <w:pPr>
              <w:spacing w:after="0" w:line="240" w:lineRule="auto"/>
              <w:jc w:val="right"/>
              <w:rPr>
                <w:rFonts w:ascii="Segoe UI" w:hAnsi="Segoe UI" w:cs="Segoe UI"/>
                <w:i/>
                <w:iCs/>
                <w:sz w:val="20"/>
                <w:szCs w:val="20"/>
              </w:rPr>
            </w:pPr>
            <w:r w:rsidRPr="00215B3D">
              <w:rPr>
                <w:rFonts w:ascii="Segoe UI" w:hAnsi="Segoe UI" w:cs="Segoe UI"/>
                <w:i/>
                <w:iCs/>
                <w:sz w:val="20"/>
                <w:szCs w:val="20"/>
              </w:rPr>
              <w:t>20 587,6</w:t>
            </w:r>
          </w:p>
        </w:tc>
        <w:tc>
          <w:tcPr>
            <w:tcW w:w="737" w:type="dxa"/>
            <w:tcBorders>
              <w:top w:val="nil"/>
              <w:left w:val="nil"/>
              <w:bottom w:val="single" w:sz="4" w:space="0" w:color="auto"/>
              <w:right w:val="single" w:sz="4" w:space="0" w:color="auto"/>
            </w:tcBorders>
            <w:shd w:val="clear" w:color="000000" w:fill="DBE5F1"/>
            <w:noWrap/>
            <w:vAlign w:val="center"/>
            <w:hideMark/>
          </w:tcPr>
          <w:p w:rsidR="00BA4BEC" w:rsidRPr="00215B3D" w:rsidRDefault="00BE0E9F" w:rsidP="00BE0E9F">
            <w:pPr>
              <w:spacing w:after="0" w:line="240" w:lineRule="auto"/>
              <w:jc w:val="center"/>
              <w:rPr>
                <w:rFonts w:ascii="Segoe UI" w:hAnsi="Segoe UI" w:cs="Segoe UI"/>
                <w:i/>
                <w:iCs/>
                <w:sz w:val="20"/>
                <w:szCs w:val="20"/>
              </w:rPr>
            </w:pPr>
            <w:r w:rsidRPr="00215B3D">
              <w:rPr>
                <w:rFonts w:ascii="Segoe UI" w:hAnsi="Segoe UI" w:cs="Segoe UI"/>
                <w:i/>
                <w:iCs/>
                <w:sz w:val="20"/>
                <w:szCs w:val="20"/>
              </w:rPr>
              <w:t>34,1</w:t>
            </w:r>
          </w:p>
        </w:tc>
        <w:tc>
          <w:tcPr>
            <w:tcW w:w="1110" w:type="dxa"/>
            <w:tcBorders>
              <w:top w:val="nil"/>
              <w:left w:val="nil"/>
              <w:bottom w:val="single" w:sz="4" w:space="0" w:color="auto"/>
              <w:right w:val="single" w:sz="4" w:space="0" w:color="auto"/>
            </w:tcBorders>
            <w:noWrap/>
            <w:vAlign w:val="center"/>
            <w:hideMark/>
          </w:tcPr>
          <w:p w:rsidR="00BA4BEC" w:rsidRPr="00215B3D" w:rsidRDefault="00872EFA" w:rsidP="00872EFA">
            <w:pPr>
              <w:spacing w:after="0" w:line="240" w:lineRule="auto"/>
              <w:jc w:val="right"/>
              <w:rPr>
                <w:rFonts w:ascii="Segoe UI" w:hAnsi="Segoe UI" w:cs="Segoe UI"/>
                <w:i/>
                <w:iCs/>
                <w:sz w:val="20"/>
                <w:szCs w:val="20"/>
              </w:rPr>
            </w:pPr>
            <w:r w:rsidRPr="00215B3D">
              <w:rPr>
                <w:rFonts w:ascii="Segoe UI" w:hAnsi="Segoe UI" w:cs="Segoe UI"/>
                <w:i/>
                <w:iCs/>
                <w:sz w:val="20"/>
                <w:szCs w:val="20"/>
              </w:rPr>
              <w:t>11 493,0</w:t>
            </w:r>
          </w:p>
        </w:tc>
        <w:tc>
          <w:tcPr>
            <w:tcW w:w="1063" w:type="dxa"/>
            <w:tcBorders>
              <w:top w:val="nil"/>
              <w:left w:val="nil"/>
              <w:bottom w:val="single" w:sz="4" w:space="0" w:color="auto"/>
              <w:right w:val="single" w:sz="4" w:space="0" w:color="auto"/>
            </w:tcBorders>
            <w:noWrap/>
            <w:vAlign w:val="center"/>
            <w:hideMark/>
          </w:tcPr>
          <w:p w:rsidR="00BA4BEC" w:rsidRPr="00215B3D" w:rsidRDefault="00872EFA" w:rsidP="003612CF">
            <w:pPr>
              <w:spacing w:after="0" w:line="240" w:lineRule="auto"/>
              <w:jc w:val="center"/>
              <w:rPr>
                <w:rFonts w:ascii="Segoe UI" w:hAnsi="Segoe UI" w:cs="Segoe UI"/>
                <w:i/>
                <w:iCs/>
                <w:sz w:val="20"/>
                <w:szCs w:val="20"/>
              </w:rPr>
            </w:pPr>
            <w:r w:rsidRPr="00215B3D">
              <w:rPr>
                <w:rFonts w:ascii="Segoe UI" w:hAnsi="Segoe UI" w:cs="Segoe UI"/>
                <w:i/>
                <w:iCs/>
                <w:sz w:val="20"/>
                <w:szCs w:val="20"/>
              </w:rPr>
              <w:t>126,4</w:t>
            </w:r>
          </w:p>
        </w:tc>
      </w:tr>
      <w:tr w:rsidR="00BA4BEC" w:rsidRPr="00215B3D" w:rsidTr="00D54A83">
        <w:trPr>
          <w:trHeight w:val="435"/>
        </w:trPr>
        <w:tc>
          <w:tcPr>
            <w:tcW w:w="1489" w:type="dxa"/>
            <w:tcBorders>
              <w:top w:val="nil"/>
              <w:left w:val="single" w:sz="4" w:space="0" w:color="auto"/>
              <w:bottom w:val="single" w:sz="4" w:space="0" w:color="auto"/>
              <w:right w:val="single" w:sz="4" w:space="0" w:color="auto"/>
            </w:tcBorders>
            <w:noWrap/>
            <w:vAlign w:val="bottom"/>
            <w:hideMark/>
          </w:tcPr>
          <w:p w:rsidR="00BA4BEC" w:rsidRPr="00215B3D" w:rsidRDefault="00BA4BEC" w:rsidP="00BA4BEC">
            <w:pPr>
              <w:spacing w:after="0" w:line="240" w:lineRule="auto"/>
              <w:jc w:val="center"/>
              <w:rPr>
                <w:rFonts w:ascii="Segoe UI" w:hAnsi="Segoe UI" w:cs="Segoe UI"/>
                <w:b/>
                <w:bCs/>
                <w:sz w:val="20"/>
                <w:szCs w:val="20"/>
              </w:rPr>
            </w:pPr>
            <w:r w:rsidRPr="00215B3D">
              <w:rPr>
                <w:rFonts w:ascii="Segoe UI" w:hAnsi="Segoe UI" w:cs="Segoe UI"/>
                <w:b/>
                <w:bCs/>
                <w:sz w:val="20"/>
                <w:szCs w:val="20"/>
              </w:rPr>
              <w:t>TOTAL</w:t>
            </w:r>
          </w:p>
        </w:tc>
        <w:tc>
          <w:tcPr>
            <w:tcW w:w="1134" w:type="dxa"/>
            <w:tcBorders>
              <w:top w:val="nil"/>
              <w:left w:val="nil"/>
              <w:bottom w:val="single" w:sz="4" w:space="0" w:color="auto"/>
              <w:right w:val="single" w:sz="4" w:space="0" w:color="auto"/>
            </w:tcBorders>
            <w:noWrap/>
            <w:vAlign w:val="bottom"/>
            <w:hideMark/>
          </w:tcPr>
          <w:p w:rsidR="00BA4BEC" w:rsidRPr="00215B3D" w:rsidRDefault="00BE0E9F" w:rsidP="00BA4BEC">
            <w:pPr>
              <w:spacing w:after="0" w:line="240" w:lineRule="auto"/>
              <w:jc w:val="right"/>
              <w:rPr>
                <w:rFonts w:ascii="Segoe UI" w:hAnsi="Segoe UI" w:cs="Segoe UI"/>
                <w:b/>
                <w:bCs/>
                <w:sz w:val="20"/>
                <w:szCs w:val="20"/>
              </w:rPr>
            </w:pPr>
            <w:r w:rsidRPr="00215B3D">
              <w:rPr>
                <w:rFonts w:ascii="Segoe UI" w:hAnsi="Segoe UI" w:cs="Segoe UI"/>
                <w:b/>
                <w:bCs/>
                <w:sz w:val="20"/>
                <w:szCs w:val="20"/>
              </w:rPr>
              <w:t>51 299,0</w:t>
            </w:r>
          </w:p>
        </w:tc>
        <w:tc>
          <w:tcPr>
            <w:tcW w:w="1134" w:type="dxa"/>
            <w:tcBorders>
              <w:top w:val="nil"/>
              <w:left w:val="nil"/>
              <w:bottom w:val="single" w:sz="4" w:space="0" w:color="auto"/>
              <w:right w:val="single" w:sz="4" w:space="0" w:color="auto"/>
            </w:tcBorders>
            <w:noWrap/>
            <w:vAlign w:val="bottom"/>
            <w:hideMark/>
          </w:tcPr>
          <w:p w:rsidR="00BA4BEC" w:rsidRPr="00215B3D" w:rsidRDefault="00BE0E9F" w:rsidP="002D7DB3">
            <w:pPr>
              <w:spacing w:after="0" w:line="240" w:lineRule="auto"/>
              <w:jc w:val="right"/>
              <w:rPr>
                <w:rFonts w:ascii="Segoe UI" w:hAnsi="Segoe UI" w:cs="Segoe UI"/>
                <w:b/>
                <w:bCs/>
                <w:sz w:val="20"/>
                <w:szCs w:val="20"/>
              </w:rPr>
            </w:pPr>
            <w:r w:rsidRPr="00215B3D">
              <w:rPr>
                <w:rFonts w:ascii="Segoe UI" w:hAnsi="Segoe UI" w:cs="Segoe UI"/>
                <w:b/>
                <w:bCs/>
                <w:sz w:val="20"/>
                <w:szCs w:val="20"/>
              </w:rPr>
              <w:t>11 972,</w:t>
            </w:r>
            <w:r w:rsidR="002D7DB3">
              <w:rPr>
                <w:rFonts w:ascii="Segoe UI" w:hAnsi="Segoe UI" w:cs="Segoe UI"/>
                <w:b/>
                <w:bCs/>
                <w:sz w:val="20"/>
                <w:szCs w:val="20"/>
              </w:rPr>
              <w:t>1</w:t>
            </w:r>
          </w:p>
        </w:tc>
        <w:tc>
          <w:tcPr>
            <w:tcW w:w="860" w:type="dxa"/>
            <w:tcBorders>
              <w:top w:val="nil"/>
              <w:left w:val="nil"/>
              <w:bottom w:val="single" w:sz="4" w:space="0" w:color="auto"/>
              <w:right w:val="single" w:sz="4" w:space="0" w:color="auto"/>
            </w:tcBorders>
            <w:noWrap/>
            <w:vAlign w:val="bottom"/>
            <w:hideMark/>
          </w:tcPr>
          <w:p w:rsidR="00BA4BEC" w:rsidRPr="00215B3D" w:rsidRDefault="00BE0E9F" w:rsidP="003612CF">
            <w:pPr>
              <w:spacing w:after="0" w:line="240" w:lineRule="auto"/>
              <w:jc w:val="center"/>
              <w:rPr>
                <w:rFonts w:ascii="Segoe UI" w:hAnsi="Segoe UI" w:cs="Segoe UI"/>
                <w:b/>
                <w:bCs/>
                <w:sz w:val="20"/>
                <w:szCs w:val="20"/>
              </w:rPr>
            </w:pPr>
            <w:r w:rsidRPr="00215B3D">
              <w:rPr>
                <w:rFonts w:ascii="Segoe UI" w:hAnsi="Segoe UI" w:cs="Segoe UI"/>
                <w:b/>
                <w:bCs/>
                <w:sz w:val="20"/>
                <w:szCs w:val="20"/>
              </w:rPr>
              <w:t>23,3</w:t>
            </w:r>
          </w:p>
        </w:tc>
        <w:tc>
          <w:tcPr>
            <w:tcW w:w="1125" w:type="dxa"/>
            <w:tcBorders>
              <w:top w:val="nil"/>
              <w:left w:val="nil"/>
              <w:bottom w:val="single" w:sz="4" w:space="0" w:color="auto"/>
              <w:right w:val="single" w:sz="4" w:space="0" w:color="auto"/>
            </w:tcBorders>
            <w:shd w:val="clear" w:color="000000" w:fill="DBE5F1"/>
            <w:noWrap/>
            <w:vAlign w:val="bottom"/>
            <w:hideMark/>
          </w:tcPr>
          <w:p w:rsidR="00BA4BEC" w:rsidRPr="00215B3D" w:rsidRDefault="00BE0E9F" w:rsidP="003612CF">
            <w:pPr>
              <w:spacing w:after="0" w:line="240" w:lineRule="auto"/>
              <w:jc w:val="right"/>
              <w:rPr>
                <w:rFonts w:ascii="Segoe UI" w:hAnsi="Segoe UI" w:cs="Segoe UI"/>
                <w:b/>
                <w:bCs/>
                <w:sz w:val="20"/>
                <w:szCs w:val="20"/>
              </w:rPr>
            </w:pPr>
            <w:r w:rsidRPr="00215B3D">
              <w:rPr>
                <w:rFonts w:ascii="Segoe UI" w:hAnsi="Segoe UI" w:cs="Segoe UI"/>
                <w:b/>
                <w:bCs/>
                <w:sz w:val="20"/>
                <w:szCs w:val="20"/>
              </w:rPr>
              <w:t>84 140</w:t>
            </w:r>
            <w:r w:rsidR="00B84A1B" w:rsidRPr="00215B3D">
              <w:rPr>
                <w:rFonts w:ascii="Segoe UI" w:hAnsi="Segoe UI" w:cs="Segoe UI"/>
                <w:b/>
                <w:bCs/>
                <w:sz w:val="20"/>
                <w:szCs w:val="20"/>
              </w:rPr>
              <w:t>,0</w:t>
            </w:r>
          </w:p>
        </w:tc>
        <w:tc>
          <w:tcPr>
            <w:tcW w:w="1200" w:type="dxa"/>
            <w:tcBorders>
              <w:top w:val="nil"/>
              <w:left w:val="nil"/>
              <w:bottom w:val="single" w:sz="4" w:space="0" w:color="auto"/>
              <w:right w:val="single" w:sz="4" w:space="0" w:color="auto"/>
            </w:tcBorders>
            <w:shd w:val="clear" w:color="000000" w:fill="DBE5F1"/>
            <w:noWrap/>
            <w:vAlign w:val="bottom"/>
            <w:hideMark/>
          </w:tcPr>
          <w:p w:rsidR="00BA4BEC" w:rsidRPr="00215B3D" w:rsidRDefault="00BE0E9F" w:rsidP="002D7DB3">
            <w:pPr>
              <w:spacing w:after="0" w:line="240" w:lineRule="auto"/>
              <w:jc w:val="right"/>
              <w:rPr>
                <w:rFonts w:ascii="Segoe UI" w:hAnsi="Segoe UI" w:cs="Segoe UI"/>
                <w:b/>
                <w:bCs/>
                <w:sz w:val="20"/>
                <w:szCs w:val="20"/>
              </w:rPr>
            </w:pPr>
            <w:r w:rsidRPr="00215B3D">
              <w:rPr>
                <w:rFonts w:ascii="Segoe UI" w:hAnsi="Segoe UI" w:cs="Segoe UI"/>
                <w:b/>
                <w:bCs/>
                <w:sz w:val="20"/>
                <w:szCs w:val="20"/>
              </w:rPr>
              <w:t>20 58</w:t>
            </w:r>
            <w:r w:rsidR="002D7DB3">
              <w:rPr>
                <w:rFonts w:ascii="Segoe UI" w:hAnsi="Segoe UI" w:cs="Segoe UI"/>
                <w:b/>
                <w:bCs/>
                <w:sz w:val="20"/>
                <w:szCs w:val="20"/>
              </w:rPr>
              <w:t>7</w:t>
            </w:r>
            <w:r w:rsidRPr="00215B3D">
              <w:rPr>
                <w:rFonts w:ascii="Segoe UI" w:hAnsi="Segoe UI" w:cs="Segoe UI"/>
                <w:b/>
                <w:bCs/>
                <w:sz w:val="20"/>
                <w:szCs w:val="20"/>
              </w:rPr>
              <w:t>,</w:t>
            </w:r>
            <w:r w:rsidR="002D7DB3">
              <w:rPr>
                <w:rFonts w:ascii="Segoe UI" w:hAnsi="Segoe UI" w:cs="Segoe UI"/>
                <w:b/>
                <w:bCs/>
                <w:sz w:val="20"/>
                <w:szCs w:val="20"/>
              </w:rPr>
              <w:t>6</w:t>
            </w:r>
          </w:p>
        </w:tc>
        <w:tc>
          <w:tcPr>
            <w:tcW w:w="737" w:type="dxa"/>
            <w:tcBorders>
              <w:top w:val="nil"/>
              <w:left w:val="nil"/>
              <w:bottom w:val="single" w:sz="4" w:space="0" w:color="auto"/>
              <w:right w:val="single" w:sz="4" w:space="0" w:color="auto"/>
            </w:tcBorders>
            <w:shd w:val="clear" w:color="000000" w:fill="DBE5F1"/>
            <w:noWrap/>
            <w:vAlign w:val="bottom"/>
            <w:hideMark/>
          </w:tcPr>
          <w:p w:rsidR="00BA4BEC" w:rsidRPr="00215B3D" w:rsidRDefault="00BE0E9F" w:rsidP="003612CF">
            <w:pPr>
              <w:spacing w:after="0" w:line="240" w:lineRule="auto"/>
              <w:jc w:val="center"/>
              <w:rPr>
                <w:rFonts w:ascii="Segoe UI" w:hAnsi="Segoe UI" w:cs="Segoe UI"/>
                <w:b/>
                <w:bCs/>
                <w:sz w:val="20"/>
                <w:szCs w:val="20"/>
              </w:rPr>
            </w:pPr>
            <w:r w:rsidRPr="00215B3D">
              <w:rPr>
                <w:rFonts w:ascii="Segoe UI" w:hAnsi="Segoe UI" w:cs="Segoe UI"/>
                <w:b/>
                <w:bCs/>
                <w:sz w:val="20"/>
                <w:szCs w:val="20"/>
              </w:rPr>
              <w:t>24,5</w:t>
            </w:r>
          </w:p>
        </w:tc>
        <w:tc>
          <w:tcPr>
            <w:tcW w:w="1110" w:type="dxa"/>
            <w:tcBorders>
              <w:top w:val="nil"/>
              <w:left w:val="nil"/>
              <w:bottom w:val="single" w:sz="4" w:space="0" w:color="auto"/>
              <w:right w:val="single" w:sz="4" w:space="0" w:color="auto"/>
            </w:tcBorders>
            <w:noWrap/>
            <w:vAlign w:val="bottom"/>
            <w:hideMark/>
          </w:tcPr>
          <w:p w:rsidR="00BA4BEC" w:rsidRPr="00215B3D" w:rsidRDefault="00777F5F" w:rsidP="003612CF">
            <w:pPr>
              <w:spacing w:after="0" w:line="240" w:lineRule="auto"/>
              <w:jc w:val="right"/>
              <w:rPr>
                <w:rFonts w:ascii="Segoe UI" w:hAnsi="Segoe UI" w:cs="Segoe UI"/>
                <w:b/>
                <w:bCs/>
                <w:sz w:val="20"/>
                <w:szCs w:val="20"/>
              </w:rPr>
            </w:pPr>
            <w:r w:rsidRPr="00215B3D">
              <w:rPr>
                <w:rFonts w:ascii="Segoe UI" w:hAnsi="Segoe UI" w:cs="Segoe UI"/>
                <w:b/>
                <w:bCs/>
                <w:sz w:val="20"/>
                <w:szCs w:val="20"/>
              </w:rPr>
              <w:t>8 615,5</w:t>
            </w:r>
          </w:p>
        </w:tc>
        <w:tc>
          <w:tcPr>
            <w:tcW w:w="1063" w:type="dxa"/>
            <w:tcBorders>
              <w:top w:val="nil"/>
              <w:left w:val="nil"/>
              <w:bottom w:val="single" w:sz="4" w:space="0" w:color="auto"/>
              <w:right w:val="single" w:sz="4" w:space="0" w:color="auto"/>
            </w:tcBorders>
            <w:noWrap/>
            <w:vAlign w:val="bottom"/>
            <w:hideMark/>
          </w:tcPr>
          <w:p w:rsidR="00BA4BEC" w:rsidRPr="00215B3D" w:rsidRDefault="00777F5F" w:rsidP="003612CF">
            <w:pPr>
              <w:spacing w:after="0" w:line="240" w:lineRule="auto"/>
              <w:jc w:val="center"/>
              <w:rPr>
                <w:rFonts w:ascii="Segoe UI" w:hAnsi="Segoe UI" w:cs="Segoe UI"/>
                <w:b/>
                <w:bCs/>
                <w:sz w:val="20"/>
                <w:szCs w:val="20"/>
              </w:rPr>
            </w:pPr>
            <w:r w:rsidRPr="00215B3D">
              <w:rPr>
                <w:rFonts w:ascii="Segoe UI" w:hAnsi="Segoe UI" w:cs="Segoe UI"/>
                <w:b/>
                <w:bCs/>
                <w:sz w:val="20"/>
                <w:szCs w:val="20"/>
              </w:rPr>
              <w:t>72,0</w:t>
            </w:r>
          </w:p>
        </w:tc>
      </w:tr>
    </w:tbl>
    <w:p w:rsidR="009B0107" w:rsidRPr="0074636F" w:rsidRDefault="009B0107" w:rsidP="009B0107">
      <w:pPr>
        <w:spacing w:after="0"/>
        <w:rPr>
          <w:rFonts w:ascii="Segoe UI" w:hAnsi="Segoe UI" w:cs="Segoe UI"/>
          <w:b/>
          <w:sz w:val="12"/>
          <w:szCs w:val="16"/>
          <w:u w:val="single"/>
        </w:rPr>
      </w:pPr>
    </w:p>
    <w:p w:rsidR="005E6E8C" w:rsidRPr="00215B3D" w:rsidRDefault="00E96F11" w:rsidP="002C11DF">
      <w:pPr>
        <w:rPr>
          <w:rFonts w:ascii="Segoe UI" w:hAnsi="Segoe UI" w:cs="Segoe UI"/>
          <w:sz w:val="20"/>
          <w:szCs w:val="20"/>
        </w:rPr>
      </w:pPr>
      <w:r w:rsidRPr="00215B3D">
        <w:rPr>
          <w:rFonts w:ascii="Segoe UI" w:hAnsi="Segoe UI" w:cs="Segoe UI"/>
          <w:b/>
          <w:sz w:val="20"/>
          <w:szCs w:val="20"/>
          <w:u w:val="single"/>
        </w:rPr>
        <w:t>Source</w:t>
      </w:r>
      <w:r w:rsidRPr="00215B3D">
        <w:rPr>
          <w:rFonts w:ascii="Segoe UI" w:hAnsi="Segoe UI" w:cs="Segoe UI"/>
          <w:sz w:val="20"/>
          <w:szCs w:val="20"/>
        </w:rPr>
        <w:t xml:space="preserve">: </w:t>
      </w:r>
      <w:r w:rsidR="00324277" w:rsidRPr="00215B3D">
        <w:rPr>
          <w:rFonts w:ascii="Segoe UI" w:hAnsi="Segoe UI" w:cs="Segoe UI"/>
          <w:sz w:val="16"/>
          <w:szCs w:val="26"/>
        </w:rPr>
        <w:t xml:space="preserve">DGB, sur la base des données fournies par  la </w:t>
      </w:r>
      <w:r w:rsidRPr="00215B3D">
        <w:rPr>
          <w:rFonts w:ascii="Segoe UI" w:hAnsi="Segoe UI" w:cs="Segoe UI"/>
          <w:sz w:val="20"/>
          <w:szCs w:val="20"/>
        </w:rPr>
        <w:t xml:space="preserve">CAA, </w:t>
      </w:r>
      <w:r w:rsidR="00483F6C" w:rsidRPr="00215B3D">
        <w:rPr>
          <w:rFonts w:ascii="Segoe UI" w:hAnsi="Segoe UI" w:cs="Segoe UI"/>
          <w:sz w:val="20"/>
          <w:szCs w:val="20"/>
        </w:rPr>
        <w:t>juin</w:t>
      </w:r>
      <w:r w:rsidRPr="00215B3D">
        <w:rPr>
          <w:rFonts w:ascii="Segoe UI" w:hAnsi="Segoe UI" w:cs="Segoe UI"/>
          <w:sz w:val="20"/>
          <w:szCs w:val="20"/>
        </w:rPr>
        <w:t xml:space="preserve"> 201</w:t>
      </w:r>
      <w:r w:rsidR="00B4322C" w:rsidRPr="00215B3D">
        <w:rPr>
          <w:rFonts w:ascii="Segoe UI" w:hAnsi="Segoe UI" w:cs="Segoe UI"/>
          <w:sz w:val="20"/>
          <w:szCs w:val="20"/>
        </w:rPr>
        <w:t>7</w:t>
      </w:r>
    </w:p>
    <w:p w:rsidR="00E154CE" w:rsidRPr="00B11D36" w:rsidRDefault="00E154CE" w:rsidP="002C11DF">
      <w:pPr>
        <w:rPr>
          <w:rFonts w:ascii="Segoe UI" w:hAnsi="Segoe UI" w:cs="Segoe UI"/>
          <w:sz w:val="2"/>
          <w:szCs w:val="20"/>
        </w:rPr>
      </w:pPr>
    </w:p>
    <w:p w:rsidR="00807BBA" w:rsidRPr="00807BBA" w:rsidRDefault="0074747B" w:rsidP="00807BBA">
      <w:pPr>
        <w:pStyle w:val="Titre2"/>
        <w:numPr>
          <w:ilvl w:val="0"/>
          <w:numId w:val="45"/>
        </w:numPr>
        <w:rPr>
          <w:rFonts w:ascii="Segoe UI" w:hAnsi="Segoe UI" w:cs="Segoe UI"/>
          <w:lang w:eastAsia="x-none"/>
        </w:rPr>
      </w:pPr>
      <w:bookmarkStart w:id="23" w:name="_Toc496025006"/>
      <w:r w:rsidRPr="00215B3D">
        <w:rPr>
          <w:rFonts w:ascii="Segoe UI" w:hAnsi="Segoe UI" w:cs="Segoe UI"/>
        </w:rPr>
        <w:t>D</w:t>
      </w:r>
      <w:r w:rsidR="002C11DF" w:rsidRPr="00215B3D">
        <w:rPr>
          <w:rFonts w:ascii="Segoe UI" w:hAnsi="Segoe UI" w:cs="Segoe UI"/>
        </w:rPr>
        <w:t>épenses budgétaires au 3</w:t>
      </w:r>
      <w:r w:rsidR="001E102D" w:rsidRPr="00215B3D">
        <w:rPr>
          <w:rFonts w:ascii="Segoe UI" w:hAnsi="Segoe UI" w:cs="Segoe UI"/>
          <w:lang w:eastAsia="x-none"/>
        </w:rPr>
        <w:t>0 juin</w:t>
      </w:r>
      <w:r w:rsidR="002C11DF" w:rsidRPr="00215B3D">
        <w:rPr>
          <w:rFonts w:ascii="Segoe UI" w:hAnsi="Segoe UI" w:cs="Segoe UI"/>
        </w:rPr>
        <w:t xml:space="preserve"> 201</w:t>
      </w:r>
      <w:r w:rsidR="001E102D" w:rsidRPr="00215B3D">
        <w:rPr>
          <w:rFonts w:ascii="Segoe UI" w:hAnsi="Segoe UI" w:cs="Segoe UI"/>
          <w:lang w:eastAsia="x-none"/>
        </w:rPr>
        <w:t>7</w:t>
      </w:r>
      <w:bookmarkEnd w:id="23"/>
    </w:p>
    <w:p w:rsidR="003D1E43" w:rsidRDefault="003D1E43" w:rsidP="00086FAE">
      <w:pPr>
        <w:spacing w:after="0" w:line="360" w:lineRule="auto"/>
        <w:jc w:val="both"/>
        <w:rPr>
          <w:rFonts w:ascii="Segoe UI" w:hAnsi="Segoe UI" w:cs="Segoe UI"/>
          <w:sz w:val="16"/>
          <w:szCs w:val="16"/>
        </w:rPr>
      </w:pPr>
    </w:p>
    <w:p w:rsidR="00324277" w:rsidRPr="00215B3D" w:rsidRDefault="009A0308" w:rsidP="00086FAE">
      <w:pPr>
        <w:spacing w:after="0" w:line="360" w:lineRule="auto"/>
        <w:jc w:val="both"/>
        <w:rPr>
          <w:rFonts w:ascii="Segoe UI" w:hAnsi="Segoe UI" w:cs="Segoe UI"/>
          <w:b/>
          <w:bCs/>
          <w:iCs/>
          <w:sz w:val="24"/>
          <w:szCs w:val="26"/>
        </w:rPr>
      </w:pPr>
      <w:r w:rsidRPr="00215B3D">
        <w:rPr>
          <w:rFonts w:ascii="Segoe UI" w:hAnsi="Segoe UI" w:cs="Segoe UI"/>
          <w:bCs/>
          <w:iCs/>
          <w:sz w:val="24"/>
          <w:szCs w:val="26"/>
        </w:rPr>
        <w:t xml:space="preserve">Les </w:t>
      </w:r>
      <w:r w:rsidR="00324277" w:rsidRPr="00215B3D">
        <w:rPr>
          <w:rFonts w:ascii="Segoe UI" w:hAnsi="Segoe UI" w:cs="Segoe UI"/>
          <w:bCs/>
          <w:iCs/>
          <w:sz w:val="24"/>
          <w:szCs w:val="26"/>
        </w:rPr>
        <w:t xml:space="preserve">dépenses </w:t>
      </w:r>
      <w:r w:rsidR="00624F9A">
        <w:rPr>
          <w:rFonts w:ascii="Segoe UI" w:hAnsi="Segoe UI" w:cs="Segoe UI"/>
          <w:bCs/>
          <w:iCs/>
          <w:sz w:val="24"/>
          <w:szCs w:val="26"/>
        </w:rPr>
        <w:t xml:space="preserve">du budget de l’Etat atteignent </w:t>
      </w:r>
      <w:r w:rsidRPr="00215B3D">
        <w:rPr>
          <w:rFonts w:ascii="Segoe UI" w:hAnsi="Segoe UI" w:cs="Segoe UI"/>
          <w:bCs/>
          <w:iCs/>
          <w:sz w:val="24"/>
          <w:szCs w:val="26"/>
        </w:rPr>
        <w:t xml:space="preserve">au </w:t>
      </w:r>
      <w:r w:rsidR="00624F9A">
        <w:rPr>
          <w:rFonts w:ascii="Segoe UI" w:hAnsi="Segoe UI" w:cs="Segoe UI"/>
          <w:bCs/>
          <w:iCs/>
          <w:sz w:val="24"/>
          <w:szCs w:val="26"/>
        </w:rPr>
        <w:t xml:space="preserve">30 juin </w:t>
      </w:r>
      <w:r w:rsidR="00D60C60" w:rsidRPr="00215B3D">
        <w:rPr>
          <w:rFonts w:ascii="Segoe UI" w:hAnsi="Segoe UI" w:cs="Segoe UI"/>
          <w:bCs/>
          <w:iCs/>
          <w:sz w:val="24"/>
          <w:szCs w:val="26"/>
        </w:rPr>
        <w:t>un montant de</w:t>
      </w:r>
      <w:r w:rsidR="00F64D87" w:rsidRPr="00215B3D">
        <w:rPr>
          <w:rFonts w:ascii="Segoe UI" w:hAnsi="Segoe UI" w:cs="Segoe UI"/>
          <w:bCs/>
          <w:iCs/>
          <w:sz w:val="24"/>
          <w:szCs w:val="26"/>
        </w:rPr>
        <w:t xml:space="preserve"> </w:t>
      </w:r>
      <w:r w:rsidR="00324277" w:rsidRPr="00215B3D">
        <w:rPr>
          <w:rFonts w:ascii="Segoe UI" w:hAnsi="Segoe UI" w:cs="Segoe UI"/>
          <w:b/>
          <w:bCs/>
          <w:iCs/>
          <w:sz w:val="24"/>
          <w:szCs w:val="26"/>
        </w:rPr>
        <w:t>63</w:t>
      </w:r>
      <w:r w:rsidR="00624F9A">
        <w:rPr>
          <w:rFonts w:ascii="Segoe UI" w:hAnsi="Segoe UI" w:cs="Segoe UI"/>
          <w:b/>
          <w:bCs/>
          <w:iCs/>
          <w:sz w:val="24"/>
          <w:szCs w:val="26"/>
        </w:rPr>
        <w:t>5 930,7</w:t>
      </w:r>
      <w:r w:rsidR="003D599D" w:rsidRPr="00215B3D">
        <w:rPr>
          <w:rFonts w:ascii="Segoe UI" w:hAnsi="Segoe UI" w:cs="Segoe UI"/>
          <w:b/>
          <w:bCs/>
          <w:iCs/>
          <w:sz w:val="24"/>
          <w:szCs w:val="26"/>
        </w:rPr>
        <w:t xml:space="preserve"> </w:t>
      </w:r>
      <w:r w:rsidR="00395981" w:rsidRPr="00215B3D">
        <w:rPr>
          <w:rFonts w:ascii="Segoe UI" w:hAnsi="Segoe UI" w:cs="Segoe UI"/>
          <w:b/>
          <w:bCs/>
          <w:iCs/>
          <w:sz w:val="24"/>
          <w:szCs w:val="26"/>
        </w:rPr>
        <w:t>millions de FCFA</w:t>
      </w:r>
      <w:r w:rsidR="00395981" w:rsidRPr="00215B3D">
        <w:rPr>
          <w:rFonts w:ascii="Segoe UI" w:hAnsi="Segoe UI" w:cs="Segoe UI"/>
          <w:bCs/>
          <w:iCs/>
          <w:sz w:val="24"/>
          <w:szCs w:val="26"/>
        </w:rPr>
        <w:t xml:space="preserve"> </w:t>
      </w:r>
      <w:r w:rsidR="004C1B9F" w:rsidRPr="00215B3D">
        <w:rPr>
          <w:rFonts w:ascii="Segoe UI" w:hAnsi="Segoe UI" w:cs="Segoe UI"/>
          <w:bCs/>
          <w:iCs/>
          <w:sz w:val="24"/>
          <w:szCs w:val="26"/>
        </w:rPr>
        <w:t>sur une prévision annuelle</w:t>
      </w:r>
      <w:r w:rsidR="003612CF" w:rsidRPr="00215B3D">
        <w:rPr>
          <w:rFonts w:ascii="Segoe UI" w:hAnsi="Segoe UI" w:cs="Segoe UI"/>
          <w:bCs/>
          <w:iCs/>
          <w:sz w:val="24"/>
          <w:szCs w:val="26"/>
        </w:rPr>
        <w:t xml:space="preserve"> </w:t>
      </w:r>
      <w:r w:rsidR="004C1B9F" w:rsidRPr="00215B3D">
        <w:rPr>
          <w:rFonts w:ascii="Segoe UI" w:hAnsi="Segoe UI" w:cs="Segoe UI"/>
          <w:bCs/>
          <w:iCs/>
          <w:sz w:val="24"/>
          <w:szCs w:val="26"/>
        </w:rPr>
        <w:t xml:space="preserve">de </w:t>
      </w:r>
      <w:r w:rsidR="000E7598" w:rsidRPr="00215B3D">
        <w:rPr>
          <w:rFonts w:ascii="Segoe UI" w:hAnsi="Segoe UI" w:cs="Segoe UI"/>
          <w:bCs/>
          <w:iCs/>
          <w:sz w:val="24"/>
          <w:szCs w:val="26"/>
        </w:rPr>
        <w:t>1 697 986</w:t>
      </w:r>
      <w:r w:rsidR="004C1B9F" w:rsidRPr="00215B3D">
        <w:rPr>
          <w:rFonts w:ascii="Segoe UI" w:hAnsi="Segoe UI" w:cs="Segoe UI"/>
          <w:bCs/>
          <w:iCs/>
          <w:sz w:val="24"/>
          <w:szCs w:val="26"/>
        </w:rPr>
        <w:t xml:space="preserve"> millions de FCFA</w:t>
      </w:r>
      <w:r w:rsidR="00D60C60" w:rsidRPr="00215B3D">
        <w:rPr>
          <w:rFonts w:ascii="Segoe UI" w:hAnsi="Segoe UI" w:cs="Segoe UI"/>
          <w:bCs/>
          <w:iCs/>
          <w:sz w:val="24"/>
          <w:szCs w:val="26"/>
        </w:rPr>
        <w:t>.</w:t>
      </w:r>
      <w:r w:rsidR="00324277" w:rsidRPr="00215B3D">
        <w:rPr>
          <w:rFonts w:ascii="Segoe UI" w:hAnsi="Segoe UI" w:cs="Segoe UI"/>
          <w:bCs/>
          <w:iCs/>
          <w:sz w:val="24"/>
          <w:szCs w:val="26"/>
        </w:rPr>
        <w:t xml:space="preserve"> A</w:t>
      </w:r>
      <w:r w:rsidR="008A561F" w:rsidRPr="00215B3D">
        <w:rPr>
          <w:rFonts w:ascii="Segoe UI" w:hAnsi="Segoe UI" w:cs="Segoe UI"/>
          <w:bCs/>
          <w:iCs/>
          <w:sz w:val="24"/>
          <w:szCs w:val="26"/>
        </w:rPr>
        <w:t xml:space="preserve"> la même période en 2016, </w:t>
      </w:r>
      <w:r w:rsidR="00324277" w:rsidRPr="00215B3D">
        <w:rPr>
          <w:rFonts w:ascii="Segoe UI" w:hAnsi="Segoe UI" w:cs="Segoe UI"/>
          <w:bCs/>
          <w:iCs/>
          <w:sz w:val="24"/>
          <w:szCs w:val="26"/>
        </w:rPr>
        <w:t xml:space="preserve">les engagements de dépenses ressortaient </w:t>
      </w:r>
      <w:r w:rsidR="00B93BA1" w:rsidRPr="00215B3D">
        <w:rPr>
          <w:rFonts w:ascii="Segoe UI" w:hAnsi="Segoe UI" w:cs="Segoe UI"/>
          <w:bCs/>
          <w:iCs/>
          <w:sz w:val="24"/>
          <w:szCs w:val="26"/>
        </w:rPr>
        <w:t>à</w:t>
      </w:r>
      <w:r w:rsidR="00F64D87" w:rsidRPr="00215B3D">
        <w:rPr>
          <w:rFonts w:ascii="Segoe UI" w:hAnsi="Segoe UI" w:cs="Segoe UI"/>
          <w:bCs/>
          <w:iCs/>
          <w:sz w:val="24"/>
          <w:szCs w:val="26"/>
        </w:rPr>
        <w:t xml:space="preserve"> </w:t>
      </w:r>
      <w:r w:rsidR="00FE3542">
        <w:rPr>
          <w:rFonts w:ascii="Segoe UI" w:hAnsi="Segoe UI" w:cs="Segoe UI"/>
          <w:bCs/>
          <w:iCs/>
          <w:sz w:val="24"/>
          <w:szCs w:val="26"/>
        </w:rPr>
        <w:t>605 576,7</w:t>
      </w:r>
      <w:r w:rsidR="001E3863" w:rsidRPr="00215B3D">
        <w:rPr>
          <w:rFonts w:ascii="Segoe UI" w:hAnsi="Segoe UI" w:cs="Segoe UI"/>
          <w:bCs/>
          <w:iCs/>
          <w:sz w:val="24"/>
          <w:szCs w:val="26"/>
        </w:rPr>
        <w:t xml:space="preserve"> millions de FCFA</w:t>
      </w:r>
      <w:r w:rsidR="003D1E43">
        <w:rPr>
          <w:rFonts w:ascii="Segoe UI" w:hAnsi="Segoe UI" w:cs="Segoe UI"/>
          <w:bCs/>
          <w:iCs/>
          <w:sz w:val="24"/>
          <w:szCs w:val="26"/>
        </w:rPr>
        <w:t xml:space="preserve"> </w:t>
      </w:r>
      <w:r w:rsidR="00085281" w:rsidRPr="00215B3D">
        <w:rPr>
          <w:rFonts w:ascii="Segoe UI" w:hAnsi="Segoe UI" w:cs="Segoe UI"/>
          <w:bCs/>
          <w:iCs/>
          <w:sz w:val="24"/>
          <w:szCs w:val="26"/>
        </w:rPr>
        <w:t>sur</w:t>
      </w:r>
      <w:r w:rsidR="00B93BA1" w:rsidRPr="00215B3D">
        <w:rPr>
          <w:rFonts w:ascii="Segoe UI" w:hAnsi="Segoe UI" w:cs="Segoe UI"/>
          <w:bCs/>
          <w:iCs/>
          <w:sz w:val="24"/>
          <w:szCs w:val="26"/>
        </w:rPr>
        <w:t xml:space="preserve"> une prévision</w:t>
      </w:r>
      <w:r w:rsidR="00085281" w:rsidRPr="00215B3D">
        <w:rPr>
          <w:rFonts w:ascii="Segoe UI" w:hAnsi="Segoe UI" w:cs="Segoe UI"/>
          <w:bCs/>
          <w:iCs/>
          <w:sz w:val="24"/>
          <w:szCs w:val="26"/>
        </w:rPr>
        <w:t xml:space="preserve"> </w:t>
      </w:r>
      <w:r w:rsidR="008B3A02" w:rsidRPr="00215B3D">
        <w:rPr>
          <w:rFonts w:ascii="Segoe UI" w:hAnsi="Segoe UI" w:cs="Segoe UI"/>
          <w:bCs/>
          <w:iCs/>
          <w:sz w:val="24"/>
          <w:szCs w:val="26"/>
        </w:rPr>
        <w:t xml:space="preserve">annuelle </w:t>
      </w:r>
      <w:r w:rsidR="007E5671" w:rsidRPr="00215B3D">
        <w:rPr>
          <w:rFonts w:ascii="Segoe UI" w:hAnsi="Segoe UI" w:cs="Segoe UI"/>
          <w:bCs/>
          <w:iCs/>
          <w:sz w:val="24"/>
          <w:szCs w:val="26"/>
        </w:rPr>
        <w:t xml:space="preserve">de </w:t>
      </w:r>
      <w:r w:rsidR="008A561F" w:rsidRPr="00215B3D">
        <w:rPr>
          <w:rFonts w:ascii="Segoe UI" w:hAnsi="Segoe UI" w:cs="Segoe UI"/>
          <w:bCs/>
          <w:iCs/>
          <w:sz w:val="24"/>
          <w:szCs w:val="26"/>
        </w:rPr>
        <w:t>1</w:t>
      </w:r>
      <w:r w:rsidR="003D1E43">
        <w:rPr>
          <w:rFonts w:ascii="Segoe UI" w:hAnsi="Segoe UI" w:cs="Segoe UI"/>
          <w:bCs/>
          <w:iCs/>
          <w:sz w:val="24"/>
          <w:szCs w:val="26"/>
        </w:rPr>
        <w:t xml:space="preserve"> 1</w:t>
      </w:r>
      <w:r w:rsidR="008B3A02" w:rsidRPr="00215B3D">
        <w:rPr>
          <w:rFonts w:ascii="Segoe UI" w:hAnsi="Segoe UI" w:cs="Segoe UI"/>
          <w:bCs/>
          <w:iCs/>
          <w:sz w:val="24"/>
          <w:szCs w:val="26"/>
        </w:rPr>
        <w:t xml:space="preserve">40 </w:t>
      </w:r>
      <w:r w:rsidR="008A561F" w:rsidRPr="00215B3D">
        <w:rPr>
          <w:rFonts w:ascii="Segoe UI" w:hAnsi="Segoe UI" w:cs="Segoe UI"/>
          <w:bCs/>
          <w:iCs/>
          <w:sz w:val="24"/>
          <w:szCs w:val="26"/>
        </w:rPr>
        <w:t>346</w:t>
      </w:r>
      <w:r w:rsidR="00085281" w:rsidRPr="00215B3D">
        <w:rPr>
          <w:rFonts w:ascii="Segoe UI" w:hAnsi="Segoe UI" w:cs="Segoe UI"/>
          <w:bCs/>
          <w:iCs/>
          <w:sz w:val="24"/>
          <w:szCs w:val="26"/>
        </w:rPr>
        <w:t xml:space="preserve"> millions de FCFA</w:t>
      </w:r>
      <w:r w:rsidR="00395981" w:rsidRPr="00215B3D">
        <w:rPr>
          <w:rFonts w:ascii="Segoe UI" w:hAnsi="Segoe UI" w:cs="Segoe UI"/>
          <w:bCs/>
          <w:iCs/>
          <w:sz w:val="24"/>
          <w:szCs w:val="26"/>
        </w:rPr>
        <w:t>.</w:t>
      </w:r>
      <w:r w:rsidR="00B271E6" w:rsidRPr="00215B3D">
        <w:rPr>
          <w:rFonts w:ascii="Segoe UI" w:hAnsi="Segoe UI" w:cs="Segoe UI"/>
          <w:bCs/>
          <w:iCs/>
          <w:sz w:val="24"/>
          <w:szCs w:val="26"/>
        </w:rPr>
        <w:t xml:space="preserve"> Les taux d’e</w:t>
      </w:r>
      <w:r w:rsidR="001E3863" w:rsidRPr="00215B3D">
        <w:rPr>
          <w:rFonts w:ascii="Segoe UI" w:hAnsi="Segoe UI" w:cs="Segoe UI"/>
          <w:bCs/>
          <w:iCs/>
          <w:sz w:val="24"/>
          <w:szCs w:val="26"/>
        </w:rPr>
        <w:t>ngagement</w:t>
      </w:r>
      <w:r w:rsidR="00BC5F1F" w:rsidRPr="00215B3D">
        <w:rPr>
          <w:rFonts w:ascii="Segoe UI" w:hAnsi="Segoe UI" w:cs="Segoe UI"/>
          <w:bCs/>
          <w:iCs/>
          <w:sz w:val="24"/>
          <w:szCs w:val="26"/>
        </w:rPr>
        <w:t>s</w:t>
      </w:r>
      <w:r w:rsidR="001E3863" w:rsidRPr="00215B3D">
        <w:rPr>
          <w:rFonts w:ascii="Segoe UI" w:hAnsi="Segoe UI" w:cs="Segoe UI"/>
          <w:bCs/>
          <w:iCs/>
          <w:sz w:val="24"/>
          <w:szCs w:val="26"/>
        </w:rPr>
        <w:t xml:space="preserve"> </w:t>
      </w:r>
      <w:r w:rsidR="00B271E6" w:rsidRPr="00215B3D">
        <w:rPr>
          <w:rFonts w:ascii="Segoe UI" w:hAnsi="Segoe UI" w:cs="Segoe UI"/>
          <w:bCs/>
          <w:iCs/>
          <w:sz w:val="24"/>
          <w:szCs w:val="26"/>
        </w:rPr>
        <w:t>correspondant</w:t>
      </w:r>
      <w:r w:rsidR="00CF182C" w:rsidRPr="00215B3D">
        <w:rPr>
          <w:rFonts w:ascii="Segoe UI" w:hAnsi="Segoe UI" w:cs="Segoe UI"/>
          <w:bCs/>
          <w:iCs/>
          <w:sz w:val="24"/>
          <w:szCs w:val="26"/>
        </w:rPr>
        <w:t>s</w:t>
      </w:r>
      <w:r w:rsidR="00B271E6" w:rsidRPr="00215B3D">
        <w:rPr>
          <w:rFonts w:ascii="Segoe UI" w:hAnsi="Segoe UI" w:cs="Segoe UI"/>
          <w:bCs/>
          <w:iCs/>
          <w:sz w:val="24"/>
          <w:szCs w:val="26"/>
        </w:rPr>
        <w:t xml:space="preserve"> sont </w:t>
      </w:r>
      <w:r w:rsidR="006D5AE1" w:rsidRPr="00215B3D">
        <w:rPr>
          <w:rFonts w:ascii="Segoe UI" w:hAnsi="Segoe UI" w:cs="Segoe UI"/>
          <w:bCs/>
          <w:iCs/>
          <w:sz w:val="24"/>
          <w:szCs w:val="26"/>
        </w:rPr>
        <w:t xml:space="preserve">respectivement </w:t>
      </w:r>
      <w:r w:rsidR="00B271E6" w:rsidRPr="00215B3D">
        <w:rPr>
          <w:rFonts w:ascii="Segoe UI" w:hAnsi="Segoe UI" w:cs="Segoe UI"/>
          <w:bCs/>
          <w:iCs/>
          <w:sz w:val="24"/>
          <w:szCs w:val="26"/>
        </w:rPr>
        <w:t xml:space="preserve">de </w:t>
      </w:r>
      <w:r w:rsidR="00B558AC" w:rsidRPr="00215B3D">
        <w:rPr>
          <w:rFonts w:ascii="Segoe UI" w:hAnsi="Segoe UI" w:cs="Segoe UI"/>
          <w:b/>
          <w:bCs/>
          <w:iCs/>
          <w:sz w:val="24"/>
          <w:szCs w:val="26"/>
        </w:rPr>
        <w:t>37</w:t>
      </w:r>
      <w:r w:rsidR="00AD74BF" w:rsidRPr="00215B3D">
        <w:rPr>
          <w:rFonts w:ascii="Segoe UI" w:hAnsi="Segoe UI" w:cs="Segoe UI"/>
          <w:b/>
          <w:bCs/>
          <w:iCs/>
          <w:sz w:val="24"/>
          <w:szCs w:val="26"/>
        </w:rPr>
        <w:t>,</w:t>
      </w:r>
      <w:r w:rsidR="003D1E43">
        <w:rPr>
          <w:rFonts w:ascii="Segoe UI" w:hAnsi="Segoe UI" w:cs="Segoe UI"/>
          <w:b/>
          <w:bCs/>
          <w:iCs/>
          <w:sz w:val="24"/>
          <w:szCs w:val="26"/>
        </w:rPr>
        <w:t>5</w:t>
      </w:r>
      <w:r w:rsidR="00B271E6" w:rsidRPr="00215B3D">
        <w:rPr>
          <w:rFonts w:ascii="Segoe UI" w:hAnsi="Segoe UI" w:cs="Segoe UI"/>
          <w:b/>
          <w:bCs/>
          <w:iCs/>
          <w:sz w:val="24"/>
          <w:szCs w:val="26"/>
        </w:rPr>
        <w:t>%</w:t>
      </w:r>
      <w:r w:rsidR="00B271E6" w:rsidRPr="00215B3D">
        <w:rPr>
          <w:rFonts w:ascii="Segoe UI" w:hAnsi="Segoe UI" w:cs="Segoe UI"/>
          <w:bCs/>
          <w:iCs/>
          <w:sz w:val="24"/>
          <w:szCs w:val="26"/>
        </w:rPr>
        <w:t xml:space="preserve"> et </w:t>
      </w:r>
      <w:r w:rsidR="001E3863" w:rsidRPr="00215B3D">
        <w:rPr>
          <w:rFonts w:ascii="Segoe UI" w:hAnsi="Segoe UI" w:cs="Segoe UI"/>
          <w:bCs/>
          <w:iCs/>
          <w:sz w:val="24"/>
          <w:szCs w:val="26"/>
        </w:rPr>
        <w:t xml:space="preserve">de </w:t>
      </w:r>
      <w:r w:rsidR="00FE3542">
        <w:rPr>
          <w:rFonts w:ascii="Segoe UI" w:hAnsi="Segoe UI" w:cs="Segoe UI"/>
          <w:bCs/>
          <w:iCs/>
          <w:sz w:val="24"/>
          <w:szCs w:val="26"/>
        </w:rPr>
        <w:t>53,1</w:t>
      </w:r>
      <w:r w:rsidR="001E3863" w:rsidRPr="00215B3D">
        <w:rPr>
          <w:rFonts w:ascii="Segoe UI" w:hAnsi="Segoe UI" w:cs="Segoe UI"/>
          <w:bCs/>
          <w:iCs/>
          <w:sz w:val="24"/>
          <w:szCs w:val="26"/>
        </w:rPr>
        <w:t>%</w:t>
      </w:r>
      <w:r w:rsidR="00B271E6" w:rsidRPr="00215B3D">
        <w:rPr>
          <w:rFonts w:ascii="Segoe UI" w:hAnsi="Segoe UI" w:cs="Segoe UI"/>
          <w:bCs/>
          <w:iCs/>
          <w:sz w:val="24"/>
          <w:szCs w:val="26"/>
        </w:rPr>
        <w:t xml:space="preserve"> à fin </w:t>
      </w:r>
      <w:r w:rsidR="00B558AC" w:rsidRPr="00215B3D">
        <w:rPr>
          <w:rFonts w:ascii="Segoe UI" w:hAnsi="Segoe UI" w:cs="Segoe UI"/>
          <w:bCs/>
          <w:iCs/>
          <w:sz w:val="24"/>
          <w:szCs w:val="26"/>
        </w:rPr>
        <w:t>juin</w:t>
      </w:r>
      <w:r w:rsidR="00F64D87" w:rsidRPr="00215B3D">
        <w:rPr>
          <w:rFonts w:ascii="Segoe UI" w:hAnsi="Segoe UI" w:cs="Segoe UI"/>
          <w:bCs/>
          <w:iCs/>
          <w:sz w:val="24"/>
          <w:szCs w:val="26"/>
        </w:rPr>
        <w:t xml:space="preserve"> </w:t>
      </w:r>
      <w:r w:rsidR="00B271E6" w:rsidRPr="00215B3D">
        <w:rPr>
          <w:rFonts w:ascii="Segoe UI" w:hAnsi="Segoe UI" w:cs="Segoe UI"/>
          <w:bCs/>
          <w:iCs/>
          <w:sz w:val="24"/>
          <w:szCs w:val="26"/>
        </w:rPr>
        <w:t>201</w:t>
      </w:r>
      <w:r w:rsidR="00B558AC" w:rsidRPr="00215B3D">
        <w:rPr>
          <w:rFonts w:ascii="Segoe UI" w:hAnsi="Segoe UI" w:cs="Segoe UI"/>
          <w:bCs/>
          <w:iCs/>
          <w:sz w:val="24"/>
          <w:szCs w:val="26"/>
        </w:rPr>
        <w:t>7</w:t>
      </w:r>
      <w:r w:rsidR="00B271E6" w:rsidRPr="00215B3D">
        <w:rPr>
          <w:rFonts w:ascii="Segoe UI" w:hAnsi="Segoe UI" w:cs="Segoe UI"/>
          <w:bCs/>
          <w:iCs/>
          <w:sz w:val="24"/>
          <w:szCs w:val="26"/>
        </w:rPr>
        <w:t xml:space="preserve"> et 201</w:t>
      </w:r>
      <w:r w:rsidR="00B558AC" w:rsidRPr="00215B3D">
        <w:rPr>
          <w:rFonts w:ascii="Segoe UI" w:hAnsi="Segoe UI" w:cs="Segoe UI"/>
          <w:bCs/>
          <w:iCs/>
          <w:sz w:val="24"/>
          <w:szCs w:val="26"/>
        </w:rPr>
        <w:t>6</w:t>
      </w:r>
      <w:r w:rsidR="00C153DD" w:rsidRPr="00215B3D">
        <w:rPr>
          <w:rFonts w:ascii="Segoe UI" w:hAnsi="Segoe UI" w:cs="Segoe UI"/>
          <w:bCs/>
          <w:iCs/>
          <w:sz w:val="24"/>
          <w:szCs w:val="26"/>
        </w:rPr>
        <w:t>. L</w:t>
      </w:r>
      <w:r w:rsidR="00C26F9E" w:rsidRPr="00215B3D">
        <w:rPr>
          <w:rFonts w:ascii="Segoe UI" w:hAnsi="Segoe UI" w:cs="Segoe UI"/>
          <w:bCs/>
          <w:iCs/>
          <w:sz w:val="24"/>
          <w:szCs w:val="26"/>
        </w:rPr>
        <w:t>e rapprochement d</w:t>
      </w:r>
      <w:r w:rsidR="009049D4" w:rsidRPr="00215B3D">
        <w:rPr>
          <w:rFonts w:ascii="Segoe UI" w:hAnsi="Segoe UI" w:cs="Segoe UI"/>
          <w:bCs/>
          <w:iCs/>
          <w:sz w:val="24"/>
          <w:szCs w:val="26"/>
        </w:rPr>
        <w:t>es résultats de</w:t>
      </w:r>
      <w:r w:rsidR="00C26F9E" w:rsidRPr="00215B3D">
        <w:rPr>
          <w:rFonts w:ascii="Segoe UI" w:hAnsi="Segoe UI" w:cs="Segoe UI"/>
          <w:bCs/>
          <w:iCs/>
          <w:sz w:val="24"/>
          <w:szCs w:val="26"/>
        </w:rPr>
        <w:t xml:space="preserve"> l</w:t>
      </w:r>
      <w:r w:rsidR="00C153DD" w:rsidRPr="00215B3D">
        <w:rPr>
          <w:rFonts w:ascii="Segoe UI" w:hAnsi="Segoe UI" w:cs="Segoe UI"/>
          <w:bCs/>
          <w:iCs/>
          <w:sz w:val="24"/>
          <w:szCs w:val="26"/>
        </w:rPr>
        <w:t>’exécution des dépenses budgétaires</w:t>
      </w:r>
      <w:r w:rsidR="00C26F9E" w:rsidRPr="00215B3D">
        <w:rPr>
          <w:rFonts w:ascii="Segoe UI" w:hAnsi="Segoe UI" w:cs="Segoe UI"/>
          <w:bCs/>
          <w:iCs/>
          <w:sz w:val="24"/>
          <w:szCs w:val="26"/>
        </w:rPr>
        <w:t xml:space="preserve"> de</w:t>
      </w:r>
      <w:r w:rsidR="00C824C8" w:rsidRPr="00215B3D">
        <w:rPr>
          <w:rFonts w:ascii="Segoe UI" w:hAnsi="Segoe UI" w:cs="Segoe UI"/>
          <w:bCs/>
          <w:iCs/>
          <w:sz w:val="24"/>
          <w:szCs w:val="26"/>
        </w:rPr>
        <w:t xml:space="preserve"> ce</w:t>
      </w:r>
      <w:r w:rsidR="00C26F9E" w:rsidRPr="00215B3D">
        <w:rPr>
          <w:rFonts w:ascii="Segoe UI" w:hAnsi="Segoe UI" w:cs="Segoe UI"/>
          <w:bCs/>
          <w:iCs/>
          <w:sz w:val="24"/>
          <w:szCs w:val="26"/>
        </w:rPr>
        <w:t xml:space="preserve">s deux </w:t>
      </w:r>
      <w:r w:rsidR="00086FAE" w:rsidRPr="00215B3D">
        <w:rPr>
          <w:rFonts w:ascii="Segoe UI" w:hAnsi="Segoe UI" w:cs="Segoe UI"/>
          <w:bCs/>
          <w:iCs/>
          <w:sz w:val="24"/>
          <w:szCs w:val="26"/>
        </w:rPr>
        <w:t xml:space="preserve">périodes </w:t>
      </w:r>
      <w:r w:rsidR="009049D4" w:rsidRPr="00215B3D">
        <w:rPr>
          <w:rFonts w:ascii="Segoe UI" w:hAnsi="Segoe UI" w:cs="Segoe UI"/>
          <w:bCs/>
          <w:iCs/>
          <w:sz w:val="24"/>
          <w:szCs w:val="26"/>
        </w:rPr>
        <w:t>relève</w:t>
      </w:r>
      <w:r w:rsidR="00F64D87" w:rsidRPr="00215B3D">
        <w:rPr>
          <w:rFonts w:ascii="Segoe UI" w:hAnsi="Segoe UI" w:cs="Segoe UI"/>
          <w:bCs/>
          <w:iCs/>
          <w:sz w:val="24"/>
          <w:szCs w:val="26"/>
        </w:rPr>
        <w:t xml:space="preserve"> </w:t>
      </w:r>
      <w:r w:rsidR="00300DA3" w:rsidRPr="00215B3D">
        <w:rPr>
          <w:rFonts w:ascii="Segoe UI" w:hAnsi="Segoe UI" w:cs="Segoe UI"/>
          <w:bCs/>
          <w:iCs/>
          <w:sz w:val="24"/>
          <w:szCs w:val="26"/>
        </w:rPr>
        <w:t xml:space="preserve">un écart </w:t>
      </w:r>
      <w:r w:rsidR="009049D4" w:rsidRPr="00215B3D">
        <w:rPr>
          <w:rFonts w:ascii="Segoe UI" w:hAnsi="Segoe UI" w:cs="Segoe UI"/>
          <w:bCs/>
          <w:iCs/>
          <w:sz w:val="24"/>
          <w:szCs w:val="26"/>
        </w:rPr>
        <w:t>posi</w:t>
      </w:r>
      <w:r w:rsidR="00B84A1B" w:rsidRPr="00215B3D">
        <w:rPr>
          <w:rFonts w:ascii="Segoe UI" w:hAnsi="Segoe UI" w:cs="Segoe UI"/>
          <w:bCs/>
          <w:iCs/>
          <w:sz w:val="24"/>
          <w:szCs w:val="26"/>
        </w:rPr>
        <w:t xml:space="preserve">tif de </w:t>
      </w:r>
      <w:r w:rsidR="00FE3542">
        <w:rPr>
          <w:rFonts w:ascii="Segoe UI" w:hAnsi="Segoe UI" w:cs="Segoe UI"/>
          <w:bCs/>
          <w:iCs/>
          <w:sz w:val="24"/>
          <w:szCs w:val="26"/>
        </w:rPr>
        <w:t>30 354</w:t>
      </w:r>
      <w:r w:rsidR="004B7BCB" w:rsidRPr="00215B3D">
        <w:rPr>
          <w:rFonts w:ascii="Segoe UI" w:hAnsi="Segoe UI" w:cs="Segoe UI"/>
          <w:bCs/>
          <w:iCs/>
          <w:sz w:val="24"/>
          <w:szCs w:val="26"/>
        </w:rPr>
        <w:t xml:space="preserve"> </w:t>
      </w:r>
      <w:r w:rsidR="00300DA3" w:rsidRPr="00215B3D">
        <w:rPr>
          <w:rFonts w:ascii="Segoe UI" w:hAnsi="Segoe UI" w:cs="Segoe UI"/>
          <w:bCs/>
          <w:iCs/>
          <w:sz w:val="24"/>
          <w:szCs w:val="26"/>
        </w:rPr>
        <w:t>millions de FCFA</w:t>
      </w:r>
      <w:r w:rsidR="001E3863" w:rsidRPr="00215B3D">
        <w:rPr>
          <w:rFonts w:ascii="Segoe UI" w:hAnsi="Segoe UI" w:cs="Segoe UI"/>
          <w:bCs/>
          <w:iCs/>
          <w:sz w:val="24"/>
          <w:szCs w:val="26"/>
        </w:rPr>
        <w:t>.</w:t>
      </w:r>
      <w:r w:rsidR="00086FAE" w:rsidRPr="00215B3D">
        <w:rPr>
          <w:rFonts w:ascii="Segoe UI" w:hAnsi="Segoe UI" w:cs="Segoe UI"/>
          <w:b/>
          <w:bCs/>
          <w:iCs/>
          <w:sz w:val="24"/>
          <w:szCs w:val="26"/>
        </w:rPr>
        <w:t xml:space="preserve"> </w:t>
      </w:r>
    </w:p>
    <w:p w:rsidR="00BA770A" w:rsidRPr="00215B3D" w:rsidRDefault="00972E3C" w:rsidP="00086FAE">
      <w:pPr>
        <w:spacing w:after="0" w:line="360" w:lineRule="auto"/>
        <w:jc w:val="both"/>
        <w:rPr>
          <w:rFonts w:ascii="Segoe UI" w:hAnsi="Segoe UI" w:cs="Segoe UI"/>
          <w:b/>
          <w:bCs/>
          <w:i/>
          <w:iCs/>
          <w:sz w:val="24"/>
          <w:szCs w:val="26"/>
        </w:rPr>
      </w:pPr>
      <w:r w:rsidRPr="00215B3D">
        <w:rPr>
          <w:rFonts w:ascii="Segoe UI" w:hAnsi="Segoe UI" w:cs="Segoe UI"/>
          <w:b/>
          <w:bCs/>
          <w:i/>
          <w:iCs/>
          <w:sz w:val="24"/>
          <w:szCs w:val="26"/>
        </w:rPr>
        <w:t>L’exécution du</w:t>
      </w:r>
      <w:r w:rsidR="00BA770A" w:rsidRPr="00215B3D">
        <w:rPr>
          <w:rFonts w:ascii="Segoe UI" w:hAnsi="Segoe UI" w:cs="Segoe UI"/>
          <w:b/>
          <w:bCs/>
          <w:i/>
          <w:iCs/>
          <w:sz w:val="24"/>
          <w:szCs w:val="26"/>
        </w:rPr>
        <w:t xml:space="preserve"> budget de l’Etat pour la gestion 2017 </w:t>
      </w:r>
      <w:r w:rsidRPr="00215B3D">
        <w:rPr>
          <w:rFonts w:ascii="Segoe UI" w:hAnsi="Segoe UI" w:cs="Segoe UI"/>
          <w:b/>
          <w:bCs/>
          <w:i/>
          <w:iCs/>
          <w:sz w:val="24"/>
          <w:szCs w:val="26"/>
        </w:rPr>
        <w:t xml:space="preserve">à fin juin 2017 </w:t>
      </w:r>
      <w:r w:rsidR="003D1E43">
        <w:rPr>
          <w:rFonts w:ascii="Segoe UI" w:hAnsi="Segoe UI" w:cs="Segoe UI"/>
          <w:b/>
          <w:bCs/>
          <w:i/>
          <w:iCs/>
          <w:sz w:val="24"/>
          <w:szCs w:val="26"/>
        </w:rPr>
        <w:t>au-delà des aléas de gestion confirme globalement l’effort de maîtrise de la pro</w:t>
      </w:r>
      <w:r w:rsidR="00BA770A" w:rsidRPr="00215B3D">
        <w:rPr>
          <w:rFonts w:ascii="Segoe UI" w:hAnsi="Segoe UI" w:cs="Segoe UI"/>
          <w:b/>
          <w:bCs/>
          <w:i/>
          <w:iCs/>
          <w:sz w:val="24"/>
          <w:szCs w:val="26"/>
        </w:rPr>
        <w:t>gression</w:t>
      </w:r>
      <w:r w:rsidR="003D1E43">
        <w:rPr>
          <w:rFonts w:ascii="Segoe UI" w:hAnsi="Segoe UI" w:cs="Segoe UI"/>
          <w:b/>
          <w:bCs/>
          <w:i/>
          <w:iCs/>
          <w:sz w:val="24"/>
          <w:szCs w:val="26"/>
        </w:rPr>
        <w:t xml:space="preserve"> de la dépense impulsée depuis avril 2016.</w:t>
      </w:r>
      <w:r w:rsidR="00BA770A" w:rsidRPr="00215B3D">
        <w:rPr>
          <w:rFonts w:ascii="Segoe UI" w:hAnsi="Segoe UI" w:cs="Segoe UI"/>
          <w:b/>
          <w:bCs/>
          <w:i/>
          <w:iCs/>
          <w:sz w:val="24"/>
          <w:szCs w:val="26"/>
        </w:rPr>
        <w:t xml:space="preserve"> </w:t>
      </w:r>
    </w:p>
    <w:p w:rsidR="00B11D36" w:rsidRDefault="009D2524" w:rsidP="001E3863">
      <w:pPr>
        <w:spacing w:line="360" w:lineRule="auto"/>
        <w:jc w:val="both"/>
        <w:rPr>
          <w:rFonts w:ascii="Segoe UI" w:hAnsi="Segoe UI" w:cs="Segoe UI"/>
          <w:bCs/>
          <w:iCs/>
          <w:sz w:val="24"/>
          <w:szCs w:val="26"/>
        </w:rPr>
      </w:pPr>
      <w:r w:rsidRPr="00215B3D">
        <w:rPr>
          <w:rFonts w:ascii="Segoe UI" w:hAnsi="Segoe UI" w:cs="Segoe UI"/>
          <w:bCs/>
          <w:iCs/>
          <w:sz w:val="24"/>
          <w:szCs w:val="26"/>
        </w:rPr>
        <w:t>L</w:t>
      </w:r>
      <w:r w:rsidR="00BC469C" w:rsidRPr="00215B3D">
        <w:rPr>
          <w:rFonts w:ascii="Segoe UI" w:hAnsi="Segoe UI" w:cs="Segoe UI"/>
          <w:bCs/>
          <w:iCs/>
          <w:sz w:val="24"/>
          <w:szCs w:val="26"/>
        </w:rPr>
        <w:t xml:space="preserve">e </w:t>
      </w:r>
      <w:r w:rsidR="00D25FE1" w:rsidRPr="00215B3D">
        <w:rPr>
          <w:rFonts w:ascii="Segoe UI" w:hAnsi="Segoe UI" w:cs="Segoe UI"/>
          <w:bCs/>
          <w:iCs/>
          <w:sz w:val="24"/>
          <w:szCs w:val="26"/>
        </w:rPr>
        <w:t xml:space="preserve">niveau d’engagement par nature de dépenses et par </w:t>
      </w:r>
      <w:r w:rsidR="003B7875" w:rsidRPr="00215B3D">
        <w:rPr>
          <w:rFonts w:ascii="Segoe UI" w:hAnsi="Segoe UI" w:cs="Segoe UI"/>
          <w:bCs/>
          <w:iCs/>
          <w:sz w:val="24"/>
          <w:szCs w:val="26"/>
        </w:rPr>
        <w:t xml:space="preserve">type de budget, </w:t>
      </w:r>
      <w:r w:rsidR="00D25FE1" w:rsidRPr="00215B3D">
        <w:rPr>
          <w:rFonts w:ascii="Segoe UI" w:hAnsi="Segoe UI" w:cs="Segoe UI"/>
          <w:bCs/>
          <w:iCs/>
          <w:sz w:val="24"/>
          <w:szCs w:val="26"/>
        </w:rPr>
        <w:t>se présente</w:t>
      </w:r>
      <w:r w:rsidR="003B7875" w:rsidRPr="00215B3D">
        <w:rPr>
          <w:rFonts w:ascii="Segoe UI" w:hAnsi="Segoe UI" w:cs="Segoe UI"/>
          <w:bCs/>
          <w:iCs/>
          <w:sz w:val="24"/>
          <w:szCs w:val="26"/>
        </w:rPr>
        <w:t xml:space="preserve"> comme </w:t>
      </w:r>
      <w:r w:rsidR="00AD45F1" w:rsidRPr="00215B3D">
        <w:rPr>
          <w:rFonts w:ascii="Segoe UI" w:hAnsi="Segoe UI" w:cs="Segoe UI"/>
          <w:bCs/>
          <w:iCs/>
          <w:sz w:val="24"/>
          <w:szCs w:val="26"/>
        </w:rPr>
        <w:t>ci-après</w:t>
      </w:r>
      <w:r w:rsidR="00C70883" w:rsidRPr="00215B3D">
        <w:rPr>
          <w:rFonts w:ascii="Segoe UI" w:hAnsi="Segoe UI" w:cs="Segoe UI"/>
          <w:bCs/>
          <w:iCs/>
          <w:sz w:val="24"/>
          <w:szCs w:val="26"/>
        </w:rPr>
        <w:t> :</w:t>
      </w:r>
    </w:p>
    <w:p w:rsidR="007E3BE0" w:rsidRPr="00215B3D" w:rsidRDefault="007E3BE0" w:rsidP="001E3863">
      <w:pPr>
        <w:spacing w:line="360" w:lineRule="auto"/>
        <w:jc w:val="both"/>
        <w:rPr>
          <w:rFonts w:ascii="Segoe UI" w:hAnsi="Segoe UI" w:cs="Segoe UI"/>
          <w:bCs/>
          <w:iCs/>
          <w:sz w:val="24"/>
          <w:szCs w:val="26"/>
        </w:rPr>
      </w:pPr>
    </w:p>
    <w:p w:rsidR="00BC5F82" w:rsidRPr="00215B3D" w:rsidRDefault="00D57D47" w:rsidP="004A1038">
      <w:pPr>
        <w:pStyle w:val="Titre3"/>
        <w:rPr>
          <w:rFonts w:ascii="Segoe UI" w:hAnsi="Segoe UI" w:cs="Segoe UI"/>
          <w:sz w:val="26"/>
          <w:szCs w:val="26"/>
        </w:rPr>
      </w:pPr>
      <w:bookmarkStart w:id="24" w:name="_Toc496025007"/>
      <w:r w:rsidRPr="00215B3D">
        <w:rPr>
          <w:rFonts w:ascii="Segoe UI" w:hAnsi="Segoe UI" w:cs="Segoe UI"/>
          <w:sz w:val="26"/>
          <w:szCs w:val="26"/>
        </w:rPr>
        <w:lastRenderedPageBreak/>
        <w:t>B-1</w:t>
      </w:r>
      <w:r w:rsidR="00BC5F82" w:rsidRPr="00215B3D">
        <w:rPr>
          <w:rFonts w:ascii="Segoe UI" w:hAnsi="Segoe UI" w:cs="Segoe UI"/>
          <w:sz w:val="26"/>
          <w:szCs w:val="26"/>
        </w:rPr>
        <w:t xml:space="preserve"> Budget Général</w:t>
      </w:r>
      <w:bookmarkEnd w:id="24"/>
    </w:p>
    <w:p w:rsidR="004A1038" w:rsidRPr="00215B3D" w:rsidRDefault="004A1038" w:rsidP="004A1038">
      <w:pPr>
        <w:rPr>
          <w:rFonts w:ascii="Segoe UI" w:hAnsi="Segoe UI" w:cs="Segoe UI"/>
          <w:sz w:val="2"/>
        </w:rPr>
      </w:pPr>
    </w:p>
    <w:p w:rsidR="003729F6" w:rsidRPr="00215B3D" w:rsidRDefault="00BD1603" w:rsidP="004A1038">
      <w:pPr>
        <w:ind w:left="360"/>
        <w:rPr>
          <w:rFonts w:ascii="Segoe UI" w:hAnsi="Segoe UI" w:cs="Segoe UI"/>
          <w:b/>
          <w:sz w:val="26"/>
          <w:szCs w:val="26"/>
        </w:rPr>
      </w:pPr>
      <w:r w:rsidRPr="00215B3D">
        <w:rPr>
          <w:rFonts w:ascii="Segoe UI" w:hAnsi="Segoe UI" w:cs="Segoe UI"/>
          <w:b/>
          <w:sz w:val="26"/>
          <w:szCs w:val="26"/>
        </w:rPr>
        <w:t xml:space="preserve">B-1-1 </w:t>
      </w:r>
      <w:r w:rsidR="00D57D47" w:rsidRPr="00215B3D">
        <w:rPr>
          <w:rFonts w:ascii="Segoe UI" w:hAnsi="Segoe UI" w:cs="Segoe UI"/>
          <w:b/>
          <w:sz w:val="26"/>
          <w:szCs w:val="26"/>
        </w:rPr>
        <w:t>Dépenses ordinaires</w:t>
      </w:r>
    </w:p>
    <w:p w:rsidR="00DD33AB" w:rsidRPr="00215B3D" w:rsidRDefault="00FA0F12" w:rsidP="001E3863">
      <w:pPr>
        <w:spacing w:line="360" w:lineRule="auto"/>
        <w:jc w:val="both"/>
        <w:rPr>
          <w:rFonts w:ascii="Segoe UI" w:hAnsi="Segoe UI" w:cs="Segoe UI"/>
          <w:bCs/>
          <w:iCs/>
          <w:sz w:val="24"/>
          <w:szCs w:val="26"/>
        </w:rPr>
      </w:pPr>
      <w:r w:rsidRPr="00215B3D">
        <w:rPr>
          <w:rFonts w:ascii="Segoe UI" w:hAnsi="Segoe UI" w:cs="Segoe UI"/>
          <w:bCs/>
          <w:iCs/>
          <w:sz w:val="24"/>
          <w:szCs w:val="26"/>
        </w:rPr>
        <w:t>L</w:t>
      </w:r>
      <w:r w:rsidR="00DD33AB" w:rsidRPr="00215B3D">
        <w:rPr>
          <w:rFonts w:ascii="Segoe UI" w:hAnsi="Segoe UI" w:cs="Segoe UI"/>
          <w:bCs/>
          <w:iCs/>
          <w:sz w:val="24"/>
          <w:szCs w:val="26"/>
        </w:rPr>
        <w:t>es</w:t>
      </w:r>
      <w:r w:rsidRPr="00215B3D">
        <w:rPr>
          <w:rFonts w:ascii="Segoe UI" w:hAnsi="Segoe UI" w:cs="Segoe UI"/>
          <w:bCs/>
          <w:iCs/>
          <w:sz w:val="24"/>
          <w:szCs w:val="26"/>
        </w:rPr>
        <w:t xml:space="preserve"> dépenses ordinaires sont composées</w:t>
      </w:r>
      <w:r w:rsidR="00F64D87" w:rsidRPr="00215B3D">
        <w:rPr>
          <w:rFonts w:ascii="Segoe UI" w:hAnsi="Segoe UI" w:cs="Segoe UI"/>
          <w:bCs/>
          <w:iCs/>
          <w:sz w:val="24"/>
          <w:szCs w:val="26"/>
        </w:rPr>
        <w:t xml:space="preserve"> </w:t>
      </w:r>
      <w:r w:rsidRPr="00215B3D">
        <w:rPr>
          <w:rFonts w:ascii="Segoe UI" w:hAnsi="Segoe UI" w:cs="Segoe UI"/>
          <w:bCs/>
          <w:iCs/>
          <w:sz w:val="24"/>
          <w:szCs w:val="26"/>
        </w:rPr>
        <w:t>d</w:t>
      </w:r>
      <w:r w:rsidR="00D57D47" w:rsidRPr="00215B3D">
        <w:rPr>
          <w:rFonts w:ascii="Segoe UI" w:hAnsi="Segoe UI" w:cs="Segoe UI"/>
          <w:bCs/>
          <w:iCs/>
          <w:sz w:val="24"/>
          <w:szCs w:val="26"/>
        </w:rPr>
        <w:t>es ch</w:t>
      </w:r>
      <w:r w:rsidRPr="00215B3D">
        <w:rPr>
          <w:rFonts w:ascii="Segoe UI" w:hAnsi="Segoe UI" w:cs="Segoe UI"/>
          <w:bCs/>
          <w:iCs/>
          <w:sz w:val="24"/>
          <w:szCs w:val="26"/>
        </w:rPr>
        <w:t>arges financières de la dette, des dépenses de personnel, d</w:t>
      </w:r>
      <w:r w:rsidR="00D57D47" w:rsidRPr="00215B3D">
        <w:rPr>
          <w:rFonts w:ascii="Segoe UI" w:hAnsi="Segoe UI" w:cs="Segoe UI"/>
          <w:bCs/>
          <w:iCs/>
          <w:sz w:val="24"/>
          <w:szCs w:val="26"/>
        </w:rPr>
        <w:t>es dépenses d’acquisition</w:t>
      </w:r>
      <w:r w:rsidR="003D1E43">
        <w:rPr>
          <w:rFonts w:ascii="Segoe UI" w:hAnsi="Segoe UI" w:cs="Segoe UI"/>
          <w:bCs/>
          <w:iCs/>
          <w:sz w:val="24"/>
          <w:szCs w:val="26"/>
        </w:rPr>
        <w:t>s</w:t>
      </w:r>
      <w:r w:rsidR="00D57D47" w:rsidRPr="00215B3D">
        <w:rPr>
          <w:rFonts w:ascii="Segoe UI" w:hAnsi="Segoe UI" w:cs="Segoe UI"/>
          <w:bCs/>
          <w:iCs/>
          <w:sz w:val="24"/>
          <w:szCs w:val="26"/>
        </w:rPr>
        <w:t xml:space="preserve"> de biens et services </w:t>
      </w:r>
      <w:r w:rsidR="001270A8" w:rsidRPr="00215B3D">
        <w:rPr>
          <w:rFonts w:ascii="Segoe UI" w:hAnsi="Segoe UI" w:cs="Segoe UI"/>
          <w:bCs/>
          <w:iCs/>
          <w:sz w:val="24"/>
          <w:szCs w:val="26"/>
        </w:rPr>
        <w:t>et</w:t>
      </w:r>
      <w:r w:rsidRPr="00215B3D">
        <w:rPr>
          <w:rFonts w:ascii="Segoe UI" w:hAnsi="Segoe UI" w:cs="Segoe UI"/>
          <w:bCs/>
          <w:iCs/>
          <w:sz w:val="24"/>
          <w:szCs w:val="26"/>
        </w:rPr>
        <w:t xml:space="preserve"> d</w:t>
      </w:r>
      <w:r w:rsidR="00D57D47" w:rsidRPr="00215B3D">
        <w:rPr>
          <w:rFonts w:ascii="Segoe UI" w:hAnsi="Segoe UI" w:cs="Segoe UI"/>
          <w:bCs/>
          <w:iCs/>
          <w:sz w:val="24"/>
          <w:szCs w:val="26"/>
        </w:rPr>
        <w:t xml:space="preserve">es dépenses de transfert. </w:t>
      </w:r>
    </w:p>
    <w:p w:rsidR="005A0067" w:rsidRDefault="00573CEB" w:rsidP="001E3863">
      <w:pPr>
        <w:spacing w:line="360" w:lineRule="auto"/>
        <w:jc w:val="both"/>
        <w:rPr>
          <w:rFonts w:ascii="Segoe UI" w:hAnsi="Segoe UI" w:cs="Segoe UI"/>
          <w:b/>
          <w:bCs/>
          <w:i/>
          <w:iCs/>
          <w:sz w:val="24"/>
          <w:szCs w:val="26"/>
        </w:rPr>
      </w:pPr>
      <w:r w:rsidRPr="00215B3D">
        <w:rPr>
          <w:rFonts w:ascii="Segoe UI" w:hAnsi="Segoe UI" w:cs="Segoe UI"/>
          <w:bCs/>
          <w:iCs/>
          <w:sz w:val="24"/>
          <w:szCs w:val="26"/>
        </w:rPr>
        <w:t>A fin juin</w:t>
      </w:r>
      <w:r w:rsidR="005F0891" w:rsidRPr="00215B3D">
        <w:rPr>
          <w:rFonts w:ascii="Segoe UI" w:hAnsi="Segoe UI" w:cs="Segoe UI"/>
          <w:bCs/>
          <w:iCs/>
          <w:sz w:val="24"/>
          <w:szCs w:val="26"/>
        </w:rPr>
        <w:t xml:space="preserve"> </w:t>
      </w:r>
      <w:r w:rsidRPr="00215B3D">
        <w:rPr>
          <w:rFonts w:ascii="Segoe UI" w:hAnsi="Segoe UI" w:cs="Segoe UI"/>
          <w:bCs/>
          <w:iCs/>
          <w:sz w:val="24"/>
          <w:szCs w:val="26"/>
        </w:rPr>
        <w:t>2017</w:t>
      </w:r>
      <w:r w:rsidR="003D1E43">
        <w:rPr>
          <w:rFonts w:ascii="Segoe UI" w:hAnsi="Segoe UI" w:cs="Segoe UI"/>
          <w:bCs/>
          <w:iCs/>
          <w:sz w:val="24"/>
          <w:szCs w:val="26"/>
        </w:rPr>
        <w:t>, l</w:t>
      </w:r>
      <w:r w:rsidR="001270A8" w:rsidRPr="00215B3D">
        <w:rPr>
          <w:rFonts w:ascii="Segoe UI" w:hAnsi="Segoe UI" w:cs="Segoe UI"/>
          <w:bCs/>
          <w:iCs/>
          <w:sz w:val="24"/>
          <w:szCs w:val="26"/>
        </w:rPr>
        <w:t>es dépenses ordinaires a</w:t>
      </w:r>
      <w:r w:rsidR="003D1E43">
        <w:rPr>
          <w:rFonts w:ascii="Segoe UI" w:hAnsi="Segoe UI" w:cs="Segoe UI"/>
          <w:bCs/>
          <w:iCs/>
          <w:sz w:val="24"/>
          <w:szCs w:val="26"/>
        </w:rPr>
        <w:t>tteignent</w:t>
      </w:r>
      <w:r w:rsidR="00F64D87" w:rsidRPr="00215B3D">
        <w:rPr>
          <w:rFonts w:ascii="Segoe UI" w:hAnsi="Segoe UI" w:cs="Segoe UI"/>
          <w:bCs/>
          <w:iCs/>
          <w:sz w:val="24"/>
          <w:szCs w:val="26"/>
        </w:rPr>
        <w:t xml:space="preserve"> </w:t>
      </w:r>
      <w:r w:rsidR="003D1E43">
        <w:rPr>
          <w:rFonts w:ascii="Segoe UI" w:hAnsi="Segoe UI" w:cs="Segoe UI"/>
          <w:bCs/>
          <w:iCs/>
          <w:sz w:val="24"/>
          <w:szCs w:val="26"/>
        </w:rPr>
        <w:t xml:space="preserve">respectivement en engagement et en ordonnancement </w:t>
      </w:r>
      <w:r w:rsidRPr="00215B3D">
        <w:rPr>
          <w:rFonts w:ascii="Segoe UI" w:hAnsi="Segoe UI" w:cs="Segoe UI"/>
          <w:b/>
          <w:bCs/>
          <w:iCs/>
          <w:sz w:val="24"/>
          <w:szCs w:val="26"/>
        </w:rPr>
        <w:t>350 </w:t>
      </w:r>
      <w:r w:rsidR="00BA770A" w:rsidRPr="00215B3D">
        <w:rPr>
          <w:rFonts w:ascii="Segoe UI" w:hAnsi="Segoe UI" w:cs="Segoe UI"/>
          <w:b/>
          <w:bCs/>
          <w:iCs/>
          <w:sz w:val="24"/>
          <w:szCs w:val="26"/>
        </w:rPr>
        <w:t>036,</w:t>
      </w:r>
      <w:r w:rsidR="00F177FD">
        <w:rPr>
          <w:rFonts w:ascii="Segoe UI" w:hAnsi="Segoe UI" w:cs="Segoe UI"/>
          <w:b/>
          <w:bCs/>
          <w:iCs/>
          <w:sz w:val="24"/>
          <w:szCs w:val="26"/>
        </w:rPr>
        <w:t>4</w:t>
      </w:r>
      <w:r w:rsidR="00F64D87" w:rsidRPr="00215B3D">
        <w:rPr>
          <w:rFonts w:ascii="Segoe UI" w:hAnsi="Segoe UI" w:cs="Segoe UI"/>
          <w:b/>
          <w:bCs/>
          <w:iCs/>
          <w:sz w:val="24"/>
          <w:szCs w:val="26"/>
        </w:rPr>
        <w:t xml:space="preserve"> </w:t>
      </w:r>
      <w:r w:rsidR="00915B04" w:rsidRPr="00215B3D">
        <w:rPr>
          <w:rFonts w:ascii="Segoe UI" w:hAnsi="Segoe UI" w:cs="Segoe UI"/>
          <w:b/>
          <w:bCs/>
          <w:iCs/>
          <w:sz w:val="24"/>
          <w:szCs w:val="26"/>
        </w:rPr>
        <w:t>millions de FCFA</w:t>
      </w:r>
      <w:r w:rsidR="00915B04" w:rsidRPr="00215B3D">
        <w:rPr>
          <w:rFonts w:ascii="Segoe UI" w:hAnsi="Segoe UI" w:cs="Segoe UI"/>
          <w:bCs/>
          <w:iCs/>
          <w:sz w:val="24"/>
          <w:szCs w:val="26"/>
        </w:rPr>
        <w:t xml:space="preserve"> </w:t>
      </w:r>
      <w:r w:rsidR="003D1E43">
        <w:rPr>
          <w:rFonts w:ascii="Segoe UI" w:hAnsi="Segoe UI" w:cs="Segoe UI"/>
          <w:bCs/>
          <w:iCs/>
          <w:sz w:val="24"/>
          <w:szCs w:val="26"/>
        </w:rPr>
        <w:t xml:space="preserve">et </w:t>
      </w:r>
      <w:r w:rsidR="003D1E43" w:rsidRPr="006C27CF">
        <w:rPr>
          <w:rFonts w:ascii="Segoe UI" w:hAnsi="Segoe UI" w:cs="Segoe UI"/>
          <w:b/>
          <w:bCs/>
          <w:iCs/>
          <w:sz w:val="24"/>
          <w:szCs w:val="26"/>
        </w:rPr>
        <w:t>311 653,6 millions de FCFA</w:t>
      </w:r>
      <w:r w:rsidR="006C27CF">
        <w:rPr>
          <w:rFonts w:ascii="Segoe UI" w:hAnsi="Segoe UI" w:cs="Segoe UI"/>
          <w:bCs/>
          <w:iCs/>
          <w:sz w:val="24"/>
          <w:szCs w:val="26"/>
        </w:rPr>
        <w:t xml:space="preserve"> sur un objectif annuel </w:t>
      </w:r>
      <w:r w:rsidR="00BC4D68" w:rsidRPr="00215B3D">
        <w:rPr>
          <w:rFonts w:ascii="Segoe UI" w:hAnsi="Segoe UI" w:cs="Segoe UI"/>
          <w:bCs/>
          <w:iCs/>
          <w:sz w:val="24"/>
          <w:szCs w:val="26"/>
        </w:rPr>
        <w:t>de</w:t>
      </w:r>
      <w:r w:rsidR="005F0891" w:rsidRPr="00215B3D">
        <w:rPr>
          <w:rFonts w:ascii="Segoe UI" w:hAnsi="Segoe UI" w:cs="Segoe UI"/>
          <w:bCs/>
          <w:iCs/>
          <w:sz w:val="24"/>
          <w:szCs w:val="26"/>
        </w:rPr>
        <w:t xml:space="preserve"> </w:t>
      </w:r>
      <w:r w:rsidRPr="00215B3D">
        <w:rPr>
          <w:rFonts w:ascii="Segoe UI" w:hAnsi="Segoe UI" w:cs="Segoe UI"/>
          <w:bCs/>
          <w:iCs/>
          <w:sz w:val="24"/>
          <w:szCs w:val="26"/>
        </w:rPr>
        <w:t>761 125</w:t>
      </w:r>
      <w:r w:rsidR="00915B04" w:rsidRPr="00215B3D">
        <w:rPr>
          <w:rFonts w:ascii="Segoe UI" w:hAnsi="Segoe UI" w:cs="Segoe UI"/>
          <w:bCs/>
          <w:iCs/>
          <w:sz w:val="24"/>
          <w:szCs w:val="26"/>
        </w:rPr>
        <w:t xml:space="preserve"> millions de FCFA</w:t>
      </w:r>
      <w:r w:rsidR="00BA770A" w:rsidRPr="00215B3D">
        <w:rPr>
          <w:rFonts w:ascii="Segoe UI" w:hAnsi="Segoe UI" w:cs="Segoe UI"/>
          <w:bCs/>
          <w:iCs/>
          <w:sz w:val="24"/>
          <w:szCs w:val="26"/>
        </w:rPr>
        <w:t xml:space="preserve">, </w:t>
      </w:r>
      <w:r w:rsidR="006C27CF">
        <w:rPr>
          <w:rFonts w:ascii="Segoe UI" w:hAnsi="Segoe UI" w:cs="Segoe UI"/>
          <w:bCs/>
          <w:iCs/>
          <w:sz w:val="24"/>
          <w:szCs w:val="26"/>
        </w:rPr>
        <w:t xml:space="preserve">soient </w:t>
      </w:r>
      <w:r w:rsidR="001A6AF3">
        <w:rPr>
          <w:rFonts w:ascii="Segoe UI" w:hAnsi="Segoe UI" w:cs="Segoe UI"/>
          <w:bCs/>
          <w:iCs/>
          <w:sz w:val="24"/>
          <w:szCs w:val="26"/>
        </w:rPr>
        <w:t xml:space="preserve">respectivement pour </w:t>
      </w:r>
      <w:r w:rsidR="006C27CF">
        <w:rPr>
          <w:rFonts w:ascii="Segoe UI" w:hAnsi="Segoe UI" w:cs="Segoe UI"/>
          <w:bCs/>
          <w:iCs/>
          <w:sz w:val="24"/>
          <w:szCs w:val="26"/>
        </w:rPr>
        <w:t xml:space="preserve">des </w:t>
      </w:r>
      <w:r w:rsidR="00BA770A" w:rsidRPr="00215B3D">
        <w:rPr>
          <w:rFonts w:ascii="Segoe UI" w:hAnsi="Segoe UI" w:cs="Segoe UI"/>
          <w:bCs/>
          <w:iCs/>
          <w:sz w:val="24"/>
          <w:szCs w:val="26"/>
        </w:rPr>
        <w:t xml:space="preserve">taux de </w:t>
      </w:r>
      <w:r w:rsidR="00BA770A" w:rsidRPr="00215B3D">
        <w:rPr>
          <w:rFonts w:ascii="Segoe UI" w:hAnsi="Segoe UI" w:cs="Segoe UI"/>
          <w:b/>
          <w:bCs/>
          <w:iCs/>
          <w:sz w:val="24"/>
          <w:szCs w:val="26"/>
        </w:rPr>
        <w:t>46%</w:t>
      </w:r>
      <w:r w:rsidR="00544383" w:rsidRPr="00544383">
        <w:rPr>
          <w:rFonts w:ascii="Segoe UI" w:hAnsi="Segoe UI" w:cs="Segoe UI"/>
          <w:bCs/>
          <w:iCs/>
          <w:sz w:val="24"/>
          <w:szCs w:val="26"/>
        </w:rPr>
        <w:t xml:space="preserve"> et</w:t>
      </w:r>
      <w:r w:rsidR="00544383">
        <w:rPr>
          <w:rFonts w:ascii="Segoe UI" w:hAnsi="Segoe UI" w:cs="Segoe UI"/>
          <w:b/>
          <w:bCs/>
          <w:iCs/>
          <w:sz w:val="24"/>
          <w:szCs w:val="26"/>
        </w:rPr>
        <w:t xml:space="preserve"> </w:t>
      </w:r>
      <w:r w:rsidR="001A6AF3">
        <w:rPr>
          <w:rFonts w:ascii="Segoe UI" w:hAnsi="Segoe UI" w:cs="Segoe UI"/>
          <w:b/>
          <w:bCs/>
          <w:iCs/>
          <w:sz w:val="24"/>
          <w:szCs w:val="26"/>
        </w:rPr>
        <w:t xml:space="preserve">de </w:t>
      </w:r>
      <w:r w:rsidR="00F177FD">
        <w:rPr>
          <w:rFonts w:ascii="Segoe UI" w:hAnsi="Segoe UI" w:cs="Segoe UI"/>
          <w:b/>
          <w:bCs/>
          <w:iCs/>
          <w:sz w:val="24"/>
          <w:szCs w:val="26"/>
        </w:rPr>
        <w:t>44</w:t>
      </w:r>
      <w:r w:rsidR="00544383">
        <w:rPr>
          <w:rFonts w:ascii="Segoe UI" w:hAnsi="Segoe UI" w:cs="Segoe UI"/>
          <w:b/>
          <w:bCs/>
          <w:iCs/>
          <w:sz w:val="24"/>
          <w:szCs w:val="26"/>
        </w:rPr>
        <w:t>%</w:t>
      </w:r>
      <w:r w:rsidR="00D56BC6" w:rsidRPr="00215B3D">
        <w:rPr>
          <w:rFonts w:ascii="Segoe UI" w:hAnsi="Segoe UI" w:cs="Segoe UI"/>
          <w:b/>
          <w:bCs/>
          <w:iCs/>
          <w:sz w:val="24"/>
          <w:szCs w:val="26"/>
        </w:rPr>
        <w:t>.</w:t>
      </w:r>
      <w:r w:rsidR="00D56BC6" w:rsidRPr="00215B3D">
        <w:rPr>
          <w:rFonts w:ascii="Segoe UI" w:hAnsi="Segoe UI" w:cs="Segoe UI"/>
          <w:bCs/>
          <w:iCs/>
          <w:sz w:val="24"/>
          <w:szCs w:val="26"/>
        </w:rPr>
        <w:t xml:space="preserve"> </w:t>
      </w:r>
      <w:r w:rsidR="00544383">
        <w:rPr>
          <w:rFonts w:ascii="Segoe UI" w:hAnsi="Segoe UI" w:cs="Segoe UI"/>
          <w:bCs/>
          <w:iCs/>
          <w:sz w:val="24"/>
          <w:szCs w:val="26"/>
        </w:rPr>
        <w:t xml:space="preserve">A la même période en 2016, </w:t>
      </w:r>
      <w:r w:rsidR="003D60D5">
        <w:rPr>
          <w:rFonts w:ascii="Segoe UI" w:hAnsi="Segoe UI" w:cs="Segoe UI"/>
          <w:bCs/>
          <w:iCs/>
          <w:sz w:val="24"/>
          <w:szCs w:val="26"/>
        </w:rPr>
        <w:t>l</w:t>
      </w:r>
      <w:r w:rsidR="00544383">
        <w:rPr>
          <w:rFonts w:ascii="Segoe UI" w:hAnsi="Segoe UI" w:cs="Segoe UI"/>
          <w:bCs/>
          <w:iCs/>
          <w:sz w:val="24"/>
          <w:szCs w:val="26"/>
        </w:rPr>
        <w:t xml:space="preserve">es taux </w:t>
      </w:r>
      <w:r w:rsidR="003D60D5">
        <w:rPr>
          <w:rFonts w:ascii="Segoe UI" w:hAnsi="Segoe UI" w:cs="Segoe UI"/>
          <w:bCs/>
          <w:iCs/>
          <w:sz w:val="24"/>
          <w:szCs w:val="26"/>
        </w:rPr>
        <w:t xml:space="preserve">enregistrés </w:t>
      </w:r>
      <w:r w:rsidR="00544383">
        <w:rPr>
          <w:rFonts w:ascii="Segoe UI" w:hAnsi="Segoe UI" w:cs="Segoe UI"/>
          <w:bCs/>
          <w:iCs/>
          <w:sz w:val="24"/>
          <w:szCs w:val="26"/>
        </w:rPr>
        <w:t xml:space="preserve">sont de </w:t>
      </w:r>
      <w:r w:rsidR="00544383" w:rsidRPr="003D60D5">
        <w:rPr>
          <w:rFonts w:ascii="Segoe UI" w:hAnsi="Segoe UI" w:cs="Segoe UI"/>
          <w:b/>
          <w:bCs/>
          <w:iCs/>
          <w:sz w:val="24"/>
          <w:szCs w:val="26"/>
        </w:rPr>
        <w:t>53,6%</w:t>
      </w:r>
      <w:r w:rsidR="00544383">
        <w:rPr>
          <w:rFonts w:ascii="Segoe UI" w:hAnsi="Segoe UI" w:cs="Segoe UI"/>
          <w:bCs/>
          <w:iCs/>
          <w:sz w:val="24"/>
          <w:szCs w:val="26"/>
        </w:rPr>
        <w:t xml:space="preserve"> et </w:t>
      </w:r>
      <w:r w:rsidR="00544383" w:rsidRPr="003D60D5">
        <w:rPr>
          <w:rFonts w:ascii="Segoe UI" w:hAnsi="Segoe UI" w:cs="Segoe UI"/>
          <w:b/>
          <w:bCs/>
          <w:iCs/>
          <w:sz w:val="24"/>
          <w:szCs w:val="26"/>
        </w:rPr>
        <w:t>40,2</w:t>
      </w:r>
      <w:r w:rsidR="00544383">
        <w:rPr>
          <w:rFonts w:ascii="Segoe UI" w:hAnsi="Segoe UI" w:cs="Segoe UI"/>
          <w:bCs/>
          <w:iCs/>
          <w:sz w:val="24"/>
          <w:szCs w:val="26"/>
        </w:rPr>
        <w:t xml:space="preserve">%. </w:t>
      </w:r>
      <w:r w:rsidR="00544383" w:rsidRPr="00723CD4">
        <w:rPr>
          <w:rFonts w:ascii="Segoe UI" w:hAnsi="Segoe UI" w:cs="Segoe UI"/>
          <w:b/>
          <w:bCs/>
          <w:iCs/>
          <w:sz w:val="24"/>
          <w:szCs w:val="26"/>
        </w:rPr>
        <w:t>C</w:t>
      </w:r>
      <w:r w:rsidR="003948AF" w:rsidRPr="00723CD4">
        <w:rPr>
          <w:rFonts w:ascii="Segoe UI" w:hAnsi="Segoe UI" w:cs="Segoe UI"/>
          <w:b/>
          <w:bCs/>
          <w:i/>
          <w:iCs/>
          <w:sz w:val="24"/>
          <w:szCs w:val="26"/>
        </w:rPr>
        <w:t>e</w:t>
      </w:r>
      <w:r w:rsidR="0006221B" w:rsidRPr="00723CD4">
        <w:rPr>
          <w:rFonts w:ascii="Segoe UI" w:hAnsi="Segoe UI" w:cs="Segoe UI"/>
          <w:b/>
          <w:bCs/>
          <w:i/>
          <w:iCs/>
          <w:sz w:val="24"/>
          <w:szCs w:val="26"/>
        </w:rPr>
        <w:t>s</w:t>
      </w:r>
      <w:r w:rsidR="003948AF" w:rsidRPr="00723CD4">
        <w:rPr>
          <w:rFonts w:ascii="Segoe UI" w:hAnsi="Segoe UI" w:cs="Segoe UI"/>
          <w:b/>
          <w:bCs/>
          <w:i/>
          <w:iCs/>
          <w:sz w:val="24"/>
          <w:szCs w:val="26"/>
        </w:rPr>
        <w:t xml:space="preserve"> niveau</w:t>
      </w:r>
      <w:r w:rsidR="0006221B" w:rsidRPr="00723CD4">
        <w:rPr>
          <w:rFonts w:ascii="Segoe UI" w:hAnsi="Segoe UI" w:cs="Segoe UI"/>
          <w:b/>
          <w:bCs/>
          <w:i/>
          <w:iCs/>
          <w:sz w:val="24"/>
          <w:szCs w:val="26"/>
        </w:rPr>
        <w:t>x</w:t>
      </w:r>
      <w:r w:rsidR="003948AF" w:rsidRPr="00723CD4">
        <w:rPr>
          <w:rFonts w:ascii="Segoe UI" w:hAnsi="Segoe UI" w:cs="Segoe UI"/>
          <w:b/>
          <w:bCs/>
          <w:i/>
          <w:iCs/>
          <w:sz w:val="24"/>
          <w:szCs w:val="26"/>
        </w:rPr>
        <w:t xml:space="preserve"> </w:t>
      </w:r>
      <w:r w:rsidR="0006221B" w:rsidRPr="00723CD4">
        <w:rPr>
          <w:rFonts w:ascii="Segoe UI" w:hAnsi="Segoe UI" w:cs="Segoe UI"/>
          <w:b/>
          <w:bCs/>
          <w:i/>
          <w:iCs/>
          <w:sz w:val="24"/>
          <w:szCs w:val="26"/>
        </w:rPr>
        <w:t>d’exécution</w:t>
      </w:r>
      <w:r w:rsidR="00B93BA1" w:rsidRPr="00723CD4">
        <w:rPr>
          <w:rFonts w:ascii="Segoe UI" w:hAnsi="Segoe UI" w:cs="Segoe UI"/>
          <w:b/>
          <w:bCs/>
          <w:i/>
          <w:iCs/>
          <w:sz w:val="24"/>
          <w:szCs w:val="26"/>
        </w:rPr>
        <w:t xml:space="preserve"> </w:t>
      </w:r>
      <w:r w:rsidR="00F828B1" w:rsidRPr="00723CD4">
        <w:rPr>
          <w:rFonts w:ascii="Segoe UI" w:hAnsi="Segoe UI" w:cs="Segoe UI"/>
          <w:b/>
          <w:bCs/>
          <w:i/>
          <w:iCs/>
          <w:sz w:val="24"/>
          <w:szCs w:val="26"/>
        </w:rPr>
        <w:t>se justifie</w:t>
      </w:r>
      <w:r w:rsidR="0006221B" w:rsidRPr="00723CD4">
        <w:rPr>
          <w:rFonts w:ascii="Segoe UI" w:hAnsi="Segoe UI" w:cs="Segoe UI"/>
          <w:b/>
          <w:bCs/>
          <w:i/>
          <w:iCs/>
          <w:sz w:val="24"/>
          <w:szCs w:val="26"/>
        </w:rPr>
        <w:t>nt</w:t>
      </w:r>
      <w:r w:rsidR="00F828B1" w:rsidRPr="00723CD4">
        <w:rPr>
          <w:rFonts w:ascii="Segoe UI" w:hAnsi="Segoe UI" w:cs="Segoe UI"/>
          <w:b/>
          <w:bCs/>
          <w:i/>
          <w:iCs/>
          <w:sz w:val="24"/>
          <w:szCs w:val="26"/>
        </w:rPr>
        <w:t xml:space="preserve"> notamment par la maîtrise </w:t>
      </w:r>
      <w:r w:rsidR="0006221B" w:rsidRPr="00723CD4">
        <w:rPr>
          <w:rFonts w:ascii="Segoe UI" w:hAnsi="Segoe UI" w:cs="Segoe UI"/>
          <w:b/>
          <w:bCs/>
          <w:i/>
          <w:iCs/>
          <w:sz w:val="24"/>
          <w:szCs w:val="26"/>
        </w:rPr>
        <w:t xml:space="preserve">de la progression des </w:t>
      </w:r>
      <w:r w:rsidR="00F828B1" w:rsidRPr="00723CD4">
        <w:rPr>
          <w:rFonts w:ascii="Segoe UI" w:hAnsi="Segoe UI" w:cs="Segoe UI"/>
          <w:b/>
          <w:bCs/>
          <w:i/>
          <w:iCs/>
          <w:sz w:val="24"/>
          <w:szCs w:val="26"/>
        </w:rPr>
        <w:t xml:space="preserve">dépenses </w:t>
      </w:r>
      <w:r w:rsidR="0006221B" w:rsidRPr="00723CD4">
        <w:rPr>
          <w:rFonts w:ascii="Segoe UI" w:hAnsi="Segoe UI" w:cs="Segoe UI"/>
          <w:b/>
          <w:bCs/>
          <w:i/>
          <w:iCs/>
          <w:sz w:val="24"/>
          <w:szCs w:val="26"/>
        </w:rPr>
        <w:t>publiques</w:t>
      </w:r>
      <w:r w:rsidR="00043D9F" w:rsidRPr="00723CD4">
        <w:rPr>
          <w:rFonts w:ascii="Segoe UI" w:hAnsi="Segoe UI" w:cs="Segoe UI"/>
          <w:b/>
          <w:bCs/>
          <w:i/>
          <w:iCs/>
          <w:sz w:val="24"/>
          <w:szCs w:val="26"/>
        </w:rPr>
        <w:t xml:space="preserve"> et une meilleure articulation entre les engagements et la disponibilité de trésorerie.</w:t>
      </w:r>
      <w:r w:rsidR="00043D9F">
        <w:rPr>
          <w:rFonts w:ascii="Segoe UI" w:hAnsi="Segoe UI" w:cs="Segoe UI"/>
          <w:b/>
          <w:bCs/>
          <w:i/>
          <w:iCs/>
          <w:sz w:val="24"/>
          <w:szCs w:val="26"/>
        </w:rPr>
        <w:t xml:space="preserve"> </w:t>
      </w:r>
    </w:p>
    <w:p w:rsidR="008A077D" w:rsidRPr="00215B3D" w:rsidRDefault="008A077D" w:rsidP="00BD1603">
      <w:pPr>
        <w:rPr>
          <w:rFonts w:ascii="Segoe UI" w:hAnsi="Segoe UI" w:cs="Segoe UI"/>
          <w:b/>
          <w:sz w:val="26"/>
          <w:szCs w:val="26"/>
        </w:rPr>
      </w:pPr>
      <w:r w:rsidRPr="00215B3D">
        <w:rPr>
          <w:rFonts w:ascii="Segoe UI" w:hAnsi="Segoe UI" w:cs="Segoe UI"/>
          <w:b/>
          <w:sz w:val="26"/>
          <w:szCs w:val="26"/>
        </w:rPr>
        <w:t>B-1-1</w:t>
      </w:r>
      <w:r w:rsidR="00BD1603" w:rsidRPr="00215B3D">
        <w:rPr>
          <w:rFonts w:ascii="Segoe UI" w:hAnsi="Segoe UI" w:cs="Segoe UI"/>
          <w:b/>
          <w:sz w:val="26"/>
          <w:szCs w:val="26"/>
        </w:rPr>
        <w:t>-1</w:t>
      </w:r>
      <w:r w:rsidRPr="00215B3D">
        <w:rPr>
          <w:rFonts w:ascii="Segoe UI" w:hAnsi="Segoe UI" w:cs="Segoe UI"/>
          <w:b/>
          <w:sz w:val="26"/>
          <w:szCs w:val="26"/>
        </w:rPr>
        <w:t xml:space="preserve"> Charges financières de la dette publique</w:t>
      </w:r>
      <w:r w:rsidR="001270A8" w:rsidRPr="00215B3D">
        <w:rPr>
          <w:rFonts w:ascii="Segoe UI" w:hAnsi="Segoe UI" w:cs="Segoe UI"/>
          <w:b/>
          <w:sz w:val="26"/>
          <w:szCs w:val="26"/>
        </w:rPr>
        <w:tab/>
      </w:r>
    </w:p>
    <w:p w:rsidR="00B24E5D" w:rsidRPr="00215B3D" w:rsidRDefault="00B24E5D" w:rsidP="001E3863">
      <w:pPr>
        <w:spacing w:line="360" w:lineRule="auto"/>
        <w:jc w:val="both"/>
        <w:rPr>
          <w:rFonts w:ascii="Segoe UI" w:hAnsi="Segoe UI" w:cs="Segoe UI"/>
          <w:bCs/>
          <w:iCs/>
          <w:sz w:val="24"/>
          <w:szCs w:val="26"/>
        </w:rPr>
      </w:pPr>
      <w:r w:rsidRPr="00215B3D">
        <w:rPr>
          <w:rFonts w:ascii="Segoe UI" w:hAnsi="Segoe UI" w:cs="Segoe UI"/>
          <w:bCs/>
          <w:iCs/>
          <w:sz w:val="24"/>
          <w:szCs w:val="26"/>
        </w:rPr>
        <w:t>E</w:t>
      </w:r>
      <w:r w:rsidR="001415FE" w:rsidRPr="00215B3D">
        <w:rPr>
          <w:rFonts w:ascii="Segoe UI" w:hAnsi="Segoe UI" w:cs="Segoe UI"/>
          <w:bCs/>
          <w:iCs/>
          <w:sz w:val="24"/>
          <w:szCs w:val="26"/>
        </w:rPr>
        <w:t>stim</w:t>
      </w:r>
      <w:r w:rsidRPr="00215B3D">
        <w:rPr>
          <w:rFonts w:ascii="Segoe UI" w:hAnsi="Segoe UI" w:cs="Segoe UI"/>
          <w:bCs/>
          <w:iCs/>
          <w:sz w:val="24"/>
          <w:szCs w:val="26"/>
        </w:rPr>
        <w:t xml:space="preserve">ées à </w:t>
      </w:r>
      <w:r w:rsidR="00E1572E" w:rsidRPr="00215B3D">
        <w:rPr>
          <w:rFonts w:ascii="Segoe UI" w:hAnsi="Segoe UI" w:cs="Segoe UI"/>
          <w:bCs/>
          <w:iCs/>
          <w:sz w:val="24"/>
          <w:szCs w:val="26"/>
        </w:rPr>
        <w:t>103 700</w:t>
      </w:r>
      <w:r w:rsidRPr="00215B3D">
        <w:rPr>
          <w:rFonts w:ascii="Segoe UI" w:hAnsi="Segoe UI" w:cs="Segoe UI"/>
          <w:bCs/>
          <w:iCs/>
          <w:sz w:val="24"/>
          <w:szCs w:val="26"/>
        </w:rPr>
        <w:t xml:space="preserve"> millions de FCFA pour l’année 201</w:t>
      </w:r>
      <w:r w:rsidR="00E1572E" w:rsidRPr="00215B3D">
        <w:rPr>
          <w:rFonts w:ascii="Segoe UI" w:hAnsi="Segoe UI" w:cs="Segoe UI"/>
          <w:bCs/>
          <w:iCs/>
          <w:sz w:val="24"/>
          <w:szCs w:val="26"/>
        </w:rPr>
        <w:t>7</w:t>
      </w:r>
      <w:r w:rsidRPr="00215B3D">
        <w:rPr>
          <w:rFonts w:ascii="Segoe UI" w:hAnsi="Segoe UI" w:cs="Segoe UI"/>
          <w:bCs/>
          <w:iCs/>
          <w:sz w:val="24"/>
          <w:szCs w:val="26"/>
        </w:rPr>
        <w:t xml:space="preserve">, les charges financières de la dette publique sont </w:t>
      </w:r>
      <w:r w:rsidR="00B93BA1" w:rsidRPr="00215B3D">
        <w:rPr>
          <w:rFonts w:ascii="Segoe UI" w:hAnsi="Segoe UI" w:cs="Segoe UI"/>
          <w:bCs/>
          <w:iCs/>
          <w:sz w:val="24"/>
          <w:szCs w:val="26"/>
        </w:rPr>
        <w:t>exécut</w:t>
      </w:r>
      <w:r w:rsidRPr="00215B3D">
        <w:rPr>
          <w:rFonts w:ascii="Segoe UI" w:hAnsi="Segoe UI" w:cs="Segoe UI"/>
          <w:bCs/>
          <w:iCs/>
          <w:sz w:val="24"/>
          <w:szCs w:val="26"/>
        </w:rPr>
        <w:t xml:space="preserve">ées à concurrence de </w:t>
      </w:r>
      <w:r w:rsidR="00E1572E" w:rsidRPr="00215B3D">
        <w:rPr>
          <w:rFonts w:ascii="Segoe UI" w:hAnsi="Segoe UI" w:cs="Segoe UI"/>
          <w:b/>
          <w:bCs/>
          <w:iCs/>
          <w:sz w:val="24"/>
          <w:szCs w:val="26"/>
        </w:rPr>
        <w:t>46 090,</w:t>
      </w:r>
      <w:r w:rsidR="00BA770A" w:rsidRPr="00215B3D">
        <w:rPr>
          <w:rFonts w:ascii="Segoe UI" w:hAnsi="Segoe UI" w:cs="Segoe UI"/>
          <w:b/>
          <w:bCs/>
          <w:iCs/>
          <w:sz w:val="24"/>
          <w:szCs w:val="26"/>
        </w:rPr>
        <w:t>4</w:t>
      </w:r>
      <w:r w:rsidR="00F64D87" w:rsidRPr="00215B3D">
        <w:rPr>
          <w:rFonts w:ascii="Segoe UI" w:hAnsi="Segoe UI" w:cs="Segoe UI"/>
          <w:b/>
          <w:bCs/>
          <w:iCs/>
          <w:sz w:val="24"/>
          <w:szCs w:val="26"/>
        </w:rPr>
        <w:t xml:space="preserve"> </w:t>
      </w:r>
      <w:r w:rsidRPr="00215B3D">
        <w:rPr>
          <w:rFonts w:ascii="Segoe UI" w:hAnsi="Segoe UI" w:cs="Segoe UI"/>
          <w:b/>
          <w:bCs/>
          <w:iCs/>
          <w:sz w:val="24"/>
          <w:szCs w:val="26"/>
        </w:rPr>
        <w:t>millions de FCFA</w:t>
      </w:r>
      <w:r w:rsidR="00F64D87" w:rsidRPr="00215B3D">
        <w:rPr>
          <w:rFonts w:ascii="Segoe UI" w:hAnsi="Segoe UI" w:cs="Segoe UI"/>
          <w:bCs/>
          <w:iCs/>
          <w:sz w:val="24"/>
          <w:szCs w:val="26"/>
        </w:rPr>
        <w:t xml:space="preserve"> </w:t>
      </w:r>
      <w:r w:rsidR="001415FE" w:rsidRPr="00215B3D">
        <w:rPr>
          <w:rFonts w:ascii="Segoe UI" w:hAnsi="Segoe UI" w:cs="Segoe UI"/>
          <w:bCs/>
          <w:iCs/>
          <w:sz w:val="24"/>
          <w:szCs w:val="26"/>
        </w:rPr>
        <w:t xml:space="preserve">à fin </w:t>
      </w:r>
      <w:r w:rsidR="00E1572E" w:rsidRPr="00215B3D">
        <w:rPr>
          <w:rFonts w:ascii="Segoe UI" w:hAnsi="Segoe UI" w:cs="Segoe UI"/>
          <w:bCs/>
          <w:iCs/>
          <w:sz w:val="24"/>
          <w:szCs w:val="26"/>
        </w:rPr>
        <w:t>juin 2017</w:t>
      </w:r>
      <w:r w:rsidR="00D56BC6" w:rsidRPr="00215B3D">
        <w:rPr>
          <w:rFonts w:ascii="Segoe UI" w:hAnsi="Segoe UI" w:cs="Segoe UI"/>
          <w:bCs/>
          <w:iCs/>
          <w:sz w:val="24"/>
          <w:szCs w:val="26"/>
        </w:rPr>
        <w:t>, corresponda</w:t>
      </w:r>
      <w:r w:rsidRPr="00215B3D">
        <w:rPr>
          <w:rFonts w:ascii="Segoe UI" w:hAnsi="Segoe UI" w:cs="Segoe UI"/>
          <w:bCs/>
          <w:iCs/>
          <w:sz w:val="24"/>
          <w:szCs w:val="26"/>
        </w:rPr>
        <w:t>nt à un taux d’e</w:t>
      </w:r>
      <w:r w:rsidR="00B93BA1" w:rsidRPr="00215B3D">
        <w:rPr>
          <w:rFonts w:ascii="Segoe UI" w:hAnsi="Segoe UI" w:cs="Segoe UI"/>
          <w:bCs/>
          <w:iCs/>
          <w:sz w:val="24"/>
          <w:szCs w:val="26"/>
        </w:rPr>
        <w:t>ngagement</w:t>
      </w:r>
      <w:r w:rsidRPr="00215B3D">
        <w:rPr>
          <w:rFonts w:ascii="Segoe UI" w:hAnsi="Segoe UI" w:cs="Segoe UI"/>
          <w:bCs/>
          <w:iCs/>
          <w:sz w:val="24"/>
          <w:szCs w:val="26"/>
        </w:rPr>
        <w:t xml:space="preserve"> de </w:t>
      </w:r>
      <w:r w:rsidR="00E1572E" w:rsidRPr="00215B3D">
        <w:rPr>
          <w:rFonts w:ascii="Segoe UI" w:hAnsi="Segoe UI" w:cs="Segoe UI"/>
          <w:b/>
          <w:bCs/>
          <w:iCs/>
          <w:sz w:val="24"/>
          <w:szCs w:val="26"/>
        </w:rPr>
        <w:t>44,4</w:t>
      </w:r>
      <w:r w:rsidRPr="00215B3D">
        <w:rPr>
          <w:rFonts w:ascii="Segoe UI" w:hAnsi="Segoe UI" w:cs="Segoe UI"/>
          <w:b/>
          <w:bCs/>
          <w:iCs/>
          <w:sz w:val="24"/>
          <w:szCs w:val="26"/>
        </w:rPr>
        <w:t>%</w:t>
      </w:r>
      <w:r w:rsidR="00BA770A" w:rsidRPr="00215B3D">
        <w:rPr>
          <w:rFonts w:ascii="Segoe UI" w:hAnsi="Segoe UI" w:cs="Segoe UI"/>
          <w:bCs/>
          <w:iCs/>
          <w:sz w:val="24"/>
          <w:szCs w:val="26"/>
        </w:rPr>
        <w:t>.</w:t>
      </w:r>
      <w:r w:rsidR="00C85FF5" w:rsidRPr="00215B3D">
        <w:rPr>
          <w:rFonts w:ascii="Segoe UI" w:hAnsi="Segoe UI" w:cs="Segoe UI"/>
          <w:bCs/>
          <w:iCs/>
          <w:sz w:val="24"/>
          <w:szCs w:val="26"/>
        </w:rPr>
        <w:t xml:space="preserve"> </w:t>
      </w:r>
      <w:r w:rsidR="00BA770A" w:rsidRPr="00215B3D">
        <w:rPr>
          <w:rFonts w:ascii="Segoe UI" w:hAnsi="Segoe UI" w:cs="Segoe UI"/>
          <w:bCs/>
          <w:iCs/>
          <w:sz w:val="24"/>
          <w:szCs w:val="26"/>
        </w:rPr>
        <w:t xml:space="preserve">A la même période en 2016, les crédits destinés à la couverture des charges financières de la dette publique ont été engagés à hauteur de </w:t>
      </w:r>
      <w:r w:rsidR="00E1572E" w:rsidRPr="00215B3D">
        <w:rPr>
          <w:rFonts w:ascii="Segoe UI" w:hAnsi="Segoe UI" w:cs="Segoe UI"/>
          <w:bCs/>
          <w:iCs/>
          <w:sz w:val="24"/>
          <w:szCs w:val="26"/>
        </w:rPr>
        <w:t>29,1</w:t>
      </w:r>
      <w:r w:rsidR="00C85FF5" w:rsidRPr="00215B3D">
        <w:rPr>
          <w:rFonts w:ascii="Segoe UI" w:hAnsi="Segoe UI" w:cs="Segoe UI"/>
          <w:bCs/>
          <w:iCs/>
          <w:sz w:val="24"/>
          <w:szCs w:val="26"/>
        </w:rPr>
        <w:t xml:space="preserve">% </w:t>
      </w:r>
      <w:r w:rsidR="00BA770A" w:rsidRPr="00215B3D">
        <w:rPr>
          <w:rFonts w:ascii="Segoe UI" w:hAnsi="Segoe UI" w:cs="Segoe UI"/>
          <w:bCs/>
          <w:iCs/>
          <w:sz w:val="24"/>
          <w:szCs w:val="26"/>
        </w:rPr>
        <w:t>pour un montant de 23 867,7 millions de FCFA sur une prévision de 82 000 millions de FCFA</w:t>
      </w:r>
      <w:r w:rsidRPr="00215B3D">
        <w:rPr>
          <w:rFonts w:ascii="Segoe UI" w:hAnsi="Segoe UI" w:cs="Segoe UI"/>
          <w:bCs/>
          <w:iCs/>
          <w:sz w:val="24"/>
          <w:szCs w:val="26"/>
        </w:rPr>
        <w:t>.</w:t>
      </w:r>
    </w:p>
    <w:p w:rsidR="00B24E5D" w:rsidRPr="00215B3D" w:rsidRDefault="00D76DA5" w:rsidP="000C178C">
      <w:pPr>
        <w:spacing w:after="0" w:line="360" w:lineRule="auto"/>
        <w:jc w:val="both"/>
        <w:rPr>
          <w:rFonts w:ascii="Segoe UI" w:hAnsi="Segoe UI" w:cs="Segoe UI"/>
          <w:bCs/>
          <w:iCs/>
          <w:sz w:val="24"/>
          <w:szCs w:val="26"/>
        </w:rPr>
      </w:pPr>
      <w:r w:rsidRPr="00215B3D">
        <w:rPr>
          <w:rFonts w:ascii="Segoe UI" w:hAnsi="Segoe UI" w:cs="Segoe UI"/>
          <w:bCs/>
          <w:iCs/>
          <w:sz w:val="24"/>
          <w:szCs w:val="26"/>
        </w:rPr>
        <w:t xml:space="preserve">Les charges financières de la dette publique </w:t>
      </w:r>
      <w:r w:rsidR="00614856" w:rsidRPr="00215B3D">
        <w:rPr>
          <w:rFonts w:ascii="Segoe UI" w:hAnsi="Segoe UI" w:cs="Segoe UI"/>
          <w:bCs/>
          <w:iCs/>
          <w:sz w:val="24"/>
          <w:szCs w:val="26"/>
        </w:rPr>
        <w:t>se déclinent en :</w:t>
      </w:r>
    </w:p>
    <w:p w:rsidR="00B24E5D" w:rsidRPr="00215B3D" w:rsidRDefault="003579E4" w:rsidP="00B24E5D">
      <w:pPr>
        <w:pStyle w:val="Paragraphedeliste"/>
        <w:numPr>
          <w:ilvl w:val="0"/>
          <w:numId w:val="19"/>
        </w:numPr>
        <w:spacing w:line="360" w:lineRule="auto"/>
        <w:jc w:val="both"/>
        <w:rPr>
          <w:rFonts w:ascii="Segoe UI" w:hAnsi="Segoe UI" w:cs="Segoe UI"/>
          <w:bCs/>
          <w:iCs/>
          <w:sz w:val="24"/>
          <w:szCs w:val="26"/>
        </w:rPr>
      </w:pPr>
      <w:r w:rsidRPr="00215B3D">
        <w:rPr>
          <w:rFonts w:ascii="Segoe UI" w:hAnsi="Segoe UI" w:cs="Segoe UI"/>
          <w:bCs/>
          <w:iCs/>
          <w:sz w:val="24"/>
          <w:szCs w:val="26"/>
        </w:rPr>
        <w:t>charges financières de la dette intérieure</w:t>
      </w:r>
      <w:r w:rsidR="00F64D87" w:rsidRPr="00215B3D">
        <w:rPr>
          <w:rFonts w:ascii="Segoe UI" w:hAnsi="Segoe UI" w:cs="Segoe UI"/>
          <w:bCs/>
          <w:iCs/>
          <w:sz w:val="24"/>
          <w:szCs w:val="26"/>
        </w:rPr>
        <w:t xml:space="preserve"> </w:t>
      </w:r>
      <w:r w:rsidR="00B93BA1" w:rsidRPr="00215B3D">
        <w:rPr>
          <w:rFonts w:ascii="Segoe UI" w:hAnsi="Segoe UI" w:cs="Segoe UI"/>
          <w:bCs/>
          <w:iCs/>
          <w:sz w:val="24"/>
          <w:szCs w:val="26"/>
        </w:rPr>
        <w:t>assur</w:t>
      </w:r>
      <w:r w:rsidR="0034051A" w:rsidRPr="00215B3D">
        <w:rPr>
          <w:rFonts w:ascii="Segoe UI" w:hAnsi="Segoe UI" w:cs="Segoe UI"/>
          <w:bCs/>
          <w:iCs/>
          <w:sz w:val="24"/>
          <w:szCs w:val="26"/>
        </w:rPr>
        <w:t xml:space="preserve">ées à hauteur de </w:t>
      </w:r>
      <w:r w:rsidR="004E6D1A" w:rsidRPr="00215B3D">
        <w:rPr>
          <w:rFonts w:ascii="Segoe UI" w:hAnsi="Segoe UI" w:cs="Segoe UI"/>
          <w:b/>
          <w:bCs/>
          <w:iCs/>
          <w:sz w:val="24"/>
          <w:szCs w:val="26"/>
        </w:rPr>
        <w:t>44,4</w:t>
      </w:r>
      <w:r w:rsidR="00D76DA5" w:rsidRPr="00215B3D">
        <w:rPr>
          <w:rFonts w:ascii="Segoe UI" w:hAnsi="Segoe UI" w:cs="Segoe UI"/>
          <w:b/>
          <w:bCs/>
          <w:iCs/>
          <w:sz w:val="24"/>
          <w:szCs w:val="26"/>
        </w:rPr>
        <w:t>%</w:t>
      </w:r>
      <w:r w:rsidR="00100A7A" w:rsidRPr="00215B3D">
        <w:rPr>
          <w:rFonts w:ascii="Segoe UI" w:hAnsi="Segoe UI" w:cs="Segoe UI"/>
          <w:bCs/>
          <w:iCs/>
          <w:sz w:val="24"/>
          <w:szCs w:val="26"/>
        </w:rPr>
        <w:t xml:space="preserve">, </w:t>
      </w:r>
      <w:r w:rsidR="00B93BA1" w:rsidRPr="00215B3D">
        <w:rPr>
          <w:rFonts w:ascii="Segoe UI" w:hAnsi="Segoe UI" w:cs="Segoe UI"/>
          <w:bCs/>
          <w:iCs/>
          <w:sz w:val="24"/>
          <w:szCs w:val="26"/>
        </w:rPr>
        <w:t xml:space="preserve">soit </w:t>
      </w:r>
      <w:r w:rsidR="00100A7A" w:rsidRPr="00215B3D">
        <w:rPr>
          <w:rFonts w:ascii="Segoe UI" w:hAnsi="Segoe UI" w:cs="Segoe UI"/>
          <w:bCs/>
          <w:iCs/>
          <w:sz w:val="24"/>
          <w:szCs w:val="26"/>
        </w:rPr>
        <w:t xml:space="preserve">pour </w:t>
      </w:r>
      <w:r w:rsidR="00B93BA1" w:rsidRPr="00215B3D">
        <w:rPr>
          <w:rFonts w:ascii="Segoe UI" w:hAnsi="Segoe UI" w:cs="Segoe UI"/>
          <w:bCs/>
          <w:iCs/>
          <w:sz w:val="24"/>
          <w:szCs w:val="26"/>
        </w:rPr>
        <w:t>un montant engagé de</w:t>
      </w:r>
      <w:r w:rsidR="00F64D87" w:rsidRPr="00215B3D">
        <w:rPr>
          <w:rFonts w:ascii="Segoe UI" w:hAnsi="Segoe UI" w:cs="Segoe UI"/>
          <w:bCs/>
          <w:iCs/>
          <w:sz w:val="24"/>
          <w:szCs w:val="26"/>
        </w:rPr>
        <w:t xml:space="preserve"> </w:t>
      </w:r>
      <w:r w:rsidR="004E6D1A" w:rsidRPr="00215B3D">
        <w:rPr>
          <w:rFonts w:ascii="Segoe UI" w:hAnsi="Segoe UI" w:cs="Segoe UI"/>
          <w:b/>
          <w:bCs/>
          <w:iCs/>
          <w:sz w:val="24"/>
          <w:szCs w:val="26"/>
        </w:rPr>
        <w:t>37 666,3</w:t>
      </w:r>
      <w:r w:rsidR="00D76DA5" w:rsidRPr="00215B3D">
        <w:rPr>
          <w:rFonts w:ascii="Segoe UI" w:hAnsi="Segoe UI" w:cs="Segoe UI"/>
          <w:b/>
          <w:bCs/>
          <w:iCs/>
          <w:sz w:val="24"/>
          <w:szCs w:val="26"/>
        </w:rPr>
        <w:t xml:space="preserve"> millions de FCFA</w:t>
      </w:r>
      <w:r w:rsidR="004263C0" w:rsidRPr="00215B3D">
        <w:rPr>
          <w:rFonts w:ascii="Segoe UI" w:hAnsi="Segoe UI" w:cs="Segoe UI"/>
          <w:bCs/>
          <w:iCs/>
          <w:sz w:val="24"/>
          <w:szCs w:val="26"/>
        </w:rPr>
        <w:t xml:space="preserve"> sur une prévision de 84 850 millions de FCFA</w:t>
      </w:r>
      <w:r w:rsidR="00B93BA1" w:rsidRPr="00215B3D">
        <w:rPr>
          <w:rFonts w:ascii="Segoe UI" w:hAnsi="Segoe UI" w:cs="Segoe UI"/>
          <w:bCs/>
          <w:iCs/>
          <w:sz w:val="24"/>
          <w:szCs w:val="26"/>
        </w:rPr>
        <w:t> ;</w:t>
      </w:r>
    </w:p>
    <w:p w:rsidR="00E22E39" w:rsidRPr="00215B3D" w:rsidRDefault="00D76DA5" w:rsidP="00E22E39">
      <w:pPr>
        <w:pStyle w:val="Paragraphedeliste"/>
        <w:numPr>
          <w:ilvl w:val="0"/>
          <w:numId w:val="19"/>
        </w:numPr>
        <w:spacing w:after="0" w:line="360" w:lineRule="auto"/>
        <w:jc w:val="both"/>
        <w:rPr>
          <w:rFonts w:ascii="Segoe UI" w:hAnsi="Segoe UI" w:cs="Segoe UI"/>
          <w:bCs/>
          <w:iCs/>
          <w:sz w:val="24"/>
          <w:szCs w:val="26"/>
        </w:rPr>
      </w:pPr>
      <w:r w:rsidRPr="00215B3D">
        <w:rPr>
          <w:rFonts w:ascii="Segoe UI" w:hAnsi="Segoe UI" w:cs="Segoe UI"/>
          <w:bCs/>
          <w:iCs/>
          <w:sz w:val="24"/>
          <w:szCs w:val="26"/>
        </w:rPr>
        <w:t>charges financières de la dette extérieure</w:t>
      </w:r>
      <w:r w:rsidR="004263C0" w:rsidRPr="00215B3D">
        <w:rPr>
          <w:rFonts w:ascii="Segoe UI" w:hAnsi="Segoe UI" w:cs="Segoe UI"/>
          <w:bCs/>
          <w:iCs/>
          <w:sz w:val="24"/>
          <w:szCs w:val="26"/>
        </w:rPr>
        <w:t>,</w:t>
      </w:r>
      <w:r w:rsidRPr="00215B3D">
        <w:rPr>
          <w:rFonts w:ascii="Segoe UI" w:hAnsi="Segoe UI" w:cs="Segoe UI"/>
          <w:bCs/>
          <w:iCs/>
          <w:sz w:val="24"/>
          <w:szCs w:val="26"/>
        </w:rPr>
        <w:t xml:space="preserve"> </w:t>
      </w:r>
      <w:r w:rsidR="003579E4" w:rsidRPr="00215B3D">
        <w:rPr>
          <w:rFonts w:ascii="Segoe UI" w:hAnsi="Segoe UI" w:cs="Segoe UI"/>
          <w:bCs/>
          <w:iCs/>
          <w:sz w:val="24"/>
          <w:szCs w:val="26"/>
        </w:rPr>
        <w:t>a</w:t>
      </w:r>
      <w:r w:rsidR="00B93BA1" w:rsidRPr="00215B3D">
        <w:rPr>
          <w:rFonts w:ascii="Segoe UI" w:hAnsi="Segoe UI" w:cs="Segoe UI"/>
          <w:bCs/>
          <w:iCs/>
          <w:sz w:val="24"/>
          <w:szCs w:val="26"/>
        </w:rPr>
        <w:t>ssur</w:t>
      </w:r>
      <w:r w:rsidR="003579E4" w:rsidRPr="00215B3D">
        <w:rPr>
          <w:rFonts w:ascii="Segoe UI" w:hAnsi="Segoe UI" w:cs="Segoe UI"/>
          <w:bCs/>
          <w:iCs/>
          <w:sz w:val="24"/>
          <w:szCs w:val="26"/>
        </w:rPr>
        <w:t xml:space="preserve">ées à hauteur de </w:t>
      </w:r>
      <w:r w:rsidR="004E6D1A" w:rsidRPr="00215B3D">
        <w:rPr>
          <w:rFonts w:ascii="Segoe UI" w:hAnsi="Segoe UI" w:cs="Segoe UI"/>
          <w:b/>
          <w:bCs/>
          <w:iCs/>
          <w:sz w:val="24"/>
          <w:szCs w:val="26"/>
        </w:rPr>
        <w:t>44</w:t>
      </w:r>
      <w:r w:rsidR="00B732FD" w:rsidRPr="00215B3D">
        <w:rPr>
          <w:rFonts w:ascii="Segoe UI" w:hAnsi="Segoe UI" w:cs="Segoe UI"/>
          <w:b/>
          <w:bCs/>
          <w:iCs/>
          <w:sz w:val="24"/>
          <w:szCs w:val="26"/>
        </w:rPr>
        <w:t>,7</w:t>
      </w:r>
      <w:r w:rsidR="00B24E5D" w:rsidRPr="00215B3D">
        <w:rPr>
          <w:rFonts w:ascii="Segoe UI" w:hAnsi="Segoe UI" w:cs="Segoe UI"/>
          <w:b/>
          <w:bCs/>
          <w:iCs/>
          <w:sz w:val="24"/>
          <w:szCs w:val="26"/>
        </w:rPr>
        <w:t>%</w:t>
      </w:r>
      <w:r w:rsidR="00B93BA1" w:rsidRPr="00215B3D">
        <w:rPr>
          <w:rFonts w:ascii="Segoe UI" w:hAnsi="Segoe UI" w:cs="Segoe UI"/>
          <w:bCs/>
          <w:iCs/>
          <w:sz w:val="24"/>
          <w:szCs w:val="26"/>
        </w:rPr>
        <w:t>, soit</w:t>
      </w:r>
      <w:r w:rsidR="00F64D87" w:rsidRPr="00215B3D">
        <w:rPr>
          <w:rFonts w:ascii="Segoe UI" w:hAnsi="Segoe UI" w:cs="Segoe UI"/>
          <w:bCs/>
          <w:iCs/>
          <w:sz w:val="24"/>
          <w:szCs w:val="26"/>
        </w:rPr>
        <w:t xml:space="preserve"> </w:t>
      </w:r>
      <w:r w:rsidR="00100A7A" w:rsidRPr="00215B3D">
        <w:rPr>
          <w:rFonts w:ascii="Segoe UI" w:hAnsi="Segoe UI" w:cs="Segoe UI"/>
          <w:bCs/>
          <w:iCs/>
          <w:sz w:val="24"/>
          <w:szCs w:val="26"/>
        </w:rPr>
        <w:t xml:space="preserve">pour </w:t>
      </w:r>
      <w:r w:rsidR="00B93BA1" w:rsidRPr="00215B3D">
        <w:rPr>
          <w:rFonts w:ascii="Segoe UI" w:hAnsi="Segoe UI" w:cs="Segoe UI"/>
          <w:bCs/>
          <w:iCs/>
          <w:sz w:val="24"/>
          <w:szCs w:val="26"/>
        </w:rPr>
        <w:t>un montant engagé de</w:t>
      </w:r>
      <w:r w:rsidR="00F64D87" w:rsidRPr="00215B3D">
        <w:rPr>
          <w:rFonts w:ascii="Segoe UI" w:hAnsi="Segoe UI" w:cs="Segoe UI"/>
          <w:bCs/>
          <w:iCs/>
          <w:sz w:val="24"/>
          <w:szCs w:val="26"/>
        </w:rPr>
        <w:t xml:space="preserve"> </w:t>
      </w:r>
      <w:r w:rsidR="004E6D1A" w:rsidRPr="00215B3D">
        <w:rPr>
          <w:rFonts w:ascii="Segoe UI" w:hAnsi="Segoe UI" w:cs="Segoe UI"/>
          <w:b/>
          <w:bCs/>
          <w:iCs/>
          <w:sz w:val="24"/>
          <w:szCs w:val="26"/>
        </w:rPr>
        <w:t>8 424,1</w:t>
      </w:r>
      <w:r w:rsidR="003579E4" w:rsidRPr="00215B3D">
        <w:rPr>
          <w:rFonts w:ascii="Segoe UI" w:hAnsi="Segoe UI" w:cs="Segoe UI"/>
          <w:b/>
          <w:bCs/>
          <w:iCs/>
          <w:sz w:val="24"/>
          <w:szCs w:val="26"/>
        </w:rPr>
        <w:t xml:space="preserve"> millions de FCFA</w:t>
      </w:r>
      <w:r w:rsidR="004263C0" w:rsidRPr="00215B3D">
        <w:rPr>
          <w:rFonts w:ascii="Segoe UI" w:hAnsi="Segoe UI" w:cs="Segoe UI"/>
          <w:bCs/>
          <w:iCs/>
          <w:sz w:val="24"/>
          <w:szCs w:val="26"/>
        </w:rPr>
        <w:t xml:space="preserve"> sur une prévision de 18 850 millions de FCFA</w:t>
      </w:r>
      <w:r w:rsidR="00B24E5D" w:rsidRPr="00215B3D">
        <w:rPr>
          <w:rFonts w:ascii="Segoe UI" w:hAnsi="Segoe UI" w:cs="Segoe UI"/>
          <w:bCs/>
          <w:iCs/>
          <w:sz w:val="24"/>
          <w:szCs w:val="26"/>
        </w:rPr>
        <w:t>.</w:t>
      </w:r>
    </w:p>
    <w:p w:rsidR="004263C0" w:rsidRPr="00215B3D" w:rsidRDefault="004263C0" w:rsidP="004263C0">
      <w:pPr>
        <w:pStyle w:val="Paragraphedeliste"/>
        <w:spacing w:after="0" w:line="360" w:lineRule="auto"/>
        <w:ind w:left="0"/>
        <w:jc w:val="both"/>
        <w:rPr>
          <w:rFonts w:ascii="Segoe UI" w:hAnsi="Segoe UI" w:cs="Segoe UI"/>
          <w:b/>
          <w:bCs/>
          <w:i/>
          <w:iCs/>
          <w:sz w:val="24"/>
          <w:szCs w:val="26"/>
        </w:rPr>
      </w:pPr>
      <w:r w:rsidRPr="00215B3D">
        <w:rPr>
          <w:rFonts w:ascii="Segoe UI" w:hAnsi="Segoe UI" w:cs="Segoe UI"/>
          <w:b/>
          <w:bCs/>
          <w:i/>
          <w:iCs/>
          <w:sz w:val="24"/>
          <w:szCs w:val="26"/>
        </w:rPr>
        <w:lastRenderedPageBreak/>
        <w:t xml:space="preserve">Ce niveau d’exécution </w:t>
      </w:r>
      <w:r w:rsidR="00A14939">
        <w:rPr>
          <w:rFonts w:ascii="Segoe UI" w:hAnsi="Segoe UI" w:cs="Segoe UI"/>
          <w:b/>
          <w:bCs/>
          <w:i/>
          <w:iCs/>
          <w:sz w:val="24"/>
          <w:szCs w:val="26"/>
        </w:rPr>
        <w:t xml:space="preserve">observé à fin juin 2017 </w:t>
      </w:r>
      <w:r w:rsidRPr="00215B3D">
        <w:rPr>
          <w:rFonts w:ascii="Segoe UI" w:hAnsi="Segoe UI" w:cs="Segoe UI"/>
          <w:b/>
          <w:bCs/>
          <w:i/>
          <w:iCs/>
          <w:sz w:val="24"/>
          <w:szCs w:val="26"/>
        </w:rPr>
        <w:t xml:space="preserve">est conforme au calendrier </w:t>
      </w:r>
      <w:r w:rsidR="00A14939">
        <w:rPr>
          <w:rFonts w:ascii="Segoe UI" w:hAnsi="Segoe UI" w:cs="Segoe UI"/>
          <w:b/>
          <w:bCs/>
          <w:i/>
          <w:iCs/>
          <w:sz w:val="24"/>
          <w:szCs w:val="26"/>
        </w:rPr>
        <w:t xml:space="preserve">de </w:t>
      </w:r>
      <w:r w:rsidR="00A14939" w:rsidRPr="00AD698E">
        <w:rPr>
          <w:rFonts w:ascii="Segoe UI" w:hAnsi="Segoe UI" w:cs="Segoe UI"/>
          <w:b/>
          <w:bCs/>
          <w:i/>
          <w:iCs/>
          <w:sz w:val="24"/>
          <w:szCs w:val="26"/>
        </w:rPr>
        <w:t xml:space="preserve">comptabilisation </w:t>
      </w:r>
      <w:r w:rsidRPr="00AD698E">
        <w:rPr>
          <w:rFonts w:ascii="Segoe UI" w:hAnsi="Segoe UI" w:cs="Segoe UI"/>
          <w:b/>
          <w:bCs/>
          <w:i/>
          <w:iCs/>
          <w:sz w:val="24"/>
          <w:szCs w:val="26"/>
        </w:rPr>
        <w:t>des échéances de remboursement de la dette publique</w:t>
      </w:r>
      <w:r w:rsidR="00A14939">
        <w:rPr>
          <w:rFonts w:ascii="Segoe UI" w:hAnsi="Segoe UI" w:cs="Segoe UI"/>
          <w:b/>
          <w:bCs/>
          <w:i/>
          <w:iCs/>
          <w:sz w:val="24"/>
          <w:szCs w:val="26"/>
        </w:rPr>
        <w:t xml:space="preserve"> avec une prédominance des intérêts précomptés sur la mobilisation des bons du Trésor</w:t>
      </w:r>
      <w:r w:rsidRPr="00215B3D">
        <w:rPr>
          <w:rFonts w:ascii="Segoe UI" w:hAnsi="Segoe UI" w:cs="Segoe UI"/>
          <w:b/>
          <w:bCs/>
          <w:i/>
          <w:iCs/>
          <w:sz w:val="24"/>
          <w:szCs w:val="26"/>
        </w:rPr>
        <w:t>.</w:t>
      </w:r>
    </w:p>
    <w:p w:rsidR="00E22E39" w:rsidRPr="0074636F" w:rsidRDefault="00E22E39" w:rsidP="00E22E39">
      <w:pPr>
        <w:spacing w:after="0" w:line="360" w:lineRule="auto"/>
        <w:jc w:val="both"/>
        <w:rPr>
          <w:rFonts w:ascii="Segoe UI" w:hAnsi="Segoe UI" w:cs="Segoe UI"/>
          <w:bCs/>
          <w:iCs/>
          <w:sz w:val="6"/>
          <w:szCs w:val="26"/>
        </w:rPr>
      </w:pPr>
    </w:p>
    <w:p w:rsidR="00317E3D" w:rsidRPr="00215B3D" w:rsidRDefault="00DB7375" w:rsidP="004A1038">
      <w:pPr>
        <w:rPr>
          <w:rFonts w:ascii="Segoe UI" w:hAnsi="Segoe UI" w:cs="Segoe UI"/>
          <w:b/>
          <w:sz w:val="26"/>
          <w:szCs w:val="26"/>
        </w:rPr>
      </w:pPr>
      <w:r w:rsidRPr="00215B3D">
        <w:rPr>
          <w:rFonts w:ascii="Segoe UI" w:hAnsi="Segoe UI" w:cs="Segoe UI"/>
          <w:b/>
          <w:sz w:val="26"/>
          <w:szCs w:val="26"/>
        </w:rPr>
        <w:t>B-</w:t>
      </w:r>
      <w:r w:rsidR="00BD1603" w:rsidRPr="00215B3D">
        <w:rPr>
          <w:rFonts w:ascii="Segoe UI" w:hAnsi="Segoe UI" w:cs="Segoe UI"/>
          <w:b/>
          <w:sz w:val="26"/>
          <w:szCs w:val="26"/>
        </w:rPr>
        <w:t>1-</w:t>
      </w:r>
      <w:r w:rsidRPr="00215B3D">
        <w:rPr>
          <w:rFonts w:ascii="Segoe UI" w:hAnsi="Segoe UI" w:cs="Segoe UI"/>
          <w:b/>
          <w:sz w:val="26"/>
          <w:szCs w:val="26"/>
        </w:rPr>
        <w:t>1-2 Dépenses de personnel</w:t>
      </w:r>
      <w:r w:rsidR="00557478">
        <w:rPr>
          <w:rFonts w:ascii="Segoe UI" w:hAnsi="Segoe UI" w:cs="Segoe UI"/>
          <w:b/>
          <w:sz w:val="26"/>
          <w:szCs w:val="26"/>
        </w:rPr>
        <w:t xml:space="preserve"> </w:t>
      </w:r>
    </w:p>
    <w:p w:rsidR="00557478" w:rsidRDefault="00EE6DBD" w:rsidP="00C12CBD">
      <w:pPr>
        <w:tabs>
          <w:tab w:val="left" w:pos="426"/>
        </w:tabs>
        <w:spacing w:after="120" w:line="360" w:lineRule="auto"/>
        <w:jc w:val="both"/>
        <w:rPr>
          <w:rFonts w:ascii="Segoe UI" w:hAnsi="Segoe UI" w:cs="Segoe UI"/>
          <w:b/>
          <w:sz w:val="24"/>
          <w:szCs w:val="26"/>
        </w:rPr>
      </w:pPr>
      <w:r w:rsidRPr="00215B3D">
        <w:rPr>
          <w:rFonts w:ascii="Segoe UI" w:hAnsi="Segoe UI" w:cs="Segoe UI"/>
          <w:sz w:val="24"/>
          <w:szCs w:val="26"/>
        </w:rPr>
        <w:t xml:space="preserve">Sur une prévision annuelle de </w:t>
      </w:r>
      <w:r w:rsidR="009F4F75" w:rsidRPr="00215B3D">
        <w:rPr>
          <w:rFonts w:ascii="Segoe UI" w:hAnsi="Segoe UI" w:cs="Segoe UI"/>
          <w:sz w:val="24"/>
          <w:szCs w:val="26"/>
        </w:rPr>
        <w:t>354 628</w:t>
      </w:r>
      <w:r w:rsidRPr="00215B3D">
        <w:rPr>
          <w:rFonts w:ascii="Segoe UI" w:hAnsi="Segoe UI" w:cs="Segoe UI"/>
          <w:sz w:val="24"/>
          <w:szCs w:val="26"/>
        </w:rPr>
        <w:t xml:space="preserve"> millions de FCFA, </w:t>
      </w:r>
      <w:r w:rsidR="00557478">
        <w:rPr>
          <w:rFonts w:ascii="Segoe UI" w:hAnsi="Segoe UI" w:cs="Segoe UI"/>
          <w:sz w:val="24"/>
          <w:szCs w:val="26"/>
        </w:rPr>
        <w:t xml:space="preserve">elles s’établissent en engagement à 168 633,0 </w:t>
      </w:r>
      <w:r w:rsidR="00557478" w:rsidRPr="00215B3D">
        <w:rPr>
          <w:rFonts w:ascii="Segoe UI" w:hAnsi="Segoe UI" w:cs="Segoe UI"/>
          <w:sz w:val="24"/>
          <w:szCs w:val="26"/>
        </w:rPr>
        <w:t>millions de FCFA</w:t>
      </w:r>
      <w:r w:rsidR="00557478">
        <w:rPr>
          <w:rFonts w:ascii="Segoe UI" w:hAnsi="Segoe UI" w:cs="Segoe UI"/>
          <w:sz w:val="24"/>
          <w:szCs w:val="26"/>
        </w:rPr>
        <w:t xml:space="preserve"> contre 189 959,7 </w:t>
      </w:r>
      <w:r w:rsidR="00557478" w:rsidRPr="00215B3D">
        <w:rPr>
          <w:rFonts w:ascii="Segoe UI" w:hAnsi="Segoe UI" w:cs="Segoe UI"/>
          <w:sz w:val="24"/>
          <w:szCs w:val="26"/>
        </w:rPr>
        <w:t>millions de FCFA</w:t>
      </w:r>
      <w:r w:rsidR="00557478" w:rsidRPr="00557478">
        <w:rPr>
          <w:rFonts w:ascii="Segoe UI" w:hAnsi="Segoe UI" w:cs="Segoe UI"/>
          <w:b/>
          <w:sz w:val="26"/>
          <w:szCs w:val="26"/>
        </w:rPr>
        <w:t xml:space="preserve"> </w:t>
      </w:r>
      <w:r w:rsidR="00557478" w:rsidRPr="00557478">
        <w:rPr>
          <w:rFonts w:ascii="Segoe UI" w:hAnsi="Segoe UI" w:cs="Segoe UI"/>
          <w:sz w:val="26"/>
          <w:szCs w:val="26"/>
        </w:rPr>
        <w:t>il y a un an</w:t>
      </w:r>
      <w:r w:rsidR="00557478">
        <w:rPr>
          <w:rFonts w:ascii="Segoe UI" w:hAnsi="Segoe UI" w:cs="Segoe UI"/>
          <w:sz w:val="26"/>
          <w:szCs w:val="26"/>
        </w:rPr>
        <w:t xml:space="preserve">, en baisse de 21 326,7 </w:t>
      </w:r>
      <w:r w:rsidR="00557478" w:rsidRPr="00215B3D">
        <w:rPr>
          <w:rFonts w:ascii="Segoe UI" w:hAnsi="Segoe UI" w:cs="Segoe UI"/>
          <w:sz w:val="24"/>
          <w:szCs w:val="26"/>
        </w:rPr>
        <w:t>millions de FCFA</w:t>
      </w:r>
      <w:r w:rsidR="00557478">
        <w:rPr>
          <w:rFonts w:ascii="Segoe UI" w:hAnsi="Segoe UI" w:cs="Segoe UI"/>
          <w:sz w:val="24"/>
          <w:szCs w:val="26"/>
        </w:rPr>
        <w:t xml:space="preserve">. Il </w:t>
      </w:r>
      <w:r w:rsidR="005A0067">
        <w:rPr>
          <w:rFonts w:ascii="Segoe UI" w:hAnsi="Segoe UI" w:cs="Segoe UI"/>
          <w:sz w:val="24"/>
          <w:szCs w:val="26"/>
        </w:rPr>
        <w:t xml:space="preserve">en </w:t>
      </w:r>
      <w:r w:rsidR="00557478">
        <w:rPr>
          <w:rFonts w:ascii="Segoe UI" w:hAnsi="Segoe UI" w:cs="Segoe UI"/>
          <w:sz w:val="24"/>
          <w:szCs w:val="26"/>
        </w:rPr>
        <w:t>ressort respectivement des taux d’exécution de</w:t>
      </w:r>
      <w:r w:rsidR="00557478" w:rsidRPr="00215B3D">
        <w:rPr>
          <w:rFonts w:ascii="Segoe UI" w:hAnsi="Segoe UI" w:cs="Segoe UI"/>
          <w:sz w:val="24"/>
          <w:szCs w:val="26"/>
        </w:rPr>
        <w:t xml:space="preserve"> </w:t>
      </w:r>
      <w:r w:rsidR="00557478" w:rsidRPr="00215B3D">
        <w:rPr>
          <w:rFonts w:ascii="Segoe UI" w:hAnsi="Segoe UI" w:cs="Segoe UI"/>
          <w:b/>
          <w:sz w:val="24"/>
          <w:szCs w:val="26"/>
        </w:rPr>
        <w:t>47,6%</w:t>
      </w:r>
      <w:r w:rsidR="00557478">
        <w:rPr>
          <w:rFonts w:ascii="Segoe UI" w:hAnsi="Segoe UI" w:cs="Segoe UI"/>
          <w:sz w:val="24"/>
          <w:szCs w:val="26"/>
        </w:rPr>
        <w:t xml:space="preserve"> et </w:t>
      </w:r>
      <w:r w:rsidR="00557478" w:rsidRPr="00557478">
        <w:rPr>
          <w:rFonts w:ascii="Segoe UI" w:hAnsi="Segoe UI" w:cs="Segoe UI"/>
          <w:b/>
          <w:sz w:val="24"/>
          <w:szCs w:val="26"/>
        </w:rPr>
        <w:t>54,9%</w:t>
      </w:r>
      <w:r w:rsidR="00557478">
        <w:rPr>
          <w:rFonts w:ascii="Segoe UI" w:hAnsi="Segoe UI" w:cs="Segoe UI"/>
          <w:b/>
          <w:sz w:val="24"/>
          <w:szCs w:val="26"/>
        </w:rPr>
        <w:t xml:space="preserve">.  </w:t>
      </w:r>
      <w:r w:rsidR="00557478" w:rsidRPr="00A559E7">
        <w:rPr>
          <w:rFonts w:ascii="Segoe UI" w:hAnsi="Segoe UI" w:cs="Segoe UI"/>
          <w:sz w:val="24"/>
          <w:szCs w:val="26"/>
        </w:rPr>
        <w:t>La baisse notée se justifie particulièrement par :</w:t>
      </w:r>
    </w:p>
    <w:p w:rsidR="00557478" w:rsidRPr="00E02599" w:rsidRDefault="00557478" w:rsidP="00557478">
      <w:pPr>
        <w:pStyle w:val="Paragraphedeliste"/>
        <w:numPr>
          <w:ilvl w:val="0"/>
          <w:numId w:val="19"/>
        </w:numPr>
        <w:tabs>
          <w:tab w:val="left" w:pos="426"/>
        </w:tabs>
        <w:spacing w:after="120" w:line="360" w:lineRule="auto"/>
        <w:jc w:val="both"/>
        <w:rPr>
          <w:rFonts w:ascii="Segoe UI" w:hAnsi="Segoe UI" w:cs="Segoe UI"/>
          <w:b/>
          <w:i/>
          <w:sz w:val="24"/>
          <w:szCs w:val="26"/>
        </w:rPr>
      </w:pPr>
      <w:r w:rsidRPr="00E02599">
        <w:rPr>
          <w:rFonts w:ascii="Segoe UI" w:hAnsi="Segoe UI" w:cs="Segoe UI"/>
          <w:b/>
          <w:i/>
          <w:sz w:val="24"/>
          <w:szCs w:val="26"/>
        </w:rPr>
        <w:t xml:space="preserve">le retard observé dans les recrutements au profit de l’administration publique avec pour </w:t>
      </w:r>
      <w:r w:rsidR="00A559E7" w:rsidRPr="00E02599">
        <w:rPr>
          <w:rFonts w:ascii="Segoe UI" w:hAnsi="Segoe UI" w:cs="Segoe UI"/>
          <w:b/>
          <w:i/>
          <w:sz w:val="24"/>
          <w:szCs w:val="26"/>
        </w:rPr>
        <w:t>conséquen</w:t>
      </w:r>
      <w:r w:rsidR="00045946" w:rsidRPr="00E02599">
        <w:rPr>
          <w:rFonts w:ascii="Segoe UI" w:hAnsi="Segoe UI" w:cs="Segoe UI"/>
          <w:b/>
          <w:i/>
          <w:sz w:val="24"/>
          <w:szCs w:val="26"/>
        </w:rPr>
        <w:t xml:space="preserve">ce </w:t>
      </w:r>
      <w:r w:rsidRPr="00E02599">
        <w:rPr>
          <w:rFonts w:ascii="Segoe UI" w:hAnsi="Segoe UI" w:cs="Segoe UI"/>
          <w:b/>
          <w:i/>
          <w:sz w:val="24"/>
          <w:szCs w:val="26"/>
        </w:rPr>
        <w:t xml:space="preserve">le changement des hypothèses de </w:t>
      </w:r>
      <w:r w:rsidR="00080E9E" w:rsidRPr="00E02599">
        <w:rPr>
          <w:rFonts w:ascii="Segoe UI" w:hAnsi="Segoe UI" w:cs="Segoe UI"/>
          <w:b/>
          <w:i/>
          <w:sz w:val="24"/>
          <w:szCs w:val="26"/>
        </w:rPr>
        <w:t xml:space="preserve">base </w:t>
      </w:r>
      <w:r w:rsidRPr="00E02599">
        <w:rPr>
          <w:rFonts w:ascii="Segoe UI" w:hAnsi="Segoe UI" w:cs="Segoe UI"/>
          <w:b/>
          <w:i/>
          <w:sz w:val="24"/>
          <w:szCs w:val="26"/>
        </w:rPr>
        <w:t xml:space="preserve">qui </w:t>
      </w:r>
      <w:r w:rsidR="00080E9E" w:rsidRPr="00E02599">
        <w:rPr>
          <w:rFonts w:ascii="Segoe UI" w:hAnsi="Segoe UI" w:cs="Segoe UI"/>
          <w:b/>
          <w:i/>
          <w:sz w:val="24"/>
          <w:szCs w:val="26"/>
        </w:rPr>
        <w:t xml:space="preserve">a </w:t>
      </w:r>
      <w:r w:rsidRPr="00E02599">
        <w:rPr>
          <w:rFonts w:ascii="Segoe UI" w:hAnsi="Segoe UI" w:cs="Segoe UI"/>
          <w:b/>
          <w:i/>
          <w:sz w:val="24"/>
          <w:szCs w:val="26"/>
        </w:rPr>
        <w:t>permis de faire face à plusieurs aléas de gestion (dégel</w:t>
      </w:r>
      <w:r w:rsidR="00A559E7" w:rsidRPr="00E02599">
        <w:rPr>
          <w:rFonts w:ascii="Segoe UI" w:hAnsi="Segoe UI" w:cs="Segoe UI"/>
          <w:b/>
          <w:i/>
          <w:sz w:val="24"/>
          <w:szCs w:val="26"/>
        </w:rPr>
        <w:t xml:space="preserve"> de l’avancement des agents contractuels de l’Etat) ;</w:t>
      </w:r>
    </w:p>
    <w:p w:rsidR="00A559E7" w:rsidRPr="00E02599" w:rsidRDefault="00A559E7" w:rsidP="00557478">
      <w:pPr>
        <w:pStyle w:val="Paragraphedeliste"/>
        <w:numPr>
          <w:ilvl w:val="0"/>
          <w:numId w:val="19"/>
        </w:numPr>
        <w:tabs>
          <w:tab w:val="left" w:pos="426"/>
        </w:tabs>
        <w:spacing w:after="120" w:line="360" w:lineRule="auto"/>
        <w:jc w:val="both"/>
        <w:rPr>
          <w:rFonts w:ascii="Segoe UI" w:hAnsi="Segoe UI" w:cs="Segoe UI"/>
          <w:b/>
          <w:i/>
          <w:sz w:val="24"/>
          <w:szCs w:val="26"/>
        </w:rPr>
      </w:pPr>
      <w:r w:rsidRPr="00E02599">
        <w:rPr>
          <w:rFonts w:ascii="Segoe UI" w:hAnsi="Segoe UI" w:cs="Segoe UI"/>
          <w:b/>
          <w:i/>
          <w:sz w:val="24"/>
          <w:szCs w:val="26"/>
        </w:rPr>
        <w:t>le retard observé dans la prise des contrats des Enseignan</w:t>
      </w:r>
      <w:r w:rsidR="00B82FF6" w:rsidRPr="00E02599">
        <w:rPr>
          <w:rFonts w:ascii="Segoe UI" w:hAnsi="Segoe UI" w:cs="Segoe UI"/>
          <w:b/>
          <w:i/>
          <w:sz w:val="24"/>
          <w:szCs w:val="26"/>
        </w:rPr>
        <w:t xml:space="preserve">ts nouvellement recrutés qui </w:t>
      </w:r>
      <w:r w:rsidRPr="00E02599">
        <w:rPr>
          <w:rFonts w:ascii="Segoe UI" w:hAnsi="Segoe UI" w:cs="Segoe UI"/>
          <w:b/>
          <w:i/>
          <w:sz w:val="24"/>
          <w:szCs w:val="26"/>
        </w:rPr>
        <w:t>sera rattrapé au deuxième semestre</w:t>
      </w:r>
      <w:r w:rsidR="00045946" w:rsidRPr="00E02599">
        <w:rPr>
          <w:rFonts w:ascii="Segoe UI" w:hAnsi="Segoe UI" w:cs="Segoe UI"/>
          <w:b/>
          <w:i/>
          <w:sz w:val="24"/>
          <w:szCs w:val="26"/>
        </w:rPr>
        <w:t xml:space="preserve"> avec le</w:t>
      </w:r>
      <w:r w:rsidRPr="00E02599">
        <w:rPr>
          <w:rFonts w:ascii="Segoe UI" w:hAnsi="Segoe UI" w:cs="Segoe UI"/>
          <w:b/>
          <w:i/>
          <w:sz w:val="24"/>
          <w:szCs w:val="26"/>
        </w:rPr>
        <w:t xml:space="preserve"> mandatement effectif de leurs salaires</w:t>
      </w:r>
      <w:r w:rsidR="00045946" w:rsidRPr="00E02599">
        <w:rPr>
          <w:rFonts w:ascii="Segoe UI" w:hAnsi="Segoe UI" w:cs="Segoe UI"/>
          <w:b/>
          <w:i/>
          <w:sz w:val="24"/>
          <w:szCs w:val="26"/>
        </w:rPr>
        <w:t>.</w:t>
      </w:r>
    </w:p>
    <w:p w:rsidR="00C42C00" w:rsidRPr="0074636F" w:rsidRDefault="00C42C00" w:rsidP="0044763D">
      <w:pPr>
        <w:pStyle w:val="Paragraphedeliste"/>
        <w:tabs>
          <w:tab w:val="left" w:pos="426"/>
        </w:tabs>
        <w:spacing w:before="120" w:after="120" w:line="360" w:lineRule="auto"/>
        <w:ind w:left="0"/>
        <w:jc w:val="both"/>
        <w:rPr>
          <w:rFonts w:ascii="Segoe UI" w:hAnsi="Segoe UI" w:cs="Segoe UI"/>
          <w:b/>
          <w:i/>
          <w:sz w:val="2"/>
          <w:szCs w:val="26"/>
        </w:rPr>
      </w:pPr>
    </w:p>
    <w:p w:rsidR="00317E3D" w:rsidRPr="00215B3D" w:rsidRDefault="001D1A31" w:rsidP="004A1038">
      <w:pPr>
        <w:rPr>
          <w:rFonts w:ascii="Segoe UI" w:hAnsi="Segoe UI" w:cs="Segoe UI"/>
          <w:b/>
          <w:sz w:val="26"/>
          <w:szCs w:val="26"/>
        </w:rPr>
      </w:pPr>
      <w:r w:rsidRPr="00215B3D">
        <w:rPr>
          <w:rFonts w:ascii="Segoe UI" w:hAnsi="Segoe UI" w:cs="Segoe UI"/>
          <w:b/>
          <w:sz w:val="26"/>
          <w:szCs w:val="26"/>
        </w:rPr>
        <w:t>B-</w:t>
      </w:r>
      <w:r w:rsidR="00BD1603" w:rsidRPr="00215B3D">
        <w:rPr>
          <w:rFonts w:ascii="Segoe UI" w:hAnsi="Segoe UI" w:cs="Segoe UI"/>
          <w:b/>
          <w:sz w:val="26"/>
          <w:szCs w:val="26"/>
        </w:rPr>
        <w:t>1-</w:t>
      </w:r>
      <w:r w:rsidRPr="00215B3D">
        <w:rPr>
          <w:rFonts w:ascii="Segoe UI" w:hAnsi="Segoe UI" w:cs="Segoe UI"/>
          <w:b/>
          <w:sz w:val="26"/>
          <w:szCs w:val="26"/>
        </w:rPr>
        <w:t xml:space="preserve">1-3 Dépenses d’acquisitions de biens </w:t>
      </w:r>
      <w:r w:rsidR="00552350" w:rsidRPr="00215B3D">
        <w:rPr>
          <w:rFonts w:ascii="Segoe UI" w:hAnsi="Segoe UI" w:cs="Segoe UI"/>
          <w:b/>
          <w:sz w:val="26"/>
          <w:szCs w:val="26"/>
        </w:rPr>
        <w:t>et services</w:t>
      </w:r>
    </w:p>
    <w:p w:rsidR="00D22952" w:rsidRPr="00215B3D" w:rsidRDefault="00F445C2" w:rsidP="005E6E8C">
      <w:pPr>
        <w:tabs>
          <w:tab w:val="left" w:pos="426"/>
        </w:tabs>
        <w:spacing w:after="120" w:line="360" w:lineRule="auto"/>
        <w:jc w:val="both"/>
        <w:rPr>
          <w:rFonts w:ascii="Segoe UI" w:hAnsi="Segoe UI" w:cs="Segoe UI"/>
          <w:sz w:val="24"/>
          <w:szCs w:val="26"/>
        </w:rPr>
      </w:pPr>
      <w:r w:rsidRPr="00215B3D">
        <w:rPr>
          <w:rFonts w:ascii="Segoe UI" w:hAnsi="Segoe UI" w:cs="Segoe UI"/>
          <w:sz w:val="24"/>
          <w:szCs w:val="26"/>
        </w:rPr>
        <w:t xml:space="preserve">Les dépenses d’acquisitions de biens et services comprennent les dépenses d’achats de biens et services et celles d’acquisitions et grosses réparations du matériel et mobilier. </w:t>
      </w:r>
      <w:r w:rsidR="00E13857" w:rsidRPr="00215B3D">
        <w:rPr>
          <w:rFonts w:ascii="Segoe UI" w:hAnsi="Segoe UI" w:cs="Segoe UI"/>
          <w:sz w:val="24"/>
          <w:szCs w:val="26"/>
        </w:rPr>
        <w:t>Au 3</w:t>
      </w:r>
      <w:r w:rsidR="00C230DB" w:rsidRPr="00215B3D">
        <w:rPr>
          <w:rFonts w:ascii="Segoe UI" w:hAnsi="Segoe UI" w:cs="Segoe UI"/>
          <w:sz w:val="24"/>
          <w:szCs w:val="26"/>
        </w:rPr>
        <w:t>0</w:t>
      </w:r>
      <w:r w:rsidR="00F64D87" w:rsidRPr="00215B3D">
        <w:rPr>
          <w:rFonts w:ascii="Segoe UI" w:hAnsi="Segoe UI" w:cs="Segoe UI"/>
          <w:sz w:val="24"/>
          <w:szCs w:val="26"/>
        </w:rPr>
        <w:t xml:space="preserve"> </w:t>
      </w:r>
      <w:r w:rsidR="00C230DB" w:rsidRPr="00215B3D">
        <w:rPr>
          <w:rFonts w:ascii="Segoe UI" w:hAnsi="Segoe UI" w:cs="Segoe UI"/>
          <w:sz w:val="24"/>
          <w:szCs w:val="26"/>
        </w:rPr>
        <w:t>juin</w:t>
      </w:r>
      <w:r w:rsidR="00E13857" w:rsidRPr="00215B3D">
        <w:rPr>
          <w:rFonts w:ascii="Segoe UI" w:hAnsi="Segoe UI" w:cs="Segoe UI"/>
          <w:sz w:val="24"/>
          <w:szCs w:val="26"/>
        </w:rPr>
        <w:t xml:space="preserve"> 201</w:t>
      </w:r>
      <w:r w:rsidR="00C230DB" w:rsidRPr="00215B3D">
        <w:rPr>
          <w:rFonts w:ascii="Segoe UI" w:hAnsi="Segoe UI" w:cs="Segoe UI"/>
          <w:sz w:val="24"/>
          <w:szCs w:val="26"/>
        </w:rPr>
        <w:t>7</w:t>
      </w:r>
      <w:r w:rsidR="00E13857" w:rsidRPr="00215B3D">
        <w:rPr>
          <w:rFonts w:ascii="Segoe UI" w:hAnsi="Segoe UI" w:cs="Segoe UI"/>
          <w:sz w:val="24"/>
          <w:szCs w:val="26"/>
        </w:rPr>
        <w:t xml:space="preserve">, </w:t>
      </w:r>
      <w:r w:rsidRPr="00215B3D">
        <w:rPr>
          <w:rFonts w:ascii="Segoe UI" w:hAnsi="Segoe UI" w:cs="Segoe UI"/>
          <w:sz w:val="24"/>
          <w:szCs w:val="26"/>
        </w:rPr>
        <w:t>el</w:t>
      </w:r>
      <w:r w:rsidR="00E13857" w:rsidRPr="00215B3D">
        <w:rPr>
          <w:rFonts w:ascii="Segoe UI" w:hAnsi="Segoe UI" w:cs="Segoe UI"/>
          <w:sz w:val="24"/>
          <w:szCs w:val="26"/>
        </w:rPr>
        <w:t>l</w:t>
      </w:r>
      <w:r w:rsidR="00D73A01" w:rsidRPr="00215B3D">
        <w:rPr>
          <w:rFonts w:ascii="Segoe UI" w:hAnsi="Segoe UI" w:cs="Segoe UI"/>
          <w:sz w:val="24"/>
          <w:szCs w:val="26"/>
        </w:rPr>
        <w:t>es sont engagées</w:t>
      </w:r>
      <w:r w:rsidR="00F64D87" w:rsidRPr="00215B3D">
        <w:rPr>
          <w:rFonts w:ascii="Segoe UI" w:hAnsi="Segoe UI" w:cs="Segoe UI"/>
          <w:sz w:val="24"/>
          <w:szCs w:val="26"/>
        </w:rPr>
        <w:t xml:space="preserve"> </w:t>
      </w:r>
      <w:r w:rsidR="008414C2" w:rsidRPr="00215B3D">
        <w:rPr>
          <w:rFonts w:ascii="Segoe UI" w:hAnsi="Segoe UI" w:cs="Segoe UI"/>
          <w:sz w:val="24"/>
          <w:szCs w:val="26"/>
        </w:rPr>
        <w:t>à</w:t>
      </w:r>
      <w:r w:rsidR="00D73A01" w:rsidRPr="00215B3D">
        <w:rPr>
          <w:rFonts w:ascii="Segoe UI" w:hAnsi="Segoe UI" w:cs="Segoe UI"/>
          <w:sz w:val="24"/>
          <w:szCs w:val="26"/>
        </w:rPr>
        <w:t xml:space="preserve"> concurrence de </w:t>
      </w:r>
      <w:r w:rsidR="00C230DB" w:rsidRPr="00215B3D">
        <w:rPr>
          <w:rFonts w:ascii="Segoe UI" w:hAnsi="Segoe UI" w:cs="Segoe UI"/>
          <w:b/>
          <w:sz w:val="24"/>
          <w:szCs w:val="26"/>
        </w:rPr>
        <w:t>49 870</w:t>
      </w:r>
      <w:r w:rsidR="00F64D87" w:rsidRPr="00215B3D">
        <w:rPr>
          <w:rFonts w:ascii="Segoe UI" w:hAnsi="Segoe UI" w:cs="Segoe UI"/>
          <w:b/>
          <w:sz w:val="24"/>
          <w:szCs w:val="26"/>
        </w:rPr>
        <w:t xml:space="preserve"> </w:t>
      </w:r>
      <w:r w:rsidR="00E13857" w:rsidRPr="00215B3D">
        <w:rPr>
          <w:rFonts w:ascii="Segoe UI" w:hAnsi="Segoe UI" w:cs="Segoe UI"/>
          <w:b/>
          <w:sz w:val="24"/>
          <w:szCs w:val="26"/>
        </w:rPr>
        <w:t>millions de FCFA</w:t>
      </w:r>
      <w:r w:rsidR="00F64D87" w:rsidRPr="00215B3D">
        <w:rPr>
          <w:rFonts w:ascii="Segoe UI" w:hAnsi="Segoe UI" w:cs="Segoe UI"/>
          <w:b/>
          <w:sz w:val="24"/>
          <w:szCs w:val="26"/>
        </w:rPr>
        <w:t xml:space="preserve"> </w:t>
      </w:r>
      <w:r w:rsidR="008414C2" w:rsidRPr="00215B3D">
        <w:rPr>
          <w:rFonts w:ascii="Segoe UI" w:hAnsi="Segoe UI" w:cs="Segoe UI"/>
          <w:sz w:val="24"/>
          <w:szCs w:val="26"/>
        </w:rPr>
        <w:t xml:space="preserve">sur un </w:t>
      </w:r>
      <w:r w:rsidR="0090525A" w:rsidRPr="00215B3D">
        <w:rPr>
          <w:rFonts w:ascii="Segoe UI" w:hAnsi="Segoe UI" w:cs="Segoe UI"/>
          <w:sz w:val="24"/>
          <w:szCs w:val="26"/>
        </w:rPr>
        <w:t>objectif annuel</w:t>
      </w:r>
      <w:r w:rsidR="005C0364" w:rsidRPr="00215B3D">
        <w:rPr>
          <w:rFonts w:ascii="Segoe UI" w:hAnsi="Segoe UI" w:cs="Segoe UI"/>
          <w:sz w:val="24"/>
          <w:szCs w:val="26"/>
        </w:rPr>
        <w:t xml:space="preserve"> </w:t>
      </w:r>
      <w:r w:rsidR="008414C2" w:rsidRPr="00215B3D">
        <w:rPr>
          <w:rFonts w:ascii="Segoe UI" w:hAnsi="Segoe UI" w:cs="Segoe UI"/>
          <w:sz w:val="24"/>
          <w:szCs w:val="26"/>
        </w:rPr>
        <w:t xml:space="preserve">de </w:t>
      </w:r>
      <w:r w:rsidR="00C230DB" w:rsidRPr="00215B3D">
        <w:rPr>
          <w:rFonts w:ascii="Segoe UI" w:hAnsi="Segoe UI" w:cs="Segoe UI"/>
          <w:sz w:val="24"/>
          <w:szCs w:val="26"/>
        </w:rPr>
        <w:t>102 597</w:t>
      </w:r>
      <w:r w:rsidR="008414C2" w:rsidRPr="00215B3D">
        <w:rPr>
          <w:rFonts w:ascii="Segoe UI" w:hAnsi="Segoe UI" w:cs="Segoe UI"/>
          <w:sz w:val="24"/>
          <w:szCs w:val="26"/>
        </w:rPr>
        <w:t xml:space="preserve"> millions de FCFA</w:t>
      </w:r>
      <w:r w:rsidR="00E31C28" w:rsidRPr="00215B3D">
        <w:rPr>
          <w:rFonts w:ascii="Segoe UI" w:hAnsi="Segoe UI" w:cs="Segoe UI"/>
          <w:sz w:val="24"/>
          <w:szCs w:val="26"/>
        </w:rPr>
        <w:t xml:space="preserve">. Le taux d’engagement </w:t>
      </w:r>
      <w:r w:rsidR="0090525A" w:rsidRPr="00215B3D">
        <w:rPr>
          <w:rFonts w:ascii="Segoe UI" w:hAnsi="Segoe UI" w:cs="Segoe UI"/>
          <w:sz w:val="24"/>
          <w:szCs w:val="26"/>
        </w:rPr>
        <w:t xml:space="preserve">correspondant </w:t>
      </w:r>
      <w:r w:rsidR="00E31C28" w:rsidRPr="00215B3D">
        <w:rPr>
          <w:rFonts w:ascii="Segoe UI" w:hAnsi="Segoe UI" w:cs="Segoe UI"/>
          <w:sz w:val="24"/>
          <w:szCs w:val="26"/>
        </w:rPr>
        <w:t xml:space="preserve">est de </w:t>
      </w:r>
      <w:r w:rsidR="00C230DB" w:rsidRPr="00215B3D">
        <w:rPr>
          <w:rFonts w:ascii="Segoe UI" w:hAnsi="Segoe UI" w:cs="Segoe UI"/>
          <w:b/>
          <w:sz w:val="24"/>
          <w:szCs w:val="26"/>
        </w:rPr>
        <w:t>48,6</w:t>
      </w:r>
      <w:r w:rsidR="00E13857" w:rsidRPr="00215B3D">
        <w:rPr>
          <w:rFonts w:ascii="Segoe UI" w:hAnsi="Segoe UI" w:cs="Segoe UI"/>
          <w:b/>
          <w:sz w:val="24"/>
          <w:szCs w:val="26"/>
        </w:rPr>
        <w:t>%</w:t>
      </w:r>
      <w:r w:rsidR="00F64D87" w:rsidRPr="00215B3D">
        <w:rPr>
          <w:rFonts w:ascii="Segoe UI" w:hAnsi="Segoe UI" w:cs="Segoe UI"/>
          <w:sz w:val="24"/>
          <w:szCs w:val="26"/>
        </w:rPr>
        <w:t xml:space="preserve"> </w:t>
      </w:r>
      <w:r w:rsidR="0090525A" w:rsidRPr="00215B3D">
        <w:rPr>
          <w:rFonts w:ascii="Segoe UI" w:hAnsi="Segoe UI" w:cs="Segoe UI"/>
          <w:sz w:val="24"/>
          <w:szCs w:val="26"/>
        </w:rPr>
        <w:t xml:space="preserve">et </w:t>
      </w:r>
      <w:r w:rsidR="004554BE" w:rsidRPr="00215B3D">
        <w:rPr>
          <w:rFonts w:ascii="Segoe UI" w:hAnsi="Segoe UI" w:cs="Segoe UI"/>
          <w:sz w:val="24"/>
          <w:szCs w:val="26"/>
        </w:rPr>
        <w:t xml:space="preserve">s’inscrit en </w:t>
      </w:r>
      <w:r w:rsidR="004B7C25" w:rsidRPr="00215B3D">
        <w:rPr>
          <w:rFonts w:ascii="Segoe UI" w:hAnsi="Segoe UI" w:cs="Segoe UI"/>
          <w:sz w:val="24"/>
          <w:szCs w:val="26"/>
        </w:rPr>
        <w:t xml:space="preserve">deçà </w:t>
      </w:r>
      <w:r w:rsidR="00B93BA1" w:rsidRPr="00215B3D">
        <w:rPr>
          <w:rFonts w:ascii="Segoe UI" w:hAnsi="Segoe UI" w:cs="Segoe UI"/>
          <w:sz w:val="24"/>
          <w:szCs w:val="26"/>
        </w:rPr>
        <w:t>de</w:t>
      </w:r>
      <w:r w:rsidR="0090525A" w:rsidRPr="00215B3D">
        <w:rPr>
          <w:rFonts w:ascii="Segoe UI" w:hAnsi="Segoe UI" w:cs="Segoe UI"/>
          <w:sz w:val="24"/>
          <w:szCs w:val="26"/>
        </w:rPr>
        <w:t xml:space="preserve"> celui de</w:t>
      </w:r>
      <w:r w:rsidR="00F64D87" w:rsidRPr="00215B3D">
        <w:rPr>
          <w:rFonts w:ascii="Segoe UI" w:hAnsi="Segoe UI" w:cs="Segoe UI"/>
          <w:sz w:val="24"/>
          <w:szCs w:val="26"/>
        </w:rPr>
        <w:t xml:space="preserve"> </w:t>
      </w:r>
      <w:r w:rsidR="00C230DB" w:rsidRPr="00215B3D">
        <w:rPr>
          <w:rFonts w:ascii="Segoe UI" w:hAnsi="Segoe UI" w:cs="Segoe UI"/>
          <w:sz w:val="24"/>
          <w:szCs w:val="26"/>
        </w:rPr>
        <w:t>58,8</w:t>
      </w:r>
      <w:r w:rsidR="00E31C28" w:rsidRPr="00215B3D">
        <w:rPr>
          <w:rFonts w:ascii="Segoe UI" w:hAnsi="Segoe UI" w:cs="Segoe UI"/>
          <w:sz w:val="24"/>
          <w:szCs w:val="26"/>
        </w:rPr>
        <w:t xml:space="preserve">% </w:t>
      </w:r>
      <w:r w:rsidR="0090525A" w:rsidRPr="00215B3D">
        <w:rPr>
          <w:rFonts w:ascii="Segoe UI" w:hAnsi="Segoe UI" w:cs="Segoe UI"/>
          <w:sz w:val="24"/>
          <w:szCs w:val="26"/>
        </w:rPr>
        <w:t xml:space="preserve">réalisé </w:t>
      </w:r>
      <w:r w:rsidR="005C0364" w:rsidRPr="00215B3D">
        <w:rPr>
          <w:rFonts w:ascii="Segoe UI" w:hAnsi="Segoe UI" w:cs="Segoe UI"/>
          <w:sz w:val="24"/>
          <w:szCs w:val="26"/>
        </w:rPr>
        <w:t>à la même période</w:t>
      </w:r>
      <w:r w:rsidR="00E53AAF" w:rsidRPr="00215B3D">
        <w:rPr>
          <w:rFonts w:ascii="Segoe UI" w:hAnsi="Segoe UI" w:cs="Segoe UI"/>
          <w:sz w:val="24"/>
          <w:szCs w:val="26"/>
        </w:rPr>
        <w:t xml:space="preserve"> en</w:t>
      </w:r>
      <w:r w:rsidR="00F55BC9" w:rsidRPr="00215B3D">
        <w:rPr>
          <w:rFonts w:ascii="Segoe UI" w:hAnsi="Segoe UI" w:cs="Segoe UI"/>
          <w:sz w:val="24"/>
          <w:szCs w:val="26"/>
        </w:rPr>
        <w:t xml:space="preserve"> </w:t>
      </w:r>
      <w:r w:rsidR="00DE0293" w:rsidRPr="00215B3D">
        <w:rPr>
          <w:rFonts w:ascii="Segoe UI" w:hAnsi="Segoe UI" w:cs="Segoe UI"/>
          <w:sz w:val="24"/>
          <w:szCs w:val="26"/>
        </w:rPr>
        <w:t>201</w:t>
      </w:r>
      <w:r w:rsidR="00C230DB" w:rsidRPr="00215B3D">
        <w:rPr>
          <w:rFonts w:ascii="Segoe UI" w:hAnsi="Segoe UI" w:cs="Segoe UI"/>
          <w:sz w:val="24"/>
          <w:szCs w:val="26"/>
        </w:rPr>
        <w:t>6</w:t>
      </w:r>
      <w:r w:rsidR="00627848">
        <w:rPr>
          <w:rFonts w:ascii="Segoe UI" w:hAnsi="Segoe UI" w:cs="Segoe UI"/>
          <w:sz w:val="24"/>
          <w:szCs w:val="26"/>
        </w:rPr>
        <w:t xml:space="preserve"> pour un montant de 58 224,3 millions de FCFA.</w:t>
      </w:r>
    </w:p>
    <w:p w:rsidR="00D22952" w:rsidRPr="00215B3D" w:rsidRDefault="00D22952" w:rsidP="005E6E8C">
      <w:pPr>
        <w:tabs>
          <w:tab w:val="left" w:pos="426"/>
        </w:tabs>
        <w:spacing w:after="120" w:line="360" w:lineRule="auto"/>
        <w:jc w:val="both"/>
        <w:rPr>
          <w:rFonts w:ascii="Segoe UI" w:hAnsi="Segoe UI" w:cs="Segoe UI"/>
          <w:b/>
          <w:i/>
          <w:sz w:val="24"/>
          <w:szCs w:val="26"/>
        </w:rPr>
      </w:pPr>
      <w:r w:rsidRPr="00215B3D">
        <w:rPr>
          <w:rFonts w:ascii="Segoe UI" w:hAnsi="Segoe UI" w:cs="Segoe UI"/>
          <w:b/>
          <w:i/>
          <w:sz w:val="24"/>
          <w:szCs w:val="26"/>
        </w:rPr>
        <w:t xml:space="preserve">D’importants efforts sont faits pendant la période sous-revue pour limiter la consommation des crédits de fonctionnement </w:t>
      </w:r>
      <w:r w:rsidR="00F71458">
        <w:rPr>
          <w:rFonts w:ascii="Segoe UI" w:hAnsi="Segoe UI" w:cs="Segoe UI"/>
          <w:b/>
          <w:i/>
          <w:sz w:val="24"/>
          <w:szCs w:val="26"/>
        </w:rPr>
        <w:t>à l’essentiel</w:t>
      </w:r>
      <w:r w:rsidRPr="00215B3D">
        <w:rPr>
          <w:rFonts w:ascii="Segoe UI" w:hAnsi="Segoe UI" w:cs="Segoe UI"/>
          <w:b/>
          <w:i/>
          <w:sz w:val="24"/>
          <w:szCs w:val="26"/>
        </w:rPr>
        <w:t>. Le taux d’engag</w:t>
      </w:r>
      <w:r w:rsidR="00F71458">
        <w:rPr>
          <w:rFonts w:ascii="Segoe UI" w:hAnsi="Segoe UI" w:cs="Segoe UI"/>
          <w:b/>
          <w:i/>
          <w:sz w:val="24"/>
          <w:szCs w:val="26"/>
        </w:rPr>
        <w:t>em</w:t>
      </w:r>
      <w:r w:rsidRPr="00215B3D">
        <w:rPr>
          <w:rFonts w:ascii="Segoe UI" w:hAnsi="Segoe UI" w:cs="Segoe UI"/>
          <w:b/>
          <w:i/>
          <w:sz w:val="24"/>
          <w:szCs w:val="26"/>
        </w:rPr>
        <w:t xml:space="preserve">ent de 48,6% ne reflète pas cet effort, vu qu’il intègre les engagements intervenus suite </w:t>
      </w:r>
      <w:r w:rsidR="00D478EB" w:rsidRPr="00215B3D">
        <w:rPr>
          <w:rFonts w:ascii="Segoe UI" w:hAnsi="Segoe UI" w:cs="Segoe UI"/>
          <w:b/>
          <w:i/>
          <w:sz w:val="24"/>
          <w:szCs w:val="26"/>
        </w:rPr>
        <w:t>à la prise d’arrêté</w:t>
      </w:r>
      <w:r w:rsidR="00F71458">
        <w:rPr>
          <w:rFonts w:ascii="Segoe UI" w:hAnsi="Segoe UI" w:cs="Segoe UI"/>
          <w:b/>
          <w:i/>
          <w:sz w:val="24"/>
          <w:szCs w:val="26"/>
        </w:rPr>
        <w:t>s</w:t>
      </w:r>
      <w:r w:rsidR="00D478EB" w:rsidRPr="00215B3D">
        <w:rPr>
          <w:rFonts w:ascii="Segoe UI" w:hAnsi="Segoe UI" w:cs="Segoe UI"/>
          <w:b/>
          <w:i/>
          <w:sz w:val="24"/>
          <w:szCs w:val="26"/>
        </w:rPr>
        <w:t xml:space="preserve"> d’autorisation d’engagement</w:t>
      </w:r>
      <w:r w:rsidR="00F71458">
        <w:rPr>
          <w:rFonts w:ascii="Segoe UI" w:hAnsi="Segoe UI" w:cs="Segoe UI"/>
          <w:b/>
          <w:i/>
          <w:sz w:val="24"/>
          <w:szCs w:val="26"/>
        </w:rPr>
        <w:t>s</w:t>
      </w:r>
      <w:r w:rsidR="00D478EB" w:rsidRPr="00215B3D">
        <w:rPr>
          <w:rFonts w:ascii="Segoe UI" w:hAnsi="Segoe UI" w:cs="Segoe UI"/>
          <w:b/>
          <w:i/>
          <w:sz w:val="24"/>
          <w:szCs w:val="26"/>
        </w:rPr>
        <w:t xml:space="preserve"> en</w:t>
      </w:r>
      <w:r w:rsidR="00204ED2" w:rsidRPr="00215B3D">
        <w:rPr>
          <w:rFonts w:ascii="Segoe UI" w:hAnsi="Segoe UI" w:cs="Segoe UI"/>
          <w:b/>
          <w:i/>
          <w:sz w:val="24"/>
          <w:szCs w:val="26"/>
        </w:rPr>
        <w:t xml:space="preserve"> dépassement. Il s’agit, par exemple</w:t>
      </w:r>
      <w:r w:rsidR="00D478EB" w:rsidRPr="00215B3D">
        <w:rPr>
          <w:rFonts w:ascii="Segoe UI" w:hAnsi="Segoe UI" w:cs="Segoe UI"/>
          <w:b/>
          <w:i/>
          <w:sz w:val="24"/>
          <w:szCs w:val="26"/>
        </w:rPr>
        <w:t xml:space="preserve">, de l’engagement en dépassement pour l’achat des droits médias de la Coupe d’Afrique des Nations de football et autres évènements de la </w:t>
      </w:r>
      <w:r w:rsidR="00D478EB" w:rsidRPr="00215B3D">
        <w:rPr>
          <w:rFonts w:ascii="Segoe UI" w:hAnsi="Segoe UI" w:cs="Segoe UI"/>
          <w:b/>
          <w:i/>
          <w:sz w:val="24"/>
          <w:szCs w:val="26"/>
        </w:rPr>
        <w:lastRenderedPageBreak/>
        <w:t>Confédération Africaine de Football pour un montant de 852,7 millions de FCFA et</w:t>
      </w:r>
      <w:r w:rsidR="00204ED2" w:rsidRPr="00215B3D">
        <w:rPr>
          <w:rFonts w:ascii="Segoe UI" w:hAnsi="Segoe UI" w:cs="Segoe UI"/>
          <w:b/>
          <w:i/>
          <w:sz w:val="24"/>
          <w:szCs w:val="26"/>
        </w:rPr>
        <w:t xml:space="preserve"> de l’engagement en dépassement pour</w:t>
      </w:r>
      <w:r w:rsidR="00D478EB" w:rsidRPr="00215B3D">
        <w:rPr>
          <w:rFonts w:ascii="Segoe UI" w:hAnsi="Segoe UI" w:cs="Segoe UI"/>
          <w:b/>
          <w:i/>
          <w:sz w:val="24"/>
          <w:szCs w:val="26"/>
        </w:rPr>
        <w:t xml:space="preserve"> la prise en charge des locations et charges locatives des postes diplomatiques pour un montant de 2 853,9 millions de FCFA.</w:t>
      </w:r>
    </w:p>
    <w:p w:rsidR="00AF1546" w:rsidRPr="00F71458" w:rsidRDefault="002F205F" w:rsidP="002F205F">
      <w:pPr>
        <w:tabs>
          <w:tab w:val="left" w:pos="426"/>
        </w:tabs>
        <w:spacing w:before="120" w:after="120" w:line="360" w:lineRule="auto"/>
        <w:jc w:val="both"/>
        <w:rPr>
          <w:rFonts w:ascii="Segoe UI" w:hAnsi="Segoe UI" w:cs="Segoe UI"/>
          <w:b/>
          <w:i/>
          <w:sz w:val="24"/>
          <w:szCs w:val="24"/>
        </w:rPr>
      </w:pPr>
      <w:r w:rsidRPr="00F71458">
        <w:rPr>
          <w:rFonts w:ascii="Segoe UI" w:hAnsi="Segoe UI" w:cs="Segoe UI"/>
          <w:b/>
          <w:i/>
          <w:sz w:val="24"/>
          <w:szCs w:val="26"/>
        </w:rPr>
        <w:t xml:space="preserve">Par ailleurs, Il convient de rappeler que </w:t>
      </w:r>
      <w:r w:rsidRPr="00F71458">
        <w:rPr>
          <w:rFonts w:ascii="Segoe UI" w:hAnsi="Segoe UI" w:cs="Segoe UI"/>
          <w:b/>
          <w:i/>
          <w:sz w:val="24"/>
          <w:szCs w:val="24"/>
        </w:rPr>
        <w:t>le Conseil des Ministre</w:t>
      </w:r>
      <w:r w:rsidR="00277367">
        <w:rPr>
          <w:rFonts w:ascii="Segoe UI" w:hAnsi="Segoe UI" w:cs="Segoe UI"/>
          <w:b/>
          <w:i/>
          <w:sz w:val="24"/>
          <w:szCs w:val="24"/>
        </w:rPr>
        <w:t>s</w:t>
      </w:r>
      <w:r w:rsidRPr="00F71458">
        <w:rPr>
          <w:rFonts w:ascii="Segoe UI" w:hAnsi="Segoe UI" w:cs="Segoe UI"/>
          <w:b/>
          <w:i/>
          <w:sz w:val="24"/>
          <w:szCs w:val="24"/>
        </w:rPr>
        <w:t xml:space="preserve"> a autorisé</w:t>
      </w:r>
      <w:r w:rsidR="004C4151">
        <w:rPr>
          <w:rFonts w:ascii="Segoe UI" w:hAnsi="Segoe UI" w:cs="Segoe UI"/>
          <w:b/>
          <w:i/>
          <w:sz w:val="24"/>
          <w:szCs w:val="24"/>
        </w:rPr>
        <w:t>,</w:t>
      </w:r>
      <w:r w:rsidRPr="00F71458">
        <w:rPr>
          <w:rFonts w:ascii="Segoe UI" w:hAnsi="Segoe UI" w:cs="Segoe UI"/>
          <w:b/>
          <w:i/>
          <w:sz w:val="24"/>
          <w:szCs w:val="24"/>
        </w:rPr>
        <w:t xml:space="preserve"> </w:t>
      </w:r>
      <w:r w:rsidR="00F71458" w:rsidRPr="00F71458">
        <w:rPr>
          <w:rFonts w:ascii="Segoe UI" w:hAnsi="Segoe UI" w:cs="Segoe UI"/>
          <w:b/>
          <w:i/>
          <w:sz w:val="24"/>
          <w:szCs w:val="24"/>
        </w:rPr>
        <w:t>en</w:t>
      </w:r>
      <w:r w:rsidRPr="00F71458">
        <w:rPr>
          <w:rFonts w:ascii="Segoe UI" w:hAnsi="Segoe UI" w:cs="Segoe UI"/>
          <w:b/>
          <w:i/>
          <w:sz w:val="24"/>
          <w:szCs w:val="24"/>
        </w:rPr>
        <w:t xml:space="preserve"> sa session du 12 mai 2017</w:t>
      </w:r>
      <w:r w:rsidR="004C4151">
        <w:rPr>
          <w:rFonts w:ascii="Segoe UI" w:hAnsi="Segoe UI" w:cs="Segoe UI"/>
          <w:b/>
          <w:i/>
          <w:sz w:val="24"/>
          <w:szCs w:val="24"/>
        </w:rPr>
        <w:t xml:space="preserve">, </w:t>
      </w:r>
      <w:r w:rsidRPr="00F71458">
        <w:rPr>
          <w:rFonts w:ascii="Segoe UI" w:hAnsi="Segoe UI" w:cs="Segoe UI"/>
          <w:b/>
          <w:i/>
          <w:sz w:val="24"/>
          <w:szCs w:val="24"/>
        </w:rPr>
        <w:t xml:space="preserve">la compensation des créances/dettes entre l’Etat, la SBEE, la SONEB et les Collectivités Locales. Les implications budgétaires de la décision de compensation des créances/dettes entre l’Etat, la SBEE, la SONEB et les Collectivités Locales </w:t>
      </w:r>
      <w:r w:rsidR="004C4151">
        <w:rPr>
          <w:rFonts w:ascii="Segoe UI" w:hAnsi="Segoe UI" w:cs="Segoe UI"/>
          <w:b/>
          <w:i/>
          <w:sz w:val="24"/>
          <w:szCs w:val="24"/>
        </w:rPr>
        <w:t xml:space="preserve">ont </w:t>
      </w:r>
      <w:r w:rsidRPr="00F71458">
        <w:rPr>
          <w:rFonts w:ascii="Segoe UI" w:hAnsi="Segoe UI" w:cs="Segoe UI"/>
          <w:b/>
          <w:i/>
          <w:sz w:val="24"/>
          <w:szCs w:val="24"/>
        </w:rPr>
        <w:t>nécessité la mobilisation sur les crédits de fonctionnement du budget de l’Etat d’un montant de 23 600 million</w:t>
      </w:r>
      <w:r w:rsidR="004C4151">
        <w:rPr>
          <w:rFonts w:ascii="Segoe UI" w:hAnsi="Segoe UI" w:cs="Segoe UI"/>
          <w:b/>
          <w:i/>
          <w:sz w:val="24"/>
          <w:szCs w:val="24"/>
        </w:rPr>
        <w:t>s</w:t>
      </w:r>
      <w:r w:rsidRPr="00F71458">
        <w:rPr>
          <w:rFonts w:ascii="Segoe UI" w:hAnsi="Segoe UI" w:cs="Segoe UI"/>
          <w:b/>
          <w:i/>
          <w:sz w:val="24"/>
          <w:szCs w:val="24"/>
        </w:rPr>
        <w:t xml:space="preserve"> de FCFA.</w:t>
      </w:r>
      <w:r w:rsidR="00AF1546" w:rsidRPr="00F71458">
        <w:rPr>
          <w:rFonts w:ascii="Segoe UI" w:hAnsi="Segoe UI" w:cs="Segoe UI"/>
          <w:b/>
          <w:i/>
          <w:sz w:val="24"/>
          <w:szCs w:val="24"/>
        </w:rPr>
        <w:t xml:space="preserve"> </w:t>
      </w:r>
      <w:r w:rsidR="00EF0D83" w:rsidRPr="00F71458">
        <w:rPr>
          <w:rFonts w:ascii="Segoe UI" w:hAnsi="Segoe UI" w:cs="Segoe UI"/>
          <w:b/>
          <w:i/>
          <w:sz w:val="24"/>
          <w:szCs w:val="24"/>
        </w:rPr>
        <w:t xml:space="preserve">En intégrant ce montant aux engagements des crédits d’acquisitions de biens et services à fin juin, le niveau d’exécution ressortirait à </w:t>
      </w:r>
      <w:r w:rsidR="00126447">
        <w:rPr>
          <w:rFonts w:ascii="Segoe UI" w:hAnsi="Segoe UI" w:cs="Segoe UI"/>
          <w:b/>
          <w:i/>
          <w:sz w:val="24"/>
          <w:szCs w:val="24"/>
        </w:rPr>
        <w:t>73 470 millions de FCFA pour un taux, base engagement de 71,6</w:t>
      </w:r>
      <w:r w:rsidR="00265575" w:rsidRPr="00345567">
        <w:rPr>
          <w:rFonts w:ascii="Segoe UI" w:hAnsi="Segoe UI" w:cs="Segoe UI"/>
          <w:b/>
          <w:i/>
          <w:sz w:val="24"/>
          <w:szCs w:val="24"/>
        </w:rPr>
        <w:t>%</w:t>
      </w:r>
      <w:r w:rsidR="00126447">
        <w:rPr>
          <w:rFonts w:ascii="Segoe UI" w:hAnsi="Segoe UI" w:cs="Segoe UI"/>
          <w:b/>
          <w:i/>
          <w:sz w:val="24"/>
          <w:szCs w:val="24"/>
        </w:rPr>
        <w:t>.</w:t>
      </w:r>
    </w:p>
    <w:p w:rsidR="00317E3D" w:rsidRPr="00215B3D" w:rsidRDefault="004B464A" w:rsidP="004A1038">
      <w:pPr>
        <w:rPr>
          <w:rFonts w:ascii="Segoe UI" w:hAnsi="Segoe UI" w:cs="Segoe UI"/>
          <w:b/>
          <w:sz w:val="26"/>
          <w:szCs w:val="26"/>
        </w:rPr>
      </w:pPr>
      <w:r w:rsidRPr="00215B3D">
        <w:rPr>
          <w:rFonts w:ascii="Segoe UI" w:hAnsi="Segoe UI" w:cs="Segoe UI"/>
          <w:b/>
          <w:sz w:val="26"/>
          <w:szCs w:val="26"/>
        </w:rPr>
        <w:t>B-</w:t>
      </w:r>
      <w:r w:rsidR="00BD1603" w:rsidRPr="00215B3D">
        <w:rPr>
          <w:rFonts w:ascii="Segoe UI" w:hAnsi="Segoe UI" w:cs="Segoe UI"/>
          <w:b/>
          <w:sz w:val="26"/>
          <w:szCs w:val="26"/>
        </w:rPr>
        <w:t>1-</w:t>
      </w:r>
      <w:r w:rsidRPr="00215B3D">
        <w:rPr>
          <w:rFonts w:ascii="Segoe UI" w:hAnsi="Segoe UI" w:cs="Segoe UI"/>
          <w:b/>
          <w:sz w:val="26"/>
          <w:szCs w:val="26"/>
        </w:rPr>
        <w:t>1-4 Dépenses de transfert</w:t>
      </w:r>
    </w:p>
    <w:p w:rsidR="0087708D" w:rsidRDefault="00844338" w:rsidP="007D289B">
      <w:pPr>
        <w:tabs>
          <w:tab w:val="left" w:pos="426"/>
        </w:tabs>
        <w:spacing w:after="120" w:line="360" w:lineRule="auto"/>
        <w:jc w:val="both"/>
        <w:rPr>
          <w:rFonts w:ascii="Segoe UI" w:hAnsi="Segoe UI" w:cs="Segoe UI"/>
          <w:sz w:val="24"/>
          <w:szCs w:val="26"/>
        </w:rPr>
      </w:pPr>
      <w:r w:rsidRPr="00215B3D">
        <w:rPr>
          <w:rFonts w:ascii="Segoe UI" w:hAnsi="Segoe UI" w:cs="Segoe UI"/>
          <w:sz w:val="24"/>
          <w:szCs w:val="26"/>
        </w:rPr>
        <w:t>L</w:t>
      </w:r>
      <w:r w:rsidR="006E594F" w:rsidRPr="00215B3D">
        <w:rPr>
          <w:rFonts w:ascii="Segoe UI" w:hAnsi="Segoe UI" w:cs="Segoe UI"/>
          <w:sz w:val="24"/>
          <w:szCs w:val="26"/>
        </w:rPr>
        <w:t>’</w:t>
      </w:r>
      <w:r w:rsidRPr="00215B3D">
        <w:rPr>
          <w:rFonts w:ascii="Segoe UI" w:hAnsi="Segoe UI" w:cs="Segoe UI"/>
          <w:sz w:val="24"/>
          <w:szCs w:val="26"/>
        </w:rPr>
        <w:t>e</w:t>
      </w:r>
      <w:r w:rsidR="006E594F" w:rsidRPr="00215B3D">
        <w:rPr>
          <w:rFonts w:ascii="Segoe UI" w:hAnsi="Segoe UI" w:cs="Segoe UI"/>
          <w:sz w:val="24"/>
          <w:szCs w:val="26"/>
        </w:rPr>
        <w:t>xécution de</w:t>
      </w:r>
      <w:r w:rsidRPr="00215B3D">
        <w:rPr>
          <w:rFonts w:ascii="Segoe UI" w:hAnsi="Segoe UI" w:cs="Segoe UI"/>
          <w:sz w:val="24"/>
          <w:szCs w:val="26"/>
        </w:rPr>
        <w:t xml:space="preserve">s dépenses de transfert </w:t>
      </w:r>
      <w:r w:rsidR="006E594F" w:rsidRPr="00215B3D">
        <w:rPr>
          <w:rFonts w:ascii="Segoe UI" w:hAnsi="Segoe UI" w:cs="Segoe UI"/>
          <w:sz w:val="24"/>
          <w:szCs w:val="26"/>
        </w:rPr>
        <w:t>affiche</w:t>
      </w:r>
      <w:r w:rsidRPr="00215B3D">
        <w:rPr>
          <w:rFonts w:ascii="Segoe UI" w:hAnsi="Segoe UI" w:cs="Segoe UI"/>
          <w:sz w:val="24"/>
          <w:szCs w:val="26"/>
        </w:rPr>
        <w:t xml:space="preserve"> globalement</w:t>
      </w:r>
      <w:r w:rsidR="00822BBB" w:rsidRPr="00215B3D">
        <w:rPr>
          <w:rFonts w:ascii="Segoe UI" w:hAnsi="Segoe UI" w:cs="Segoe UI"/>
          <w:sz w:val="24"/>
          <w:szCs w:val="26"/>
        </w:rPr>
        <w:t xml:space="preserve"> à fin </w:t>
      </w:r>
      <w:r w:rsidR="007C6281" w:rsidRPr="00215B3D">
        <w:rPr>
          <w:rFonts w:ascii="Segoe UI" w:hAnsi="Segoe UI" w:cs="Segoe UI"/>
          <w:sz w:val="24"/>
          <w:szCs w:val="26"/>
        </w:rPr>
        <w:t>juin</w:t>
      </w:r>
      <w:r w:rsidR="00822BBB" w:rsidRPr="00215B3D">
        <w:rPr>
          <w:rFonts w:ascii="Segoe UI" w:hAnsi="Segoe UI" w:cs="Segoe UI"/>
          <w:sz w:val="24"/>
          <w:szCs w:val="26"/>
        </w:rPr>
        <w:t xml:space="preserve"> 201</w:t>
      </w:r>
      <w:r w:rsidR="007C6281" w:rsidRPr="00215B3D">
        <w:rPr>
          <w:rFonts w:ascii="Segoe UI" w:hAnsi="Segoe UI" w:cs="Segoe UI"/>
          <w:sz w:val="24"/>
          <w:szCs w:val="26"/>
        </w:rPr>
        <w:t>7</w:t>
      </w:r>
      <w:r w:rsidR="00F75A4E" w:rsidRPr="00215B3D">
        <w:rPr>
          <w:rFonts w:ascii="Segoe UI" w:hAnsi="Segoe UI" w:cs="Segoe UI"/>
          <w:sz w:val="24"/>
          <w:szCs w:val="26"/>
        </w:rPr>
        <w:t xml:space="preserve"> </w:t>
      </w:r>
      <w:r w:rsidR="00682DFF" w:rsidRPr="00215B3D">
        <w:rPr>
          <w:rFonts w:ascii="Segoe UI" w:hAnsi="Segoe UI" w:cs="Segoe UI"/>
          <w:sz w:val="24"/>
          <w:szCs w:val="26"/>
        </w:rPr>
        <w:t xml:space="preserve">un </w:t>
      </w:r>
      <w:r w:rsidR="004E6027">
        <w:rPr>
          <w:rFonts w:ascii="Segoe UI" w:hAnsi="Segoe UI" w:cs="Segoe UI"/>
          <w:sz w:val="24"/>
          <w:szCs w:val="26"/>
        </w:rPr>
        <w:t xml:space="preserve">montant de </w:t>
      </w:r>
      <w:r w:rsidR="007C6281" w:rsidRPr="00215B3D">
        <w:rPr>
          <w:rFonts w:ascii="Segoe UI" w:hAnsi="Segoe UI" w:cs="Segoe UI"/>
          <w:sz w:val="24"/>
          <w:szCs w:val="26"/>
        </w:rPr>
        <w:t>85 442,9</w:t>
      </w:r>
      <w:r w:rsidR="006E594F" w:rsidRPr="00215B3D">
        <w:rPr>
          <w:rFonts w:ascii="Segoe UI" w:hAnsi="Segoe UI" w:cs="Segoe UI"/>
          <w:sz w:val="24"/>
          <w:szCs w:val="26"/>
        </w:rPr>
        <w:t xml:space="preserve"> millions de FCFA</w:t>
      </w:r>
      <w:r w:rsidR="009977A7" w:rsidRPr="00215B3D">
        <w:rPr>
          <w:rFonts w:ascii="Segoe UI" w:hAnsi="Segoe UI" w:cs="Segoe UI"/>
          <w:sz w:val="24"/>
          <w:szCs w:val="26"/>
        </w:rPr>
        <w:t xml:space="preserve"> </w:t>
      </w:r>
      <w:r w:rsidR="004E6027">
        <w:rPr>
          <w:rFonts w:ascii="Segoe UI" w:hAnsi="Segoe UI" w:cs="Segoe UI"/>
          <w:sz w:val="24"/>
          <w:szCs w:val="26"/>
        </w:rPr>
        <w:t xml:space="preserve">correspondant à </w:t>
      </w:r>
      <w:r w:rsidR="009977A7" w:rsidRPr="00215B3D">
        <w:rPr>
          <w:rFonts w:ascii="Segoe UI" w:hAnsi="Segoe UI" w:cs="Segoe UI"/>
          <w:sz w:val="24"/>
          <w:szCs w:val="26"/>
        </w:rPr>
        <w:t>un</w:t>
      </w:r>
      <w:r w:rsidR="00F75A4E" w:rsidRPr="00215B3D">
        <w:rPr>
          <w:rFonts w:ascii="Segoe UI" w:hAnsi="Segoe UI" w:cs="Segoe UI"/>
          <w:sz w:val="24"/>
          <w:szCs w:val="26"/>
        </w:rPr>
        <w:t xml:space="preserve"> </w:t>
      </w:r>
      <w:r w:rsidR="009977A7" w:rsidRPr="00215B3D">
        <w:rPr>
          <w:rFonts w:ascii="Segoe UI" w:hAnsi="Segoe UI" w:cs="Segoe UI"/>
          <w:sz w:val="24"/>
          <w:szCs w:val="26"/>
        </w:rPr>
        <w:t xml:space="preserve">taux d’engagement de </w:t>
      </w:r>
      <w:r w:rsidR="007C6281" w:rsidRPr="00215B3D">
        <w:rPr>
          <w:rFonts w:ascii="Segoe UI" w:hAnsi="Segoe UI" w:cs="Segoe UI"/>
          <w:sz w:val="24"/>
          <w:szCs w:val="26"/>
        </w:rPr>
        <w:t>42,7</w:t>
      </w:r>
      <w:r w:rsidR="009977A7" w:rsidRPr="00215B3D">
        <w:rPr>
          <w:rFonts w:ascii="Segoe UI" w:hAnsi="Segoe UI" w:cs="Segoe UI"/>
          <w:sz w:val="24"/>
          <w:szCs w:val="26"/>
        </w:rPr>
        <w:t>%</w:t>
      </w:r>
      <w:r w:rsidR="004E6027">
        <w:rPr>
          <w:rFonts w:ascii="Segoe UI" w:hAnsi="Segoe UI" w:cs="Segoe UI"/>
          <w:sz w:val="24"/>
          <w:szCs w:val="26"/>
        </w:rPr>
        <w:t xml:space="preserve">. Ce montant est en diminution de 41 890,4 </w:t>
      </w:r>
      <w:r w:rsidR="004E6027" w:rsidRPr="00215B3D">
        <w:rPr>
          <w:rFonts w:ascii="Segoe UI" w:hAnsi="Segoe UI" w:cs="Segoe UI"/>
          <w:sz w:val="24"/>
          <w:szCs w:val="26"/>
        </w:rPr>
        <w:t>millions de FCFA</w:t>
      </w:r>
      <w:r w:rsidR="004E6027">
        <w:rPr>
          <w:rFonts w:ascii="Segoe UI" w:hAnsi="Segoe UI" w:cs="Segoe UI"/>
          <w:sz w:val="24"/>
          <w:szCs w:val="26"/>
        </w:rPr>
        <w:t xml:space="preserve"> par rapport à juin 2016, soit un taux de décroissance de 32,9%.</w:t>
      </w:r>
    </w:p>
    <w:p w:rsidR="004E6027" w:rsidRPr="0087708D" w:rsidRDefault="004E6027" w:rsidP="007D289B">
      <w:pPr>
        <w:tabs>
          <w:tab w:val="left" w:pos="426"/>
        </w:tabs>
        <w:spacing w:after="120" w:line="360" w:lineRule="auto"/>
        <w:jc w:val="both"/>
        <w:rPr>
          <w:rFonts w:ascii="Segoe UI" w:hAnsi="Segoe UI" w:cs="Segoe UI"/>
          <w:b/>
          <w:i/>
          <w:sz w:val="24"/>
          <w:szCs w:val="26"/>
        </w:rPr>
      </w:pPr>
      <w:r w:rsidRPr="0087708D">
        <w:rPr>
          <w:rFonts w:ascii="Segoe UI" w:hAnsi="Segoe UI" w:cs="Segoe UI"/>
          <w:b/>
          <w:i/>
          <w:sz w:val="24"/>
          <w:szCs w:val="26"/>
        </w:rPr>
        <w:t>Rappelons que l’année 2016 a été une année électorale et a engendré d’importantes dépenses au cours du premier semestre. De même</w:t>
      </w:r>
      <w:r w:rsidR="00DF0E06" w:rsidRPr="0087708D">
        <w:rPr>
          <w:rFonts w:ascii="Segoe UI" w:hAnsi="Segoe UI" w:cs="Segoe UI"/>
          <w:b/>
          <w:i/>
          <w:sz w:val="24"/>
          <w:szCs w:val="26"/>
        </w:rPr>
        <w:t>,</w:t>
      </w:r>
      <w:r w:rsidRPr="0087708D">
        <w:rPr>
          <w:rFonts w:ascii="Segoe UI" w:hAnsi="Segoe UI" w:cs="Segoe UI"/>
          <w:b/>
          <w:i/>
          <w:sz w:val="24"/>
          <w:szCs w:val="26"/>
        </w:rPr>
        <w:t xml:space="preserve"> le retrait de l’Etat de la gestion de la filière coton a entrainé des économies d’environ 20</w:t>
      </w:r>
      <w:r w:rsidR="00126447">
        <w:rPr>
          <w:rFonts w:ascii="Segoe UI" w:hAnsi="Segoe UI" w:cs="Segoe UI"/>
          <w:b/>
          <w:i/>
          <w:sz w:val="24"/>
          <w:szCs w:val="26"/>
        </w:rPr>
        <w:t xml:space="preserve"> 000 </w:t>
      </w:r>
      <w:r w:rsidRPr="0087708D">
        <w:rPr>
          <w:rFonts w:ascii="Segoe UI" w:hAnsi="Segoe UI" w:cs="Segoe UI"/>
          <w:b/>
          <w:i/>
          <w:sz w:val="24"/>
          <w:szCs w:val="26"/>
        </w:rPr>
        <w:t>millions de FCFA.</w:t>
      </w:r>
    </w:p>
    <w:p w:rsidR="002740AD" w:rsidRDefault="00510A64" w:rsidP="00F86F7D">
      <w:pPr>
        <w:spacing w:after="0" w:line="360" w:lineRule="auto"/>
        <w:jc w:val="both"/>
        <w:rPr>
          <w:rFonts w:ascii="Segoe UI" w:hAnsi="Segoe UI" w:cs="Segoe UI"/>
          <w:bCs/>
          <w:iCs/>
          <w:sz w:val="24"/>
          <w:szCs w:val="26"/>
        </w:rPr>
      </w:pPr>
      <w:r w:rsidRPr="00215B3D">
        <w:rPr>
          <w:rFonts w:ascii="Segoe UI" w:hAnsi="Segoe UI" w:cs="Segoe UI"/>
          <w:bCs/>
          <w:iCs/>
          <w:sz w:val="24"/>
          <w:szCs w:val="26"/>
        </w:rPr>
        <w:t>Le</w:t>
      </w:r>
      <w:r w:rsidR="004E388C" w:rsidRPr="00215B3D">
        <w:rPr>
          <w:rFonts w:ascii="Segoe UI" w:hAnsi="Segoe UI" w:cs="Segoe UI"/>
          <w:bCs/>
          <w:iCs/>
          <w:sz w:val="24"/>
          <w:szCs w:val="26"/>
        </w:rPr>
        <w:t>s</w:t>
      </w:r>
      <w:r w:rsidRPr="00215B3D">
        <w:rPr>
          <w:rFonts w:ascii="Segoe UI" w:hAnsi="Segoe UI" w:cs="Segoe UI"/>
          <w:bCs/>
          <w:iCs/>
          <w:sz w:val="24"/>
          <w:szCs w:val="26"/>
        </w:rPr>
        <w:t xml:space="preserve"> détail</w:t>
      </w:r>
      <w:r w:rsidR="004E388C" w:rsidRPr="00215B3D">
        <w:rPr>
          <w:rFonts w:ascii="Segoe UI" w:hAnsi="Segoe UI" w:cs="Segoe UI"/>
          <w:bCs/>
          <w:iCs/>
          <w:sz w:val="24"/>
          <w:szCs w:val="26"/>
        </w:rPr>
        <w:t>s sur le niveau</w:t>
      </w:r>
      <w:r w:rsidRPr="00215B3D">
        <w:rPr>
          <w:rFonts w:ascii="Segoe UI" w:hAnsi="Segoe UI" w:cs="Segoe UI"/>
          <w:bCs/>
          <w:iCs/>
          <w:sz w:val="24"/>
          <w:szCs w:val="26"/>
        </w:rPr>
        <w:t xml:space="preserve"> </w:t>
      </w:r>
      <w:r w:rsidR="004B7C25" w:rsidRPr="00215B3D">
        <w:rPr>
          <w:rFonts w:ascii="Segoe UI" w:hAnsi="Segoe UI" w:cs="Segoe UI"/>
          <w:bCs/>
          <w:iCs/>
          <w:sz w:val="24"/>
          <w:szCs w:val="26"/>
        </w:rPr>
        <w:t>d’</w:t>
      </w:r>
      <w:r w:rsidRPr="00215B3D">
        <w:rPr>
          <w:rFonts w:ascii="Segoe UI" w:hAnsi="Segoe UI" w:cs="Segoe UI"/>
          <w:bCs/>
          <w:iCs/>
          <w:sz w:val="24"/>
          <w:szCs w:val="26"/>
        </w:rPr>
        <w:t>engagement par nature de</w:t>
      </w:r>
      <w:r w:rsidR="004E388C" w:rsidRPr="00215B3D">
        <w:rPr>
          <w:rFonts w:ascii="Segoe UI" w:hAnsi="Segoe UI" w:cs="Segoe UI"/>
          <w:bCs/>
          <w:iCs/>
          <w:sz w:val="24"/>
          <w:szCs w:val="26"/>
        </w:rPr>
        <w:t>s</w:t>
      </w:r>
      <w:r w:rsidRPr="00215B3D">
        <w:rPr>
          <w:rFonts w:ascii="Segoe UI" w:hAnsi="Segoe UI" w:cs="Segoe UI"/>
          <w:bCs/>
          <w:iCs/>
          <w:sz w:val="24"/>
          <w:szCs w:val="26"/>
        </w:rPr>
        <w:t xml:space="preserve"> dépenses</w:t>
      </w:r>
      <w:r w:rsidR="004E388C" w:rsidRPr="00215B3D">
        <w:rPr>
          <w:rFonts w:ascii="Segoe UI" w:hAnsi="Segoe UI" w:cs="Segoe UI"/>
          <w:bCs/>
          <w:iCs/>
          <w:sz w:val="24"/>
          <w:szCs w:val="26"/>
        </w:rPr>
        <w:t xml:space="preserve"> ordinaires sont récapitulés</w:t>
      </w:r>
      <w:r w:rsidRPr="00215B3D">
        <w:rPr>
          <w:rFonts w:ascii="Segoe UI" w:hAnsi="Segoe UI" w:cs="Segoe UI"/>
          <w:bCs/>
          <w:iCs/>
          <w:sz w:val="24"/>
          <w:szCs w:val="26"/>
        </w:rPr>
        <w:t xml:space="preserve"> dans le tableau n° </w:t>
      </w:r>
      <w:r w:rsidR="007E3BE0">
        <w:rPr>
          <w:rFonts w:ascii="Segoe UI" w:hAnsi="Segoe UI" w:cs="Segoe UI"/>
          <w:bCs/>
          <w:iCs/>
          <w:sz w:val="24"/>
          <w:szCs w:val="26"/>
        </w:rPr>
        <w:t>7</w:t>
      </w:r>
      <w:r w:rsidRPr="00215B3D">
        <w:rPr>
          <w:rFonts w:ascii="Segoe UI" w:hAnsi="Segoe UI" w:cs="Segoe UI"/>
          <w:bCs/>
          <w:iCs/>
          <w:sz w:val="24"/>
          <w:szCs w:val="26"/>
        </w:rPr>
        <w:t xml:space="preserve"> ci-après :</w:t>
      </w:r>
      <w:bookmarkStart w:id="25" w:name="OLE_LINK1"/>
      <w:bookmarkStart w:id="26" w:name="OLE_LINK2"/>
    </w:p>
    <w:p w:rsidR="00DF4C34" w:rsidRDefault="00DF4C34" w:rsidP="00F86F7D">
      <w:pPr>
        <w:spacing w:after="0" w:line="360" w:lineRule="auto"/>
        <w:jc w:val="both"/>
        <w:rPr>
          <w:rFonts w:ascii="Segoe UI" w:hAnsi="Segoe UI" w:cs="Segoe UI"/>
          <w:bCs/>
          <w:iCs/>
          <w:sz w:val="24"/>
          <w:szCs w:val="26"/>
        </w:rPr>
      </w:pPr>
    </w:p>
    <w:p w:rsidR="00DF4C34" w:rsidRDefault="00DF4C34" w:rsidP="00F86F7D">
      <w:pPr>
        <w:spacing w:after="0" w:line="360" w:lineRule="auto"/>
        <w:jc w:val="both"/>
        <w:rPr>
          <w:rFonts w:ascii="Segoe UI" w:hAnsi="Segoe UI" w:cs="Segoe UI"/>
          <w:bCs/>
          <w:iCs/>
          <w:sz w:val="24"/>
          <w:szCs w:val="26"/>
        </w:rPr>
      </w:pPr>
    </w:p>
    <w:p w:rsidR="00DF4C34" w:rsidRDefault="00DF4C34" w:rsidP="00F86F7D">
      <w:pPr>
        <w:spacing w:after="0" w:line="360" w:lineRule="auto"/>
        <w:jc w:val="both"/>
        <w:rPr>
          <w:rFonts w:ascii="Segoe UI" w:hAnsi="Segoe UI" w:cs="Segoe UI"/>
          <w:bCs/>
          <w:iCs/>
          <w:sz w:val="24"/>
          <w:szCs w:val="26"/>
        </w:rPr>
      </w:pPr>
    </w:p>
    <w:p w:rsidR="00DF4C34" w:rsidRPr="00215B3D" w:rsidRDefault="00DF4C34" w:rsidP="00F86F7D">
      <w:pPr>
        <w:spacing w:after="0" w:line="360" w:lineRule="auto"/>
        <w:jc w:val="both"/>
        <w:rPr>
          <w:rFonts w:ascii="Segoe UI" w:hAnsi="Segoe UI" w:cs="Segoe UI"/>
          <w:bCs/>
          <w:iCs/>
          <w:sz w:val="24"/>
          <w:szCs w:val="26"/>
        </w:rPr>
      </w:pPr>
    </w:p>
    <w:p w:rsidR="00515C43" w:rsidRPr="0074636F" w:rsidRDefault="00515C43" w:rsidP="00F86F7D">
      <w:pPr>
        <w:spacing w:after="0" w:line="360" w:lineRule="auto"/>
        <w:jc w:val="both"/>
        <w:rPr>
          <w:rFonts w:ascii="Segoe UI" w:hAnsi="Segoe UI" w:cs="Segoe UI"/>
          <w:b/>
          <w:sz w:val="2"/>
          <w:szCs w:val="16"/>
          <w:u w:val="single"/>
        </w:rPr>
      </w:pPr>
    </w:p>
    <w:p w:rsidR="005A5585" w:rsidRPr="00215B3D" w:rsidRDefault="00510A64" w:rsidP="004A1038">
      <w:pPr>
        <w:pStyle w:val="Listedestableaux"/>
        <w:rPr>
          <w:rFonts w:ascii="Segoe UI" w:hAnsi="Segoe UI" w:cs="Segoe UI"/>
        </w:rPr>
      </w:pPr>
      <w:bookmarkStart w:id="27" w:name="_Toc495935943"/>
      <w:r w:rsidRPr="00215B3D">
        <w:rPr>
          <w:rFonts w:ascii="Segoe UI" w:hAnsi="Segoe UI" w:cs="Segoe UI"/>
          <w:u w:val="single"/>
        </w:rPr>
        <w:lastRenderedPageBreak/>
        <w:t xml:space="preserve">Tableau </w:t>
      </w:r>
      <w:r w:rsidR="00807BBA">
        <w:rPr>
          <w:rFonts w:ascii="Segoe UI" w:hAnsi="Segoe UI" w:cs="Segoe UI"/>
          <w:u w:val="single"/>
        </w:rPr>
        <w:t>7</w:t>
      </w:r>
      <w:r w:rsidRPr="00215B3D">
        <w:rPr>
          <w:rFonts w:ascii="Segoe UI" w:hAnsi="Segoe UI" w:cs="Segoe UI"/>
        </w:rPr>
        <w:t> : E</w:t>
      </w:r>
      <w:r w:rsidR="0087708D">
        <w:rPr>
          <w:rFonts w:ascii="Segoe UI" w:hAnsi="Segoe UI" w:cs="Segoe UI"/>
        </w:rPr>
        <w:t xml:space="preserve">xécution </w:t>
      </w:r>
      <w:r w:rsidRPr="00215B3D">
        <w:rPr>
          <w:rFonts w:ascii="Segoe UI" w:hAnsi="Segoe UI" w:cs="Segoe UI"/>
        </w:rPr>
        <w:t xml:space="preserve">des dépenses ordinaires au </w:t>
      </w:r>
      <w:r w:rsidR="00A74290" w:rsidRPr="00215B3D">
        <w:rPr>
          <w:rFonts w:ascii="Segoe UI" w:hAnsi="Segoe UI" w:cs="Segoe UI"/>
        </w:rPr>
        <w:t>3</w:t>
      </w:r>
      <w:r w:rsidR="005955EB" w:rsidRPr="00215B3D">
        <w:rPr>
          <w:rFonts w:ascii="Segoe UI" w:hAnsi="Segoe UI" w:cs="Segoe UI"/>
        </w:rPr>
        <w:t>0 juin</w:t>
      </w:r>
      <w:r w:rsidRPr="00215B3D">
        <w:rPr>
          <w:rFonts w:ascii="Segoe UI" w:hAnsi="Segoe UI" w:cs="Segoe UI"/>
        </w:rPr>
        <w:t xml:space="preserve"> 201</w:t>
      </w:r>
      <w:r w:rsidR="005955EB" w:rsidRPr="00215B3D">
        <w:rPr>
          <w:rFonts w:ascii="Segoe UI" w:hAnsi="Segoe UI" w:cs="Segoe UI"/>
        </w:rPr>
        <w:t>6</w:t>
      </w:r>
      <w:r w:rsidRPr="00215B3D">
        <w:rPr>
          <w:rFonts w:ascii="Segoe UI" w:hAnsi="Segoe UI" w:cs="Segoe UI"/>
        </w:rPr>
        <w:t xml:space="preserve"> et 201</w:t>
      </w:r>
      <w:bookmarkEnd w:id="25"/>
      <w:bookmarkEnd w:id="26"/>
      <w:r w:rsidR="005955EB" w:rsidRPr="00215B3D">
        <w:rPr>
          <w:rFonts w:ascii="Segoe UI" w:hAnsi="Segoe UI" w:cs="Segoe UI"/>
        </w:rPr>
        <w:t>7</w:t>
      </w:r>
      <w:bookmarkEnd w:id="27"/>
    </w:p>
    <w:tbl>
      <w:tblPr>
        <w:tblW w:w="9640" w:type="dxa"/>
        <w:jc w:val="center"/>
        <w:tblLayout w:type="fixed"/>
        <w:tblCellMar>
          <w:left w:w="70" w:type="dxa"/>
          <w:right w:w="70" w:type="dxa"/>
        </w:tblCellMar>
        <w:tblLook w:val="04A0" w:firstRow="1" w:lastRow="0" w:firstColumn="1" w:lastColumn="0" w:noHBand="0" w:noVBand="1"/>
      </w:tblPr>
      <w:tblGrid>
        <w:gridCol w:w="2127"/>
        <w:gridCol w:w="992"/>
        <w:gridCol w:w="993"/>
        <w:gridCol w:w="708"/>
        <w:gridCol w:w="993"/>
        <w:gridCol w:w="1134"/>
        <w:gridCol w:w="708"/>
        <w:gridCol w:w="1135"/>
        <w:gridCol w:w="850"/>
      </w:tblGrid>
      <w:tr w:rsidR="00756386" w:rsidRPr="00215B3D" w:rsidTr="00113932">
        <w:trPr>
          <w:trHeight w:val="315"/>
          <w:jc w:val="center"/>
        </w:trPr>
        <w:tc>
          <w:tcPr>
            <w:tcW w:w="2127" w:type="dxa"/>
            <w:vMerge w:val="restart"/>
            <w:tcBorders>
              <w:top w:val="single" w:sz="8" w:space="0" w:color="auto"/>
              <w:left w:val="single" w:sz="8" w:space="0" w:color="auto"/>
              <w:right w:val="nil"/>
            </w:tcBorders>
            <w:vAlign w:val="center"/>
            <w:hideMark/>
          </w:tcPr>
          <w:p w:rsidR="00756386" w:rsidRPr="00215B3D" w:rsidRDefault="00756386" w:rsidP="005A5585">
            <w:pPr>
              <w:spacing w:after="0" w:line="240" w:lineRule="auto"/>
              <w:jc w:val="center"/>
              <w:rPr>
                <w:rFonts w:ascii="Segoe UI" w:hAnsi="Segoe UI" w:cs="Segoe UI"/>
                <w:b/>
                <w:bCs/>
                <w:sz w:val="20"/>
                <w:szCs w:val="20"/>
              </w:rPr>
            </w:pPr>
            <w:r w:rsidRPr="00215B3D">
              <w:rPr>
                <w:rFonts w:ascii="Segoe UI" w:hAnsi="Segoe UI" w:cs="Segoe UI"/>
                <w:b/>
                <w:bCs/>
                <w:sz w:val="20"/>
                <w:szCs w:val="20"/>
              </w:rPr>
              <w:t>Nature des dépenses</w:t>
            </w:r>
          </w:p>
        </w:tc>
        <w:tc>
          <w:tcPr>
            <w:tcW w:w="2693" w:type="dxa"/>
            <w:gridSpan w:val="3"/>
            <w:tcBorders>
              <w:top w:val="single" w:sz="8" w:space="0" w:color="auto"/>
              <w:left w:val="double" w:sz="6" w:space="0" w:color="auto"/>
              <w:bottom w:val="single" w:sz="4" w:space="0" w:color="auto"/>
              <w:right w:val="double" w:sz="6" w:space="0" w:color="000000"/>
            </w:tcBorders>
            <w:noWrap/>
            <w:vAlign w:val="bottom"/>
            <w:hideMark/>
          </w:tcPr>
          <w:p w:rsidR="00756386" w:rsidRPr="00215B3D" w:rsidRDefault="00756386" w:rsidP="00D1625F">
            <w:pPr>
              <w:spacing w:after="0" w:line="240" w:lineRule="auto"/>
              <w:jc w:val="center"/>
              <w:rPr>
                <w:rFonts w:ascii="Segoe UI" w:hAnsi="Segoe UI" w:cs="Segoe UI"/>
                <w:b/>
                <w:bCs/>
                <w:sz w:val="20"/>
                <w:szCs w:val="20"/>
              </w:rPr>
            </w:pPr>
            <w:r w:rsidRPr="00215B3D">
              <w:rPr>
                <w:rFonts w:ascii="Segoe UI" w:hAnsi="Segoe UI" w:cs="Segoe UI"/>
                <w:b/>
                <w:bCs/>
                <w:sz w:val="20"/>
                <w:szCs w:val="20"/>
              </w:rPr>
              <w:t>201</w:t>
            </w:r>
            <w:r w:rsidR="00D1625F" w:rsidRPr="00215B3D">
              <w:rPr>
                <w:rFonts w:ascii="Segoe UI" w:hAnsi="Segoe UI" w:cs="Segoe UI"/>
                <w:b/>
                <w:bCs/>
                <w:sz w:val="20"/>
                <w:szCs w:val="20"/>
              </w:rPr>
              <w:t>6</w:t>
            </w:r>
          </w:p>
        </w:tc>
        <w:tc>
          <w:tcPr>
            <w:tcW w:w="2835" w:type="dxa"/>
            <w:gridSpan w:val="3"/>
            <w:tcBorders>
              <w:top w:val="single" w:sz="8" w:space="0" w:color="auto"/>
              <w:left w:val="nil"/>
              <w:bottom w:val="single" w:sz="4" w:space="0" w:color="auto"/>
              <w:right w:val="double" w:sz="6" w:space="0" w:color="000000"/>
            </w:tcBorders>
            <w:noWrap/>
            <w:vAlign w:val="bottom"/>
            <w:hideMark/>
          </w:tcPr>
          <w:p w:rsidR="00756386" w:rsidRPr="00215B3D" w:rsidRDefault="00756386" w:rsidP="00F3061B">
            <w:pPr>
              <w:spacing w:after="0" w:line="240" w:lineRule="auto"/>
              <w:jc w:val="center"/>
              <w:rPr>
                <w:rFonts w:ascii="Segoe UI" w:hAnsi="Segoe UI" w:cs="Segoe UI"/>
                <w:b/>
                <w:bCs/>
                <w:sz w:val="20"/>
                <w:szCs w:val="20"/>
              </w:rPr>
            </w:pPr>
            <w:r w:rsidRPr="00215B3D">
              <w:rPr>
                <w:rFonts w:ascii="Segoe UI" w:hAnsi="Segoe UI" w:cs="Segoe UI"/>
                <w:b/>
                <w:bCs/>
                <w:sz w:val="20"/>
                <w:szCs w:val="20"/>
              </w:rPr>
              <w:t>201</w:t>
            </w:r>
            <w:r w:rsidR="001A06A6" w:rsidRPr="00215B3D">
              <w:rPr>
                <w:rFonts w:ascii="Segoe UI" w:hAnsi="Segoe UI" w:cs="Segoe UI"/>
                <w:b/>
                <w:bCs/>
                <w:sz w:val="20"/>
                <w:szCs w:val="20"/>
              </w:rPr>
              <w:t>7</w:t>
            </w:r>
          </w:p>
        </w:tc>
        <w:tc>
          <w:tcPr>
            <w:tcW w:w="1985" w:type="dxa"/>
            <w:gridSpan w:val="2"/>
            <w:tcBorders>
              <w:top w:val="single" w:sz="8" w:space="0" w:color="auto"/>
              <w:left w:val="nil"/>
              <w:bottom w:val="single" w:sz="4" w:space="0" w:color="auto"/>
              <w:right w:val="single" w:sz="8" w:space="0" w:color="000000"/>
            </w:tcBorders>
            <w:vAlign w:val="center"/>
            <w:hideMark/>
          </w:tcPr>
          <w:p w:rsidR="00756386" w:rsidRPr="00215B3D" w:rsidRDefault="00756386" w:rsidP="005A5585">
            <w:pPr>
              <w:spacing w:after="0" w:line="240" w:lineRule="auto"/>
              <w:jc w:val="center"/>
              <w:rPr>
                <w:rFonts w:ascii="Segoe UI" w:hAnsi="Segoe UI" w:cs="Segoe UI"/>
                <w:b/>
                <w:bCs/>
                <w:sz w:val="20"/>
                <w:szCs w:val="20"/>
              </w:rPr>
            </w:pPr>
            <w:r w:rsidRPr="00215B3D">
              <w:rPr>
                <w:rFonts w:ascii="Segoe UI" w:hAnsi="Segoe UI" w:cs="Segoe UI"/>
                <w:b/>
                <w:bCs/>
                <w:sz w:val="20"/>
                <w:szCs w:val="20"/>
              </w:rPr>
              <w:t>ECARTS</w:t>
            </w:r>
          </w:p>
        </w:tc>
      </w:tr>
      <w:tr w:rsidR="00756386" w:rsidRPr="00215B3D" w:rsidTr="001B110D">
        <w:trPr>
          <w:trHeight w:val="929"/>
          <w:jc w:val="center"/>
        </w:trPr>
        <w:tc>
          <w:tcPr>
            <w:tcW w:w="2127" w:type="dxa"/>
            <w:vMerge/>
            <w:tcBorders>
              <w:left w:val="single" w:sz="8" w:space="0" w:color="auto"/>
              <w:bottom w:val="nil"/>
              <w:right w:val="nil"/>
            </w:tcBorders>
            <w:vAlign w:val="center"/>
            <w:hideMark/>
          </w:tcPr>
          <w:p w:rsidR="00756386" w:rsidRPr="00215B3D" w:rsidRDefault="00756386" w:rsidP="005A5585">
            <w:pPr>
              <w:spacing w:after="0" w:line="240" w:lineRule="auto"/>
              <w:rPr>
                <w:rFonts w:ascii="Segoe UI" w:hAnsi="Segoe UI" w:cs="Segoe UI"/>
                <w:b/>
                <w:bCs/>
                <w:sz w:val="20"/>
                <w:szCs w:val="20"/>
              </w:rPr>
            </w:pPr>
          </w:p>
        </w:tc>
        <w:tc>
          <w:tcPr>
            <w:tcW w:w="992" w:type="dxa"/>
            <w:vMerge w:val="restart"/>
            <w:tcBorders>
              <w:top w:val="nil"/>
              <w:left w:val="double" w:sz="6" w:space="0" w:color="auto"/>
              <w:right w:val="single" w:sz="4"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r w:rsidRPr="00215B3D">
              <w:rPr>
                <w:rFonts w:ascii="Segoe UI" w:hAnsi="Segoe UI" w:cs="Segoe UI"/>
                <w:sz w:val="20"/>
                <w:szCs w:val="20"/>
              </w:rPr>
              <w:t>Prévis</w:t>
            </w:r>
          </w:p>
        </w:tc>
        <w:tc>
          <w:tcPr>
            <w:tcW w:w="993" w:type="dxa"/>
            <w:vMerge w:val="restart"/>
            <w:tcBorders>
              <w:top w:val="nil"/>
              <w:left w:val="single" w:sz="4" w:space="0" w:color="auto"/>
              <w:right w:val="single" w:sz="4"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proofErr w:type="spellStart"/>
            <w:r w:rsidRPr="00215B3D">
              <w:rPr>
                <w:rFonts w:ascii="Segoe UI" w:hAnsi="Segoe UI" w:cs="Segoe UI"/>
                <w:sz w:val="20"/>
                <w:szCs w:val="20"/>
              </w:rPr>
              <w:t>Engag</w:t>
            </w:r>
            <w:proofErr w:type="spellEnd"/>
            <w:r w:rsidRPr="00215B3D">
              <w:rPr>
                <w:rFonts w:ascii="Segoe UI" w:hAnsi="Segoe UI" w:cs="Segoe UI"/>
                <w:sz w:val="20"/>
                <w:szCs w:val="20"/>
              </w:rPr>
              <w:t xml:space="preserve">.     </w:t>
            </w:r>
          </w:p>
        </w:tc>
        <w:tc>
          <w:tcPr>
            <w:tcW w:w="708" w:type="dxa"/>
            <w:vMerge w:val="restart"/>
            <w:tcBorders>
              <w:top w:val="nil"/>
              <w:left w:val="single" w:sz="4" w:space="0" w:color="auto"/>
              <w:right w:val="double" w:sz="6"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r w:rsidRPr="00215B3D">
              <w:rPr>
                <w:rFonts w:ascii="Segoe UI" w:hAnsi="Segoe UI" w:cs="Segoe UI"/>
                <w:sz w:val="20"/>
                <w:szCs w:val="20"/>
              </w:rPr>
              <w:t xml:space="preserve">Taux  </w:t>
            </w:r>
            <w:proofErr w:type="spellStart"/>
            <w:r w:rsidRPr="00215B3D">
              <w:rPr>
                <w:rFonts w:ascii="Segoe UI" w:hAnsi="Segoe UI" w:cs="Segoe UI"/>
                <w:sz w:val="20"/>
                <w:szCs w:val="20"/>
              </w:rPr>
              <w:t>Engag</w:t>
            </w:r>
            <w:proofErr w:type="spellEnd"/>
            <w:r w:rsidRPr="00215B3D">
              <w:rPr>
                <w:rFonts w:ascii="Segoe UI" w:hAnsi="Segoe UI" w:cs="Segoe UI"/>
                <w:sz w:val="20"/>
                <w:szCs w:val="20"/>
              </w:rPr>
              <w:t>.</w:t>
            </w:r>
          </w:p>
        </w:tc>
        <w:tc>
          <w:tcPr>
            <w:tcW w:w="993" w:type="dxa"/>
            <w:vMerge w:val="restart"/>
            <w:tcBorders>
              <w:top w:val="nil"/>
              <w:left w:val="double" w:sz="6" w:space="0" w:color="auto"/>
              <w:right w:val="single" w:sz="4"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r w:rsidRPr="00215B3D">
              <w:rPr>
                <w:rFonts w:ascii="Segoe UI" w:hAnsi="Segoe UI" w:cs="Segoe UI"/>
                <w:sz w:val="20"/>
                <w:szCs w:val="20"/>
              </w:rPr>
              <w:t>Prévis</w:t>
            </w:r>
          </w:p>
        </w:tc>
        <w:tc>
          <w:tcPr>
            <w:tcW w:w="1134" w:type="dxa"/>
            <w:vMerge w:val="restart"/>
            <w:tcBorders>
              <w:top w:val="nil"/>
              <w:left w:val="single" w:sz="4" w:space="0" w:color="auto"/>
              <w:right w:val="single" w:sz="4"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proofErr w:type="spellStart"/>
            <w:r w:rsidRPr="00215B3D">
              <w:rPr>
                <w:rFonts w:ascii="Segoe UI" w:hAnsi="Segoe UI" w:cs="Segoe UI"/>
                <w:sz w:val="20"/>
                <w:szCs w:val="20"/>
              </w:rPr>
              <w:t>Engag</w:t>
            </w:r>
            <w:proofErr w:type="spellEnd"/>
            <w:r w:rsidRPr="00215B3D">
              <w:rPr>
                <w:rFonts w:ascii="Segoe UI" w:hAnsi="Segoe UI" w:cs="Segoe UI"/>
                <w:sz w:val="20"/>
                <w:szCs w:val="20"/>
              </w:rPr>
              <w:t xml:space="preserve">.     </w:t>
            </w:r>
          </w:p>
        </w:tc>
        <w:tc>
          <w:tcPr>
            <w:tcW w:w="708" w:type="dxa"/>
            <w:vMerge w:val="restart"/>
            <w:tcBorders>
              <w:top w:val="nil"/>
              <w:left w:val="single" w:sz="4" w:space="0" w:color="auto"/>
              <w:right w:val="double" w:sz="6" w:space="0" w:color="auto"/>
            </w:tcBorders>
            <w:vAlign w:val="center"/>
            <w:hideMark/>
          </w:tcPr>
          <w:p w:rsidR="00756386" w:rsidRPr="00215B3D" w:rsidRDefault="00756386" w:rsidP="005A5585">
            <w:pPr>
              <w:spacing w:after="0" w:line="240" w:lineRule="auto"/>
              <w:jc w:val="center"/>
              <w:rPr>
                <w:rFonts w:ascii="Segoe UI" w:hAnsi="Segoe UI" w:cs="Segoe UI"/>
                <w:sz w:val="20"/>
                <w:szCs w:val="20"/>
              </w:rPr>
            </w:pPr>
            <w:r w:rsidRPr="00215B3D">
              <w:rPr>
                <w:rFonts w:ascii="Segoe UI" w:hAnsi="Segoe UI" w:cs="Segoe UI"/>
                <w:sz w:val="20"/>
                <w:szCs w:val="20"/>
              </w:rPr>
              <w:t xml:space="preserve">Taux  </w:t>
            </w:r>
            <w:proofErr w:type="spellStart"/>
            <w:r w:rsidRPr="00215B3D">
              <w:rPr>
                <w:rFonts w:ascii="Segoe UI" w:hAnsi="Segoe UI" w:cs="Segoe UI"/>
                <w:sz w:val="20"/>
                <w:szCs w:val="20"/>
              </w:rPr>
              <w:t>Engag</w:t>
            </w:r>
            <w:proofErr w:type="spellEnd"/>
            <w:r w:rsidRPr="00215B3D">
              <w:rPr>
                <w:rFonts w:ascii="Segoe UI" w:hAnsi="Segoe UI" w:cs="Segoe UI"/>
                <w:sz w:val="20"/>
                <w:szCs w:val="20"/>
              </w:rPr>
              <w:t>.</w:t>
            </w:r>
          </w:p>
        </w:tc>
        <w:tc>
          <w:tcPr>
            <w:tcW w:w="1135" w:type="dxa"/>
            <w:vMerge w:val="restart"/>
            <w:tcBorders>
              <w:top w:val="nil"/>
              <w:left w:val="double" w:sz="6" w:space="0" w:color="auto"/>
              <w:right w:val="single" w:sz="4" w:space="0" w:color="auto"/>
            </w:tcBorders>
            <w:vAlign w:val="center"/>
            <w:hideMark/>
          </w:tcPr>
          <w:p w:rsidR="00756386" w:rsidRPr="00215B3D" w:rsidRDefault="00164619" w:rsidP="001B110D">
            <w:pPr>
              <w:spacing w:after="0" w:line="240" w:lineRule="auto"/>
              <w:jc w:val="center"/>
              <w:rPr>
                <w:rFonts w:ascii="Segoe UI" w:hAnsi="Segoe UI" w:cs="Segoe UI"/>
                <w:sz w:val="20"/>
                <w:szCs w:val="20"/>
              </w:rPr>
            </w:pPr>
            <w:r>
              <w:rPr>
                <w:rFonts w:ascii="Segoe UI" w:hAnsi="Segoe UI" w:cs="Segoe UI"/>
                <w:sz w:val="20"/>
                <w:szCs w:val="20"/>
              </w:rPr>
              <w:t>Valeur</w:t>
            </w:r>
          </w:p>
        </w:tc>
        <w:tc>
          <w:tcPr>
            <w:tcW w:w="850" w:type="dxa"/>
            <w:tcBorders>
              <w:top w:val="nil"/>
              <w:left w:val="single" w:sz="4" w:space="0" w:color="auto"/>
              <w:bottom w:val="nil"/>
              <w:right w:val="single" w:sz="8" w:space="0" w:color="auto"/>
            </w:tcBorders>
            <w:vAlign w:val="center"/>
            <w:hideMark/>
          </w:tcPr>
          <w:p w:rsidR="00756386" w:rsidRPr="00215B3D" w:rsidRDefault="00A129D0" w:rsidP="00164619">
            <w:pPr>
              <w:spacing w:after="0" w:line="240" w:lineRule="auto"/>
              <w:jc w:val="center"/>
              <w:rPr>
                <w:rFonts w:ascii="Segoe UI" w:hAnsi="Segoe UI" w:cs="Segoe UI"/>
                <w:sz w:val="20"/>
                <w:szCs w:val="20"/>
              </w:rPr>
            </w:pPr>
            <w:r w:rsidRPr="00215B3D">
              <w:rPr>
                <w:rFonts w:ascii="Segoe UI" w:hAnsi="Segoe UI" w:cs="Segoe UI"/>
                <w:sz w:val="20"/>
                <w:szCs w:val="20"/>
              </w:rPr>
              <w:t xml:space="preserve">Taux </w:t>
            </w:r>
            <w:r w:rsidR="00164619">
              <w:rPr>
                <w:rFonts w:ascii="Segoe UI" w:hAnsi="Segoe UI" w:cs="Segoe UI"/>
                <w:sz w:val="20"/>
                <w:szCs w:val="20"/>
              </w:rPr>
              <w:t>d’évolution</w:t>
            </w:r>
          </w:p>
        </w:tc>
      </w:tr>
      <w:tr w:rsidR="00756386" w:rsidRPr="00215B3D" w:rsidTr="00164619">
        <w:trPr>
          <w:trHeight w:val="65"/>
          <w:jc w:val="center"/>
        </w:trPr>
        <w:tc>
          <w:tcPr>
            <w:tcW w:w="2127" w:type="dxa"/>
            <w:vMerge/>
            <w:tcBorders>
              <w:left w:val="single" w:sz="8" w:space="0" w:color="auto"/>
              <w:bottom w:val="single" w:sz="4" w:space="0" w:color="auto"/>
              <w:right w:val="nil"/>
            </w:tcBorders>
            <w:noWrap/>
            <w:vAlign w:val="bottom"/>
            <w:hideMark/>
          </w:tcPr>
          <w:p w:rsidR="00756386" w:rsidRPr="00215B3D" w:rsidRDefault="00756386" w:rsidP="005A5585">
            <w:pPr>
              <w:spacing w:after="0" w:line="240" w:lineRule="auto"/>
              <w:rPr>
                <w:rFonts w:ascii="Segoe UI" w:hAnsi="Segoe UI" w:cs="Segoe UI"/>
                <w:b/>
                <w:bCs/>
                <w:sz w:val="20"/>
                <w:szCs w:val="20"/>
              </w:rPr>
            </w:pPr>
          </w:p>
        </w:tc>
        <w:tc>
          <w:tcPr>
            <w:tcW w:w="992" w:type="dxa"/>
            <w:vMerge/>
            <w:tcBorders>
              <w:left w:val="double" w:sz="6" w:space="0" w:color="auto"/>
              <w:bottom w:val="single" w:sz="4" w:space="0" w:color="auto"/>
              <w:right w:val="single" w:sz="4" w:space="0" w:color="auto"/>
            </w:tcBorders>
            <w:noWrap/>
            <w:vAlign w:val="bottom"/>
            <w:hideMark/>
          </w:tcPr>
          <w:p w:rsidR="00756386" w:rsidRPr="00215B3D" w:rsidRDefault="00756386" w:rsidP="005A5585">
            <w:pPr>
              <w:spacing w:after="0" w:line="240" w:lineRule="auto"/>
              <w:jc w:val="right"/>
              <w:rPr>
                <w:rFonts w:ascii="Segoe UI" w:hAnsi="Segoe UI" w:cs="Segoe UI"/>
                <w:b/>
                <w:bCs/>
                <w:sz w:val="20"/>
                <w:szCs w:val="20"/>
              </w:rPr>
            </w:pPr>
          </w:p>
        </w:tc>
        <w:tc>
          <w:tcPr>
            <w:tcW w:w="993" w:type="dxa"/>
            <w:vMerge/>
            <w:tcBorders>
              <w:left w:val="single" w:sz="4" w:space="0" w:color="auto"/>
              <w:bottom w:val="single" w:sz="4" w:space="0" w:color="auto"/>
              <w:right w:val="single" w:sz="4" w:space="0" w:color="auto"/>
            </w:tcBorders>
            <w:noWrap/>
            <w:vAlign w:val="bottom"/>
            <w:hideMark/>
          </w:tcPr>
          <w:p w:rsidR="00756386" w:rsidRPr="00215B3D" w:rsidRDefault="00756386" w:rsidP="005A5585">
            <w:pPr>
              <w:spacing w:after="0" w:line="240" w:lineRule="auto"/>
              <w:jc w:val="right"/>
              <w:rPr>
                <w:rFonts w:ascii="Segoe UI" w:hAnsi="Segoe UI" w:cs="Segoe UI"/>
                <w:b/>
                <w:bCs/>
                <w:sz w:val="20"/>
                <w:szCs w:val="20"/>
              </w:rPr>
            </w:pPr>
          </w:p>
        </w:tc>
        <w:tc>
          <w:tcPr>
            <w:tcW w:w="708" w:type="dxa"/>
            <w:vMerge/>
            <w:tcBorders>
              <w:left w:val="single" w:sz="4" w:space="0" w:color="auto"/>
              <w:bottom w:val="single" w:sz="4" w:space="0" w:color="auto"/>
              <w:right w:val="double" w:sz="6" w:space="0" w:color="auto"/>
            </w:tcBorders>
            <w:noWrap/>
            <w:vAlign w:val="bottom"/>
            <w:hideMark/>
          </w:tcPr>
          <w:p w:rsidR="00756386" w:rsidRPr="00215B3D" w:rsidRDefault="00756386" w:rsidP="005A5585">
            <w:pPr>
              <w:spacing w:after="0" w:line="240" w:lineRule="auto"/>
              <w:jc w:val="right"/>
              <w:rPr>
                <w:rFonts w:ascii="Segoe UI" w:hAnsi="Segoe UI" w:cs="Segoe UI"/>
                <w:b/>
                <w:bCs/>
                <w:sz w:val="20"/>
                <w:szCs w:val="20"/>
              </w:rPr>
            </w:pPr>
          </w:p>
        </w:tc>
        <w:tc>
          <w:tcPr>
            <w:tcW w:w="993" w:type="dxa"/>
            <w:vMerge/>
            <w:tcBorders>
              <w:left w:val="double" w:sz="6" w:space="0" w:color="auto"/>
              <w:bottom w:val="single" w:sz="4" w:space="0" w:color="auto"/>
              <w:right w:val="single" w:sz="4" w:space="0" w:color="auto"/>
            </w:tcBorders>
            <w:noWrap/>
            <w:vAlign w:val="bottom"/>
            <w:hideMark/>
          </w:tcPr>
          <w:p w:rsidR="00756386" w:rsidRPr="00215B3D" w:rsidRDefault="00756386" w:rsidP="005A5585">
            <w:pPr>
              <w:spacing w:after="0" w:line="240" w:lineRule="auto"/>
              <w:jc w:val="center"/>
              <w:rPr>
                <w:rFonts w:ascii="Segoe UI" w:hAnsi="Segoe UI" w:cs="Segoe UI"/>
                <w:b/>
                <w:bCs/>
                <w:sz w:val="20"/>
                <w:szCs w:val="20"/>
              </w:rPr>
            </w:pPr>
          </w:p>
        </w:tc>
        <w:tc>
          <w:tcPr>
            <w:tcW w:w="1134" w:type="dxa"/>
            <w:vMerge/>
            <w:tcBorders>
              <w:left w:val="single" w:sz="4" w:space="0" w:color="auto"/>
              <w:bottom w:val="single" w:sz="4" w:space="0" w:color="auto"/>
              <w:right w:val="single" w:sz="4" w:space="0" w:color="auto"/>
            </w:tcBorders>
            <w:noWrap/>
            <w:vAlign w:val="bottom"/>
            <w:hideMark/>
          </w:tcPr>
          <w:p w:rsidR="00756386" w:rsidRPr="00215B3D" w:rsidRDefault="00756386" w:rsidP="005A5585">
            <w:pPr>
              <w:spacing w:after="0" w:line="240" w:lineRule="auto"/>
              <w:jc w:val="right"/>
              <w:rPr>
                <w:rFonts w:ascii="Segoe UI" w:hAnsi="Segoe UI" w:cs="Segoe UI"/>
                <w:b/>
                <w:bCs/>
                <w:sz w:val="20"/>
                <w:szCs w:val="20"/>
              </w:rPr>
            </w:pPr>
          </w:p>
        </w:tc>
        <w:tc>
          <w:tcPr>
            <w:tcW w:w="708" w:type="dxa"/>
            <w:vMerge/>
            <w:tcBorders>
              <w:left w:val="single" w:sz="4" w:space="0" w:color="auto"/>
              <w:bottom w:val="single" w:sz="4" w:space="0" w:color="auto"/>
              <w:right w:val="double" w:sz="6" w:space="0" w:color="auto"/>
            </w:tcBorders>
            <w:noWrap/>
            <w:vAlign w:val="bottom"/>
            <w:hideMark/>
          </w:tcPr>
          <w:p w:rsidR="00756386" w:rsidRPr="00215B3D" w:rsidRDefault="00756386" w:rsidP="005A5585">
            <w:pPr>
              <w:spacing w:after="0" w:line="240" w:lineRule="auto"/>
              <w:jc w:val="right"/>
              <w:rPr>
                <w:rFonts w:ascii="Segoe UI" w:hAnsi="Segoe UI" w:cs="Segoe UI"/>
                <w:b/>
                <w:bCs/>
                <w:sz w:val="20"/>
                <w:szCs w:val="20"/>
              </w:rPr>
            </w:pPr>
          </w:p>
        </w:tc>
        <w:tc>
          <w:tcPr>
            <w:tcW w:w="1135" w:type="dxa"/>
            <w:vMerge/>
            <w:tcBorders>
              <w:left w:val="double" w:sz="6" w:space="0" w:color="auto"/>
              <w:bottom w:val="single" w:sz="4" w:space="0" w:color="auto"/>
              <w:right w:val="single" w:sz="4" w:space="0" w:color="auto"/>
            </w:tcBorders>
            <w:noWrap/>
            <w:vAlign w:val="center"/>
            <w:hideMark/>
          </w:tcPr>
          <w:p w:rsidR="00756386" w:rsidRPr="00215B3D" w:rsidRDefault="00756386" w:rsidP="001B110D">
            <w:pPr>
              <w:spacing w:after="0" w:line="240" w:lineRule="auto"/>
              <w:jc w:val="center"/>
              <w:rPr>
                <w:rFonts w:ascii="Segoe UI" w:hAnsi="Segoe UI" w:cs="Segoe UI"/>
                <w:b/>
                <w:bCs/>
                <w:sz w:val="20"/>
                <w:szCs w:val="20"/>
              </w:rPr>
            </w:pPr>
          </w:p>
        </w:tc>
        <w:tc>
          <w:tcPr>
            <w:tcW w:w="850" w:type="dxa"/>
            <w:tcBorders>
              <w:left w:val="nil"/>
              <w:bottom w:val="single" w:sz="4" w:space="0" w:color="auto"/>
              <w:right w:val="single" w:sz="8" w:space="0" w:color="auto"/>
            </w:tcBorders>
            <w:noWrap/>
            <w:vAlign w:val="center"/>
            <w:hideMark/>
          </w:tcPr>
          <w:p w:rsidR="00756386" w:rsidRPr="00215B3D" w:rsidRDefault="00756386" w:rsidP="001B110D">
            <w:pPr>
              <w:spacing w:after="0" w:line="240" w:lineRule="auto"/>
              <w:jc w:val="center"/>
              <w:rPr>
                <w:rFonts w:ascii="Segoe UI" w:hAnsi="Segoe UI" w:cs="Segoe UI"/>
                <w:b/>
                <w:bCs/>
                <w:sz w:val="20"/>
                <w:szCs w:val="20"/>
              </w:rPr>
            </w:pPr>
          </w:p>
        </w:tc>
      </w:tr>
      <w:tr w:rsidR="001E102D" w:rsidRPr="00215B3D" w:rsidTr="001B110D">
        <w:trPr>
          <w:trHeight w:val="300"/>
          <w:jc w:val="center"/>
        </w:trPr>
        <w:tc>
          <w:tcPr>
            <w:tcW w:w="2127" w:type="dxa"/>
            <w:tcBorders>
              <w:top w:val="nil"/>
              <w:left w:val="single" w:sz="4" w:space="0" w:color="auto"/>
              <w:bottom w:val="single" w:sz="4" w:space="0" w:color="auto"/>
              <w:right w:val="nil"/>
            </w:tcBorders>
            <w:noWrap/>
            <w:vAlign w:val="bottom"/>
            <w:hideMark/>
          </w:tcPr>
          <w:p w:rsidR="001E102D" w:rsidRPr="00215B3D" w:rsidRDefault="001E102D" w:rsidP="005A5585">
            <w:pPr>
              <w:spacing w:after="0" w:line="240" w:lineRule="auto"/>
              <w:rPr>
                <w:rFonts w:ascii="Segoe UI" w:hAnsi="Segoe UI" w:cs="Segoe UI"/>
                <w:sz w:val="20"/>
                <w:szCs w:val="20"/>
              </w:rPr>
            </w:pPr>
            <w:r w:rsidRPr="00215B3D">
              <w:rPr>
                <w:rFonts w:ascii="Segoe UI" w:hAnsi="Segoe UI" w:cs="Segoe UI"/>
                <w:sz w:val="20"/>
                <w:szCs w:val="20"/>
              </w:rPr>
              <w:t>Charges fin. de la Dette Pub</w:t>
            </w:r>
          </w:p>
        </w:tc>
        <w:tc>
          <w:tcPr>
            <w:tcW w:w="992" w:type="dxa"/>
            <w:tcBorders>
              <w:top w:val="nil"/>
              <w:left w:val="double" w:sz="6" w:space="0" w:color="auto"/>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82 000</w:t>
            </w:r>
          </w:p>
        </w:tc>
        <w:tc>
          <w:tcPr>
            <w:tcW w:w="993" w:type="dxa"/>
            <w:tcBorders>
              <w:top w:val="nil"/>
              <w:left w:val="nil"/>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23 867,7</w:t>
            </w:r>
          </w:p>
        </w:tc>
        <w:tc>
          <w:tcPr>
            <w:tcW w:w="708" w:type="dxa"/>
            <w:tcBorders>
              <w:top w:val="nil"/>
              <w:left w:val="nil"/>
              <w:bottom w:val="single" w:sz="4" w:space="0" w:color="auto"/>
              <w:right w:val="double" w:sz="6" w:space="0" w:color="auto"/>
            </w:tcBorders>
            <w:noWrap/>
            <w:vAlign w:val="bottom"/>
            <w:hideMark/>
          </w:tcPr>
          <w:p w:rsidR="001E102D" w:rsidRPr="00215B3D" w:rsidRDefault="001E102D" w:rsidP="00A742EF">
            <w:pPr>
              <w:spacing w:after="0" w:line="240" w:lineRule="auto"/>
              <w:jc w:val="right"/>
              <w:rPr>
                <w:rFonts w:ascii="Segoe UI" w:hAnsi="Segoe UI" w:cs="Segoe UI"/>
                <w:sz w:val="20"/>
                <w:szCs w:val="20"/>
              </w:rPr>
            </w:pPr>
            <w:r w:rsidRPr="00215B3D">
              <w:rPr>
                <w:rFonts w:ascii="Segoe UI" w:hAnsi="Segoe UI" w:cs="Segoe UI"/>
                <w:sz w:val="20"/>
                <w:szCs w:val="20"/>
              </w:rPr>
              <w:t>29,1</w:t>
            </w:r>
          </w:p>
        </w:tc>
        <w:tc>
          <w:tcPr>
            <w:tcW w:w="993" w:type="dxa"/>
            <w:tcBorders>
              <w:top w:val="nil"/>
              <w:left w:val="nil"/>
              <w:bottom w:val="single" w:sz="4" w:space="0" w:color="auto"/>
              <w:right w:val="single" w:sz="4" w:space="0" w:color="auto"/>
            </w:tcBorders>
            <w:noWrap/>
            <w:vAlign w:val="bottom"/>
            <w:hideMark/>
          </w:tcPr>
          <w:p w:rsidR="001E102D" w:rsidRPr="00215B3D" w:rsidRDefault="00113932" w:rsidP="00A742EF">
            <w:pPr>
              <w:spacing w:after="0" w:line="240" w:lineRule="auto"/>
              <w:jc w:val="right"/>
              <w:rPr>
                <w:rFonts w:ascii="Segoe UI" w:hAnsi="Segoe UI" w:cs="Segoe UI"/>
                <w:sz w:val="20"/>
                <w:szCs w:val="20"/>
              </w:rPr>
            </w:pPr>
            <w:r w:rsidRPr="00215B3D">
              <w:rPr>
                <w:rFonts w:ascii="Segoe UI" w:hAnsi="Segoe UI" w:cs="Segoe UI"/>
                <w:sz w:val="20"/>
                <w:szCs w:val="20"/>
              </w:rPr>
              <w:t>103 700,0</w:t>
            </w:r>
          </w:p>
        </w:tc>
        <w:tc>
          <w:tcPr>
            <w:tcW w:w="1134" w:type="dxa"/>
            <w:tcBorders>
              <w:top w:val="nil"/>
              <w:left w:val="nil"/>
              <w:bottom w:val="single" w:sz="4" w:space="0" w:color="auto"/>
              <w:right w:val="single" w:sz="4" w:space="0" w:color="auto"/>
            </w:tcBorders>
            <w:noWrap/>
            <w:vAlign w:val="bottom"/>
            <w:hideMark/>
          </w:tcPr>
          <w:p w:rsidR="001E102D" w:rsidRPr="00215B3D" w:rsidRDefault="00341085" w:rsidP="00F244D2">
            <w:pPr>
              <w:spacing w:after="0" w:line="240" w:lineRule="auto"/>
              <w:jc w:val="right"/>
              <w:rPr>
                <w:rFonts w:ascii="Segoe UI" w:hAnsi="Segoe UI" w:cs="Segoe UI"/>
                <w:sz w:val="20"/>
                <w:szCs w:val="20"/>
              </w:rPr>
            </w:pPr>
            <w:r w:rsidRPr="00215B3D">
              <w:rPr>
                <w:rFonts w:ascii="Segoe UI" w:hAnsi="Segoe UI" w:cs="Segoe UI"/>
                <w:sz w:val="20"/>
                <w:szCs w:val="20"/>
              </w:rPr>
              <w:t>46 090,</w:t>
            </w:r>
            <w:r w:rsidR="00F244D2" w:rsidRPr="00215B3D">
              <w:rPr>
                <w:rFonts w:ascii="Segoe UI" w:hAnsi="Segoe UI" w:cs="Segoe UI"/>
                <w:sz w:val="20"/>
                <w:szCs w:val="20"/>
              </w:rPr>
              <w:t>4</w:t>
            </w:r>
          </w:p>
        </w:tc>
        <w:tc>
          <w:tcPr>
            <w:tcW w:w="708" w:type="dxa"/>
            <w:tcBorders>
              <w:top w:val="nil"/>
              <w:left w:val="nil"/>
              <w:bottom w:val="single" w:sz="4" w:space="0" w:color="auto"/>
              <w:right w:val="double" w:sz="6" w:space="0" w:color="auto"/>
            </w:tcBorders>
            <w:noWrap/>
            <w:vAlign w:val="bottom"/>
            <w:hideMark/>
          </w:tcPr>
          <w:p w:rsidR="001E102D" w:rsidRPr="00215B3D" w:rsidRDefault="00341085" w:rsidP="00592A8D">
            <w:pPr>
              <w:spacing w:after="0" w:line="240" w:lineRule="auto"/>
              <w:jc w:val="right"/>
              <w:rPr>
                <w:rFonts w:ascii="Segoe UI" w:hAnsi="Segoe UI" w:cs="Segoe UI"/>
                <w:sz w:val="20"/>
                <w:szCs w:val="20"/>
              </w:rPr>
            </w:pPr>
            <w:r w:rsidRPr="00215B3D">
              <w:rPr>
                <w:rFonts w:ascii="Segoe UI" w:hAnsi="Segoe UI" w:cs="Segoe UI"/>
                <w:sz w:val="20"/>
                <w:szCs w:val="20"/>
              </w:rPr>
              <w:t>44,4</w:t>
            </w:r>
          </w:p>
        </w:tc>
        <w:tc>
          <w:tcPr>
            <w:tcW w:w="1135" w:type="dxa"/>
            <w:tcBorders>
              <w:top w:val="nil"/>
              <w:left w:val="nil"/>
              <w:bottom w:val="single" w:sz="4" w:space="0" w:color="auto"/>
              <w:right w:val="single" w:sz="4" w:space="0" w:color="auto"/>
            </w:tcBorders>
            <w:noWrap/>
            <w:vAlign w:val="center"/>
            <w:hideMark/>
          </w:tcPr>
          <w:p w:rsidR="001E102D" w:rsidRPr="00215B3D" w:rsidRDefault="00341085" w:rsidP="00F244D2">
            <w:pPr>
              <w:spacing w:after="0" w:line="240" w:lineRule="auto"/>
              <w:jc w:val="right"/>
              <w:rPr>
                <w:rFonts w:ascii="Segoe UI" w:hAnsi="Segoe UI" w:cs="Segoe UI"/>
                <w:sz w:val="20"/>
                <w:szCs w:val="20"/>
              </w:rPr>
            </w:pPr>
            <w:r w:rsidRPr="00215B3D">
              <w:rPr>
                <w:rFonts w:ascii="Segoe UI" w:hAnsi="Segoe UI" w:cs="Segoe UI"/>
                <w:sz w:val="20"/>
                <w:szCs w:val="20"/>
              </w:rPr>
              <w:t>22 222,</w:t>
            </w:r>
            <w:r w:rsidR="00F244D2" w:rsidRPr="00215B3D">
              <w:rPr>
                <w:rFonts w:ascii="Segoe UI" w:hAnsi="Segoe UI" w:cs="Segoe UI"/>
                <w:sz w:val="20"/>
                <w:szCs w:val="20"/>
              </w:rPr>
              <w:t>7</w:t>
            </w:r>
          </w:p>
        </w:tc>
        <w:tc>
          <w:tcPr>
            <w:tcW w:w="850" w:type="dxa"/>
            <w:tcBorders>
              <w:top w:val="nil"/>
              <w:left w:val="nil"/>
              <w:bottom w:val="single" w:sz="4" w:space="0" w:color="auto"/>
              <w:right w:val="single" w:sz="8" w:space="0" w:color="auto"/>
            </w:tcBorders>
            <w:noWrap/>
            <w:vAlign w:val="center"/>
            <w:hideMark/>
          </w:tcPr>
          <w:p w:rsidR="001E102D" w:rsidRPr="00215B3D" w:rsidRDefault="00341085" w:rsidP="00F244D2">
            <w:pPr>
              <w:spacing w:after="0" w:line="240" w:lineRule="auto"/>
              <w:jc w:val="right"/>
              <w:rPr>
                <w:rFonts w:ascii="Segoe UI" w:hAnsi="Segoe UI" w:cs="Segoe UI"/>
                <w:sz w:val="20"/>
                <w:szCs w:val="20"/>
              </w:rPr>
            </w:pPr>
            <w:r w:rsidRPr="00215B3D">
              <w:rPr>
                <w:rFonts w:ascii="Segoe UI" w:hAnsi="Segoe UI" w:cs="Segoe UI"/>
                <w:sz w:val="20"/>
                <w:szCs w:val="20"/>
              </w:rPr>
              <w:t>93,1</w:t>
            </w:r>
          </w:p>
        </w:tc>
      </w:tr>
      <w:tr w:rsidR="001E102D" w:rsidRPr="00215B3D" w:rsidTr="001B110D">
        <w:trPr>
          <w:trHeight w:val="300"/>
          <w:jc w:val="center"/>
        </w:trPr>
        <w:tc>
          <w:tcPr>
            <w:tcW w:w="2127" w:type="dxa"/>
            <w:tcBorders>
              <w:top w:val="nil"/>
              <w:left w:val="single" w:sz="4" w:space="0" w:color="auto"/>
              <w:bottom w:val="single" w:sz="4" w:space="0" w:color="auto"/>
              <w:right w:val="nil"/>
            </w:tcBorders>
            <w:noWrap/>
            <w:vAlign w:val="bottom"/>
            <w:hideMark/>
          </w:tcPr>
          <w:p w:rsidR="001E102D" w:rsidRPr="00215B3D" w:rsidRDefault="001E102D" w:rsidP="005A5585">
            <w:pPr>
              <w:spacing w:after="0" w:line="240" w:lineRule="auto"/>
              <w:rPr>
                <w:rFonts w:ascii="Segoe UI" w:hAnsi="Segoe UI" w:cs="Segoe UI"/>
                <w:sz w:val="20"/>
                <w:szCs w:val="20"/>
              </w:rPr>
            </w:pPr>
            <w:r w:rsidRPr="00215B3D">
              <w:rPr>
                <w:rFonts w:ascii="Segoe UI" w:hAnsi="Segoe UI" w:cs="Segoe UI"/>
                <w:sz w:val="20"/>
                <w:szCs w:val="20"/>
              </w:rPr>
              <w:t>Dépenses de Personnel</w:t>
            </w:r>
          </w:p>
        </w:tc>
        <w:tc>
          <w:tcPr>
            <w:tcW w:w="992" w:type="dxa"/>
            <w:tcBorders>
              <w:top w:val="nil"/>
              <w:left w:val="double" w:sz="6" w:space="0" w:color="auto"/>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346 000</w:t>
            </w:r>
          </w:p>
        </w:tc>
        <w:tc>
          <w:tcPr>
            <w:tcW w:w="993" w:type="dxa"/>
            <w:tcBorders>
              <w:top w:val="nil"/>
              <w:left w:val="nil"/>
              <w:bottom w:val="single" w:sz="4" w:space="0" w:color="auto"/>
              <w:right w:val="single" w:sz="4" w:space="0" w:color="auto"/>
            </w:tcBorders>
            <w:noWrap/>
            <w:vAlign w:val="bottom"/>
            <w:hideMark/>
          </w:tcPr>
          <w:p w:rsidR="001E102D" w:rsidRPr="00215B3D" w:rsidRDefault="001E102D" w:rsidP="001A06A6">
            <w:pPr>
              <w:spacing w:after="0" w:line="240" w:lineRule="auto"/>
              <w:jc w:val="right"/>
              <w:rPr>
                <w:rFonts w:ascii="Segoe UI" w:hAnsi="Segoe UI" w:cs="Segoe UI"/>
                <w:sz w:val="20"/>
                <w:szCs w:val="20"/>
              </w:rPr>
            </w:pPr>
            <w:r w:rsidRPr="00215B3D">
              <w:rPr>
                <w:rFonts w:ascii="Segoe UI" w:hAnsi="Segoe UI" w:cs="Segoe UI"/>
                <w:sz w:val="20"/>
                <w:szCs w:val="20"/>
              </w:rPr>
              <w:t>189 95</w:t>
            </w:r>
            <w:r w:rsidR="001A06A6" w:rsidRPr="00215B3D">
              <w:rPr>
                <w:rFonts w:ascii="Segoe UI" w:hAnsi="Segoe UI" w:cs="Segoe UI"/>
                <w:sz w:val="20"/>
                <w:szCs w:val="20"/>
              </w:rPr>
              <w:t>9</w:t>
            </w:r>
            <w:r w:rsidRPr="00215B3D">
              <w:rPr>
                <w:rFonts w:ascii="Segoe UI" w:hAnsi="Segoe UI" w:cs="Segoe UI"/>
                <w:sz w:val="20"/>
                <w:szCs w:val="20"/>
              </w:rPr>
              <w:t>,7</w:t>
            </w:r>
          </w:p>
        </w:tc>
        <w:tc>
          <w:tcPr>
            <w:tcW w:w="708" w:type="dxa"/>
            <w:tcBorders>
              <w:top w:val="nil"/>
              <w:left w:val="nil"/>
              <w:bottom w:val="single" w:sz="4" w:space="0" w:color="auto"/>
              <w:right w:val="double" w:sz="6" w:space="0" w:color="auto"/>
            </w:tcBorders>
            <w:noWrap/>
            <w:vAlign w:val="bottom"/>
            <w:hideMark/>
          </w:tcPr>
          <w:p w:rsidR="001E102D" w:rsidRPr="00215B3D" w:rsidRDefault="001E102D" w:rsidP="00592A8D">
            <w:pPr>
              <w:spacing w:after="0" w:line="240" w:lineRule="auto"/>
              <w:jc w:val="right"/>
              <w:rPr>
                <w:rFonts w:ascii="Segoe UI" w:hAnsi="Segoe UI" w:cs="Segoe UI"/>
                <w:sz w:val="20"/>
                <w:szCs w:val="20"/>
              </w:rPr>
            </w:pPr>
            <w:r w:rsidRPr="00215B3D">
              <w:rPr>
                <w:rFonts w:ascii="Segoe UI" w:hAnsi="Segoe UI" w:cs="Segoe UI"/>
                <w:sz w:val="20"/>
                <w:szCs w:val="20"/>
              </w:rPr>
              <w:t>54,9</w:t>
            </w:r>
          </w:p>
        </w:tc>
        <w:tc>
          <w:tcPr>
            <w:tcW w:w="993" w:type="dxa"/>
            <w:tcBorders>
              <w:top w:val="nil"/>
              <w:left w:val="nil"/>
              <w:bottom w:val="single" w:sz="4" w:space="0" w:color="auto"/>
              <w:right w:val="single" w:sz="4" w:space="0" w:color="auto"/>
            </w:tcBorders>
            <w:noWrap/>
            <w:vAlign w:val="bottom"/>
            <w:hideMark/>
          </w:tcPr>
          <w:p w:rsidR="001E102D" w:rsidRPr="00215B3D" w:rsidRDefault="00113932" w:rsidP="00592A8D">
            <w:pPr>
              <w:spacing w:after="0" w:line="240" w:lineRule="auto"/>
              <w:jc w:val="right"/>
              <w:rPr>
                <w:rFonts w:ascii="Segoe UI" w:hAnsi="Segoe UI" w:cs="Segoe UI"/>
                <w:sz w:val="20"/>
                <w:szCs w:val="20"/>
              </w:rPr>
            </w:pPr>
            <w:r w:rsidRPr="00215B3D">
              <w:rPr>
                <w:rFonts w:ascii="Segoe UI" w:hAnsi="Segoe UI" w:cs="Segoe UI"/>
                <w:sz w:val="20"/>
                <w:szCs w:val="20"/>
              </w:rPr>
              <w:t>354 628,0</w:t>
            </w:r>
          </w:p>
        </w:tc>
        <w:tc>
          <w:tcPr>
            <w:tcW w:w="1134" w:type="dxa"/>
            <w:tcBorders>
              <w:top w:val="nil"/>
              <w:left w:val="nil"/>
              <w:bottom w:val="single" w:sz="4" w:space="0" w:color="auto"/>
              <w:right w:val="single" w:sz="4" w:space="0" w:color="auto"/>
            </w:tcBorders>
            <w:noWrap/>
            <w:vAlign w:val="bottom"/>
            <w:hideMark/>
          </w:tcPr>
          <w:p w:rsidR="001E102D" w:rsidRPr="00215B3D" w:rsidRDefault="001A06A6" w:rsidP="001A06A6">
            <w:pPr>
              <w:spacing w:after="0" w:line="240" w:lineRule="auto"/>
              <w:rPr>
                <w:rFonts w:ascii="Segoe UI" w:hAnsi="Segoe UI" w:cs="Segoe UI"/>
                <w:sz w:val="20"/>
                <w:szCs w:val="20"/>
              </w:rPr>
            </w:pPr>
            <w:r w:rsidRPr="00215B3D">
              <w:rPr>
                <w:rFonts w:ascii="Segoe UI" w:hAnsi="Segoe UI" w:cs="Segoe UI"/>
                <w:sz w:val="20"/>
                <w:szCs w:val="20"/>
              </w:rPr>
              <w:t>168 633,0</w:t>
            </w:r>
          </w:p>
        </w:tc>
        <w:tc>
          <w:tcPr>
            <w:tcW w:w="708" w:type="dxa"/>
            <w:tcBorders>
              <w:top w:val="nil"/>
              <w:left w:val="nil"/>
              <w:bottom w:val="single" w:sz="4" w:space="0" w:color="auto"/>
              <w:right w:val="double" w:sz="6" w:space="0" w:color="auto"/>
            </w:tcBorders>
            <w:noWrap/>
            <w:vAlign w:val="bottom"/>
            <w:hideMark/>
          </w:tcPr>
          <w:p w:rsidR="001E102D" w:rsidRPr="00215B3D" w:rsidRDefault="00341085" w:rsidP="00341085">
            <w:pPr>
              <w:spacing w:after="0" w:line="240" w:lineRule="auto"/>
              <w:jc w:val="right"/>
              <w:rPr>
                <w:rFonts w:ascii="Segoe UI" w:hAnsi="Segoe UI" w:cs="Segoe UI"/>
                <w:sz w:val="20"/>
                <w:szCs w:val="20"/>
              </w:rPr>
            </w:pPr>
            <w:r w:rsidRPr="00215B3D">
              <w:rPr>
                <w:rFonts w:ascii="Segoe UI" w:hAnsi="Segoe UI" w:cs="Segoe UI"/>
                <w:sz w:val="20"/>
                <w:szCs w:val="20"/>
              </w:rPr>
              <w:t>47,6</w:t>
            </w:r>
          </w:p>
        </w:tc>
        <w:tc>
          <w:tcPr>
            <w:tcW w:w="1135" w:type="dxa"/>
            <w:tcBorders>
              <w:top w:val="nil"/>
              <w:left w:val="nil"/>
              <w:bottom w:val="single" w:sz="4" w:space="0" w:color="auto"/>
              <w:right w:val="single" w:sz="4" w:space="0" w:color="auto"/>
            </w:tcBorders>
            <w:noWrap/>
            <w:vAlign w:val="center"/>
            <w:hideMark/>
          </w:tcPr>
          <w:p w:rsidR="001E102D" w:rsidRPr="00215B3D" w:rsidRDefault="00341085" w:rsidP="00F244D2">
            <w:pPr>
              <w:spacing w:after="0" w:line="240" w:lineRule="auto"/>
              <w:jc w:val="right"/>
              <w:rPr>
                <w:rFonts w:ascii="Segoe UI" w:hAnsi="Segoe UI" w:cs="Segoe UI"/>
                <w:sz w:val="20"/>
                <w:szCs w:val="20"/>
              </w:rPr>
            </w:pPr>
            <w:r w:rsidRPr="00215B3D">
              <w:rPr>
                <w:rFonts w:ascii="Segoe UI" w:hAnsi="Segoe UI" w:cs="Segoe UI"/>
                <w:sz w:val="20"/>
                <w:szCs w:val="20"/>
              </w:rPr>
              <w:t>-21326,7</w:t>
            </w:r>
          </w:p>
        </w:tc>
        <w:tc>
          <w:tcPr>
            <w:tcW w:w="850" w:type="dxa"/>
            <w:tcBorders>
              <w:top w:val="nil"/>
              <w:left w:val="nil"/>
              <w:bottom w:val="single" w:sz="4" w:space="0" w:color="auto"/>
              <w:right w:val="single" w:sz="8" w:space="0" w:color="auto"/>
            </w:tcBorders>
            <w:noWrap/>
            <w:vAlign w:val="center"/>
            <w:hideMark/>
          </w:tcPr>
          <w:p w:rsidR="001E102D" w:rsidRPr="00215B3D" w:rsidRDefault="001E102D" w:rsidP="00F244D2">
            <w:pPr>
              <w:spacing w:after="0" w:line="240" w:lineRule="auto"/>
              <w:jc w:val="right"/>
              <w:rPr>
                <w:rFonts w:ascii="Segoe UI" w:hAnsi="Segoe UI" w:cs="Segoe UI"/>
                <w:sz w:val="20"/>
                <w:szCs w:val="20"/>
              </w:rPr>
            </w:pPr>
          </w:p>
          <w:p w:rsidR="001E102D" w:rsidRPr="00215B3D" w:rsidRDefault="00341085" w:rsidP="00F244D2">
            <w:pPr>
              <w:spacing w:after="0" w:line="240" w:lineRule="auto"/>
              <w:jc w:val="right"/>
              <w:rPr>
                <w:rFonts w:ascii="Segoe UI" w:hAnsi="Segoe UI" w:cs="Segoe UI"/>
                <w:sz w:val="20"/>
                <w:szCs w:val="20"/>
              </w:rPr>
            </w:pPr>
            <w:r w:rsidRPr="00215B3D">
              <w:rPr>
                <w:rFonts w:ascii="Segoe UI" w:hAnsi="Segoe UI" w:cs="Segoe UI"/>
                <w:sz w:val="20"/>
                <w:szCs w:val="20"/>
              </w:rPr>
              <w:t>-11,2</w:t>
            </w:r>
          </w:p>
        </w:tc>
      </w:tr>
      <w:tr w:rsidR="001E102D" w:rsidRPr="00215B3D" w:rsidTr="001B110D">
        <w:trPr>
          <w:trHeight w:val="300"/>
          <w:jc w:val="center"/>
        </w:trPr>
        <w:tc>
          <w:tcPr>
            <w:tcW w:w="2127" w:type="dxa"/>
            <w:tcBorders>
              <w:top w:val="nil"/>
              <w:left w:val="single" w:sz="4" w:space="0" w:color="auto"/>
              <w:bottom w:val="single" w:sz="4" w:space="0" w:color="auto"/>
              <w:right w:val="nil"/>
            </w:tcBorders>
            <w:noWrap/>
            <w:vAlign w:val="bottom"/>
            <w:hideMark/>
          </w:tcPr>
          <w:p w:rsidR="001E102D" w:rsidRPr="00215B3D" w:rsidRDefault="001E102D" w:rsidP="005A5585">
            <w:pPr>
              <w:spacing w:after="0" w:line="240" w:lineRule="auto"/>
              <w:rPr>
                <w:rFonts w:ascii="Segoe UI" w:hAnsi="Segoe UI" w:cs="Segoe UI"/>
                <w:sz w:val="20"/>
                <w:szCs w:val="20"/>
              </w:rPr>
            </w:pPr>
            <w:proofErr w:type="spellStart"/>
            <w:r w:rsidRPr="00215B3D">
              <w:rPr>
                <w:rFonts w:ascii="Segoe UI" w:hAnsi="Segoe UI" w:cs="Segoe UI"/>
                <w:sz w:val="20"/>
                <w:szCs w:val="20"/>
              </w:rPr>
              <w:t>Dép</w:t>
            </w:r>
            <w:proofErr w:type="spellEnd"/>
            <w:r w:rsidRPr="00215B3D">
              <w:rPr>
                <w:rFonts w:ascii="Segoe UI" w:hAnsi="Segoe UI" w:cs="Segoe UI"/>
                <w:sz w:val="20"/>
                <w:szCs w:val="20"/>
              </w:rPr>
              <w:t xml:space="preserve"> d'acquis de biens et services</w:t>
            </w:r>
          </w:p>
        </w:tc>
        <w:tc>
          <w:tcPr>
            <w:tcW w:w="992" w:type="dxa"/>
            <w:tcBorders>
              <w:top w:val="nil"/>
              <w:left w:val="double" w:sz="6" w:space="0" w:color="auto"/>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 xml:space="preserve">                   99 005</w:t>
            </w:r>
          </w:p>
        </w:tc>
        <w:tc>
          <w:tcPr>
            <w:tcW w:w="993" w:type="dxa"/>
            <w:tcBorders>
              <w:top w:val="nil"/>
              <w:left w:val="nil"/>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58 224,3</w:t>
            </w:r>
          </w:p>
        </w:tc>
        <w:tc>
          <w:tcPr>
            <w:tcW w:w="708" w:type="dxa"/>
            <w:tcBorders>
              <w:top w:val="nil"/>
              <w:left w:val="nil"/>
              <w:bottom w:val="single" w:sz="4" w:space="0" w:color="auto"/>
              <w:right w:val="double" w:sz="6" w:space="0" w:color="auto"/>
            </w:tcBorders>
            <w:noWrap/>
            <w:vAlign w:val="bottom"/>
            <w:hideMark/>
          </w:tcPr>
          <w:p w:rsidR="001E102D" w:rsidRPr="00215B3D" w:rsidRDefault="001E102D" w:rsidP="00592A8D">
            <w:pPr>
              <w:spacing w:after="0" w:line="240" w:lineRule="auto"/>
              <w:jc w:val="right"/>
              <w:rPr>
                <w:rFonts w:ascii="Segoe UI" w:hAnsi="Segoe UI" w:cs="Segoe UI"/>
                <w:sz w:val="20"/>
                <w:szCs w:val="20"/>
              </w:rPr>
            </w:pPr>
            <w:r w:rsidRPr="00215B3D">
              <w:rPr>
                <w:rFonts w:ascii="Segoe UI" w:hAnsi="Segoe UI" w:cs="Segoe UI"/>
                <w:sz w:val="20"/>
                <w:szCs w:val="20"/>
              </w:rPr>
              <w:t>58,8</w:t>
            </w:r>
          </w:p>
        </w:tc>
        <w:tc>
          <w:tcPr>
            <w:tcW w:w="993" w:type="dxa"/>
            <w:tcBorders>
              <w:top w:val="nil"/>
              <w:left w:val="nil"/>
              <w:bottom w:val="single" w:sz="4" w:space="0" w:color="auto"/>
              <w:right w:val="single" w:sz="4" w:space="0" w:color="auto"/>
            </w:tcBorders>
            <w:noWrap/>
            <w:vAlign w:val="bottom"/>
            <w:hideMark/>
          </w:tcPr>
          <w:p w:rsidR="001E102D" w:rsidRPr="00215B3D" w:rsidRDefault="001E102D" w:rsidP="00341085">
            <w:pPr>
              <w:spacing w:after="0" w:line="240" w:lineRule="auto"/>
              <w:jc w:val="right"/>
              <w:rPr>
                <w:rFonts w:ascii="Segoe UI" w:hAnsi="Segoe UI" w:cs="Segoe UI"/>
                <w:sz w:val="20"/>
                <w:szCs w:val="20"/>
              </w:rPr>
            </w:pPr>
            <w:r w:rsidRPr="00215B3D">
              <w:rPr>
                <w:rFonts w:ascii="Segoe UI" w:hAnsi="Segoe UI" w:cs="Segoe UI"/>
                <w:sz w:val="20"/>
                <w:szCs w:val="20"/>
              </w:rPr>
              <w:t xml:space="preserve">                   </w:t>
            </w:r>
            <w:r w:rsidR="00341085" w:rsidRPr="00215B3D">
              <w:rPr>
                <w:rFonts w:ascii="Segoe UI" w:hAnsi="Segoe UI" w:cs="Segoe UI"/>
                <w:sz w:val="20"/>
                <w:szCs w:val="20"/>
              </w:rPr>
              <w:t>102 597,0</w:t>
            </w:r>
          </w:p>
        </w:tc>
        <w:tc>
          <w:tcPr>
            <w:tcW w:w="1134" w:type="dxa"/>
            <w:tcBorders>
              <w:top w:val="nil"/>
              <w:left w:val="nil"/>
              <w:bottom w:val="single" w:sz="4" w:space="0" w:color="auto"/>
              <w:right w:val="single" w:sz="4" w:space="0" w:color="auto"/>
            </w:tcBorders>
            <w:noWrap/>
            <w:vAlign w:val="bottom"/>
            <w:hideMark/>
          </w:tcPr>
          <w:p w:rsidR="001E102D" w:rsidRPr="00215B3D" w:rsidRDefault="001A3217" w:rsidP="00D815CE">
            <w:pPr>
              <w:spacing w:after="0" w:line="240" w:lineRule="auto"/>
              <w:jc w:val="right"/>
              <w:rPr>
                <w:rFonts w:ascii="Segoe UI" w:hAnsi="Segoe UI" w:cs="Segoe UI"/>
                <w:sz w:val="20"/>
                <w:szCs w:val="20"/>
              </w:rPr>
            </w:pPr>
            <w:r w:rsidRPr="00215B3D">
              <w:rPr>
                <w:rFonts w:ascii="Segoe UI" w:hAnsi="Segoe UI" w:cs="Segoe UI"/>
                <w:sz w:val="20"/>
                <w:szCs w:val="20"/>
              </w:rPr>
              <w:t>49 870,</w:t>
            </w:r>
            <w:r w:rsidR="00D815CE">
              <w:rPr>
                <w:rFonts w:ascii="Segoe UI" w:hAnsi="Segoe UI" w:cs="Segoe UI"/>
                <w:sz w:val="20"/>
                <w:szCs w:val="20"/>
              </w:rPr>
              <w:t>1</w:t>
            </w:r>
          </w:p>
        </w:tc>
        <w:tc>
          <w:tcPr>
            <w:tcW w:w="708" w:type="dxa"/>
            <w:tcBorders>
              <w:top w:val="nil"/>
              <w:left w:val="nil"/>
              <w:bottom w:val="single" w:sz="4" w:space="0" w:color="auto"/>
              <w:right w:val="double" w:sz="6" w:space="0" w:color="auto"/>
            </w:tcBorders>
            <w:noWrap/>
            <w:vAlign w:val="bottom"/>
            <w:hideMark/>
          </w:tcPr>
          <w:p w:rsidR="001E102D" w:rsidRPr="00215B3D" w:rsidRDefault="001A3217" w:rsidP="00905842">
            <w:pPr>
              <w:spacing w:after="0" w:line="240" w:lineRule="auto"/>
              <w:jc w:val="right"/>
              <w:rPr>
                <w:rFonts w:ascii="Segoe UI" w:hAnsi="Segoe UI" w:cs="Segoe UI"/>
                <w:sz w:val="20"/>
                <w:szCs w:val="20"/>
              </w:rPr>
            </w:pPr>
            <w:r w:rsidRPr="00215B3D">
              <w:rPr>
                <w:rFonts w:ascii="Segoe UI" w:hAnsi="Segoe UI" w:cs="Segoe UI"/>
                <w:sz w:val="20"/>
                <w:szCs w:val="20"/>
              </w:rPr>
              <w:t>48,6</w:t>
            </w:r>
          </w:p>
        </w:tc>
        <w:tc>
          <w:tcPr>
            <w:tcW w:w="1135" w:type="dxa"/>
            <w:tcBorders>
              <w:top w:val="nil"/>
              <w:left w:val="nil"/>
              <w:bottom w:val="single" w:sz="4" w:space="0" w:color="auto"/>
              <w:right w:val="single" w:sz="4" w:space="0" w:color="auto"/>
            </w:tcBorders>
            <w:noWrap/>
            <w:vAlign w:val="center"/>
            <w:hideMark/>
          </w:tcPr>
          <w:p w:rsidR="001E102D" w:rsidRPr="00215B3D" w:rsidRDefault="001A3217" w:rsidP="00D815CE">
            <w:pPr>
              <w:spacing w:after="0" w:line="240" w:lineRule="auto"/>
              <w:jc w:val="right"/>
              <w:rPr>
                <w:rFonts w:ascii="Segoe UI" w:hAnsi="Segoe UI" w:cs="Segoe UI"/>
                <w:sz w:val="20"/>
                <w:szCs w:val="20"/>
              </w:rPr>
            </w:pPr>
            <w:r w:rsidRPr="00215B3D">
              <w:rPr>
                <w:rFonts w:ascii="Segoe UI" w:hAnsi="Segoe UI" w:cs="Segoe UI"/>
                <w:sz w:val="20"/>
                <w:szCs w:val="20"/>
              </w:rPr>
              <w:t>-8 354,</w:t>
            </w:r>
            <w:r w:rsidR="00D815CE">
              <w:rPr>
                <w:rFonts w:ascii="Segoe UI" w:hAnsi="Segoe UI" w:cs="Segoe UI"/>
                <w:sz w:val="20"/>
                <w:szCs w:val="20"/>
              </w:rPr>
              <w:t>2</w:t>
            </w:r>
          </w:p>
        </w:tc>
        <w:tc>
          <w:tcPr>
            <w:tcW w:w="850" w:type="dxa"/>
            <w:tcBorders>
              <w:top w:val="nil"/>
              <w:left w:val="nil"/>
              <w:bottom w:val="single" w:sz="4" w:space="0" w:color="auto"/>
              <w:right w:val="single" w:sz="8" w:space="0" w:color="auto"/>
            </w:tcBorders>
            <w:noWrap/>
            <w:vAlign w:val="center"/>
            <w:hideMark/>
          </w:tcPr>
          <w:p w:rsidR="001E102D" w:rsidRPr="00215B3D" w:rsidRDefault="001E102D" w:rsidP="00F244D2">
            <w:pPr>
              <w:spacing w:after="0" w:line="240" w:lineRule="auto"/>
              <w:jc w:val="right"/>
              <w:rPr>
                <w:rFonts w:ascii="Segoe UI" w:hAnsi="Segoe UI" w:cs="Segoe UI"/>
                <w:sz w:val="20"/>
                <w:szCs w:val="20"/>
              </w:rPr>
            </w:pPr>
          </w:p>
          <w:p w:rsidR="001E102D" w:rsidRPr="00215B3D" w:rsidRDefault="001E102D" w:rsidP="00F244D2">
            <w:pPr>
              <w:spacing w:after="0" w:line="240" w:lineRule="auto"/>
              <w:jc w:val="right"/>
              <w:rPr>
                <w:rFonts w:ascii="Segoe UI" w:hAnsi="Segoe UI" w:cs="Segoe UI"/>
                <w:sz w:val="20"/>
                <w:szCs w:val="20"/>
              </w:rPr>
            </w:pPr>
            <w:r w:rsidRPr="00215B3D">
              <w:rPr>
                <w:rFonts w:ascii="Segoe UI" w:hAnsi="Segoe UI" w:cs="Segoe UI"/>
                <w:sz w:val="20"/>
                <w:szCs w:val="20"/>
              </w:rPr>
              <w:t>-</w:t>
            </w:r>
            <w:r w:rsidR="0097634A" w:rsidRPr="00215B3D">
              <w:rPr>
                <w:rFonts w:ascii="Segoe UI" w:hAnsi="Segoe UI" w:cs="Segoe UI"/>
                <w:sz w:val="20"/>
                <w:szCs w:val="20"/>
              </w:rPr>
              <w:t>14,3</w:t>
            </w:r>
          </w:p>
        </w:tc>
      </w:tr>
      <w:tr w:rsidR="001E102D" w:rsidRPr="00215B3D" w:rsidTr="001B110D">
        <w:trPr>
          <w:trHeight w:val="300"/>
          <w:jc w:val="center"/>
        </w:trPr>
        <w:tc>
          <w:tcPr>
            <w:tcW w:w="2127" w:type="dxa"/>
            <w:tcBorders>
              <w:top w:val="nil"/>
              <w:left w:val="single" w:sz="4" w:space="0" w:color="auto"/>
              <w:bottom w:val="single" w:sz="4" w:space="0" w:color="auto"/>
              <w:right w:val="nil"/>
            </w:tcBorders>
            <w:noWrap/>
            <w:vAlign w:val="bottom"/>
            <w:hideMark/>
          </w:tcPr>
          <w:p w:rsidR="001E102D" w:rsidRPr="00215B3D" w:rsidRDefault="001E102D" w:rsidP="005A5585">
            <w:pPr>
              <w:spacing w:after="0" w:line="240" w:lineRule="auto"/>
              <w:rPr>
                <w:rFonts w:ascii="Segoe UI" w:hAnsi="Segoe UI" w:cs="Segoe UI"/>
                <w:sz w:val="20"/>
                <w:szCs w:val="20"/>
              </w:rPr>
            </w:pPr>
            <w:r w:rsidRPr="00215B3D">
              <w:rPr>
                <w:rFonts w:ascii="Segoe UI" w:hAnsi="Segoe UI" w:cs="Segoe UI"/>
                <w:sz w:val="20"/>
                <w:szCs w:val="20"/>
              </w:rPr>
              <w:t xml:space="preserve">Dépenses de Transferts    </w:t>
            </w:r>
          </w:p>
        </w:tc>
        <w:tc>
          <w:tcPr>
            <w:tcW w:w="992" w:type="dxa"/>
            <w:tcBorders>
              <w:top w:val="nil"/>
              <w:left w:val="double" w:sz="6" w:space="0" w:color="auto"/>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218 713</w:t>
            </w:r>
          </w:p>
        </w:tc>
        <w:tc>
          <w:tcPr>
            <w:tcW w:w="993" w:type="dxa"/>
            <w:tcBorders>
              <w:top w:val="nil"/>
              <w:left w:val="nil"/>
              <w:bottom w:val="single" w:sz="4" w:space="0" w:color="auto"/>
              <w:right w:val="single" w:sz="4" w:space="0" w:color="auto"/>
            </w:tcBorders>
            <w:noWrap/>
            <w:vAlign w:val="bottom"/>
            <w:hideMark/>
          </w:tcPr>
          <w:p w:rsidR="001E102D" w:rsidRPr="00215B3D" w:rsidRDefault="001E102D" w:rsidP="00D33EAD">
            <w:pPr>
              <w:spacing w:after="0" w:line="240" w:lineRule="auto"/>
              <w:jc w:val="right"/>
              <w:rPr>
                <w:rFonts w:ascii="Segoe UI" w:hAnsi="Segoe UI" w:cs="Segoe UI"/>
                <w:sz w:val="20"/>
                <w:szCs w:val="20"/>
              </w:rPr>
            </w:pPr>
            <w:r w:rsidRPr="00215B3D">
              <w:rPr>
                <w:rFonts w:ascii="Segoe UI" w:hAnsi="Segoe UI" w:cs="Segoe UI"/>
                <w:sz w:val="20"/>
                <w:szCs w:val="20"/>
              </w:rPr>
              <w:t>127 333,3</w:t>
            </w:r>
          </w:p>
        </w:tc>
        <w:tc>
          <w:tcPr>
            <w:tcW w:w="708" w:type="dxa"/>
            <w:tcBorders>
              <w:top w:val="nil"/>
              <w:left w:val="nil"/>
              <w:bottom w:val="single" w:sz="4" w:space="0" w:color="auto"/>
              <w:right w:val="double" w:sz="6" w:space="0" w:color="auto"/>
            </w:tcBorders>
            <w:noWrap/>
            <w:vAlign w:val="bottom"/>
            <w:hideMark/>
          </w:tcPr>
          <w:p w:rsidR="001E102D" w:rsidRPr="00215B3D" w:rsidRDefault="001E102D" w:rsidP="00592A8D">
            <w:pPr>
              <w:spacing w:after="0" w:line="240" w:lineRule="auto"/>
              <w:jc w:val="right"/>
              <w:rPr>
                <w:rFonts w:ascii="Segoe UI" w:hAnsi="Segoe UI" w:cs="Segoe UI"/>
                <w:sz w:val="20"/>
                <w:szCs w:val="20"/>
              </w:rPr>
            </w:pPr>
            <w:r w:rsidRPr="00215B3D">
              <w:rPr>
                <w:rFonts w:ascii="Segoe UI" w:hAnsi="Segoe UI" w:cs="Segoe UI"/>
                <w:sz w:val="20"/>
                <w:szCs w:val="20"/>
              </w:rPr>
              <w:t>58,2</w:t>
            </w:r>
          </w:p>
        </w:tc>
        <w:tc>
          <w:tcPr>
            <w:tcW w:w="993" w:type="dxa"/>
            <w:tcBorders>
              <w:top w:val="nil"/>
              <w:left w:val="nil"/>
              <w:bottom w:val="single" w:sz="4" w:space="0" w:color="auto"/>
              <w:right w:val="single" w:sz="4" w:space="0" w:color="auto"/>
            </w:tcBorders>
            <w:noWrap/>
            <w:vAlign w:val="bottom"/>
            <w:hideMark/>
          </w:tcPr>
          <w:p w:rsidR="001E102D" w:rsidRPr="00215B3D" w:rsidRDefault="00341085" w:rsidP="00592A8D">
            <w:pPr>
              <w:spacing w:after="0" w:line="240" w:lineRule="auto"/>
              <w:jc w:val="right"/>
              <w:rPr>
                <w:rFonts w:ascii="Segoe UI" w:hAnsi="Segoe UI" w:cs="Segoe UI"/>
                <w:sz w:val="20"/>
                <w:szCs w:val="20"/>
              </w:rPr>
            </w:pPr>
            <w:r w:rsidRPr="00215B3D">
              <w:rPr>
                <w:rFonts w:ascii="Segoe UI" w:hAnsi="Segoe UI" w:cs="Segoe UI"/>
                <w:sz w:val="20"/>
                <w:szCs w:val="20"/>
              </w:rPr>
              <w:t>200 200,0</w:t>
            </w:r>
          </w:p>
        </w:tc>
        <w:tc>
          <w:tcPr>
            <w:tcW w:w="1134" w:type="dxa"/>
            <w:tcBorders>
              <w:top w:val="nil"/>
              <w:left w:val="nil"/>
              <w:bottom w:val="single" w:sz="4" w:space="0" w:color="auto"/>
              <w:right w:val="single" w:sz="4" w:space="0" w:color="auto"/>
            </w:tcBorders>
            <w:noWrap/>
            <w:vAlign w:val="bottom"/>
            <w:hideMark/>
          </w:tcPr>
          <w:p w:rsidR="001E102D" w:rsidRPr="00215B3D" w:rsidRDefault="0097634A" w:rsidP="00592A8D">
            <w:pPr>
              <w:spacing w:after="0" w:line="240" w:lineRule="auto"/>
              <w:jc w:val="right"/>
              <w:rPr>
                <w:rFonts w:ascii="Segoe UI" w:hAnsi="Segoe UI" w:cs="Segoe UI"/>
                <w:sz w:val="20"/>
                <w:szCs w:val="20"/>
              </w:rPr>
            </w:pPr>
            <w:r w:rsidRPr="00215B3D">
              <w:rPr>
                <w:rFonts w:ascii="Segoe UI" w:hAnsi="Segoe UI" w:cs="Segoe UI"/>
                <w:sz w:val="20"/>
                <w:szCs w:val="20"/>
              </w:rPr>
              <w:t>85 442,9</w:t>
            </w:r>
          </w:p>
        </w:tc>
        <w:tc>
          <w:tcPr>
            <w:tcW w:w="708" w:type="dxa"/>
            <w:tcBorders>
              <w:top w:val="nil"/>
              <w:left w:val="nil"/>
              <w:bottom w:val="single" w:sz="4" w:space="0" w:color="auto"/>
              <w:right w:val="double" w:sz="6" w:space="0" w:color="auto"/>
            </w:tcBorders>
            <w:noWrap/>
            <w:vAlign w:val="bottom"/>
            <w:hideMark/>
          </w:tcPr>
          <w:p w:rsidR="001E102D" w:rsidRPr="00215B3D" w:rsidRDefault="0097634A" w:rsidP="00093DFC">
            <w:pPr>
              <w:spacing w:after="0" w:line="240" w:lineRule="auto"/>
              <w:jc w:val="right"/>
              <w:rPr>
                <w:rFonts w:ascii="Segoe UI" w:hAnsi="Segoe UI" w:cs="Segoe UI"/>
                <w:sz w:val="20"/>
                <w:szCs w:val="20"/>
              </w:rPr>
            </w:pPr>
            <w:r w:rsidRPr="00215B3D">
              <w:rPr>
                <w:rFonts w:ascii="Segoe UI" w:hAnsi="Segoe UI" w:cs="Segoe UI"/>
                <w:sz w:val="20"/>
                <w:szCs w:val="20"/>
              </w:rPr>
              <w:t>42,7</w:t>
            </w:r>
          </w:p>
        </w:tc>
        <w:tc>
          <w:tcPr>
            <w:tcW w:w="1135" w:type="dxa"/>
            <w:tcBorders>
              <w:top w:val="nil"/>
              <w:left w:val="nil"/>
              <w:bottom w:val="single" w:sz="4" w:space="0" w:color="auto"/>
              <w:right w:val="single" w:sz="4" w:space="0" w:color="auto"/>
            </w:tcBorders>
            <w:noWrap/>
            <w:vAlign w:val="center"/>
            <w:hideMark/>
          </w:tcPr>
          <w:p w:rsidR="001E102D" w:rsidRPr="00215B3D" w:rsidRDefault="0097634A" w:rsidP="00F244D2">
            <w:pPr>
              <w:spacing w:after="0" w:line="240" w:lineRule="auto"/>
              <w:jc w:val="right"/>
              <w:rPr>
                <w:rFonts w:ascii="Segoe UI" w:hAnsi="Segoe UI" w:cs="Segoe UI"/>
                <w:sz w:val="20"/>
                <w:szCs w:val="20"/>
              </w:rPr>
            </w:pPr>
            <w:r w:rsidRPr="00215B3D">
              <w:rPr>
                <w:rFonts w:ascii="Segoe UI" w:hAnsi="Segoe UI" w:cs="Segoe UI"/>
                <w:sz w:val="20"/>
                <w:szCs w:val="20"/>
              </w:rPr>
              <w:t>-41 890,4</w:t>
            </w:r>
          </w:p>
        </w:tc>
        <w:tc>
          <w:tcPr>
            <w:tcW w:w="850" w:type="dxa"/>
            <w:tcBorders>
              <w:top w:val="nil"/>
              <w:left w:val="nil"/>
              <w:bottom w:val="single" w:sz="4" w:space="0" w:color="auto"/>
              <w:right w:val="single" w:sz="8" w:space="0" w:color="auto"/>
            </w:tcBorders>
            <w:noWrap/>
            <w:vAlign w:val="center"/>
            <w:hideMark/>
          </w:tcPr>
          <w:p w:rsidR="001E102D" w:rsidRPr="00215B3D" w:rsidRDefault="0097634A" w:rsidP="00F244D2">
            <w:pPr>
              <w:spacing w:after="0" w:line="240" w:lineRule="auto"/>
              <w:jc w:val="right"/>
              <w:rPr>
                <w:rFonts w:ascii="Segoe UI" w:hAnsi="Segoe UI" w:cs="Segoe UI"/>
                <w:sz w:val="20"/>
                <w:szCs w:val="20"/>
              </w:rPr>
            </w:pPr>
            <w:r w:rsidRPr="00215B3D">
              <w:rPr>
                <w:rFonts w:ascii="Segoe UI" w:hAnsi="Segoe UI" w:cs="Segoe UI"/>
                <w:sz w:val="20"/>
                <w:szCs w:val="20"/>
              </w:rPr>
              <w:t>-32,9</w:t>
            </w:r>
          </w:p>
        </w:tc>
      </w:tr>
      <w:tr w:rsidR="001E102D" w:rsidRPr="00215B3D" w:rsidTr="001B110D">
        <w:trPr>
          <w:trHeight w:val="330"/>
          <w:jc w:val="center"/>
        </w:trPr>
        <w:tc>
          <w:tcPr>
            <w:tcW w:w="2127" w:type="dxa"/>
            <w:tcBorders>
              <w:top w:val="single" w:sz="8" w:space="0" w:color="auto"/>
              <w:left w:val="single" w:sz="8" w:space="0" w:color="auto"/>
              <w:bottom w:val="single" w:sz="8" w:space="0" w:color="auto"/>
              <w:right w:val="nil"/>
            </w:tcBorders>
            <w:noWrap/>
            <w:vAlign w:val="center"/>
            <w:hideMark/>
          </w:tcPr>
          <w:p w:rsidR="001E102D" w:rsidRPr="00215B3D" w:rsidRDefault="001E102D" w:rsidP="005A5585">
            <w:pPr>
              <w:spacing w:after="0" w:line="240" w:lineRule="auto"/>
              <w:jc w:val="center"/>
              <w:rPr>
                <w:rFonts w:ascii="Segoe UI" w:hAnsi="Segoe UI" w:cs="Segoe UI"/>
                <w:sz w:val="20"/>
                <w:szCs w:val="20"/>
              </w:rPr>
            </w:pPr>
            <w:r w:rsidRPr="00215B3D">
              <w:rPr>
                <w:rFonts w:ascii="Segoe UI" w:hAnsi="Segoe UI" w:cs="Segoe UI"/>
                <w:b/>
                <w:bCs/>
                <w:sz w:val="20"/>
                <w:szCs w:val="20"/>
              </w:rPr>
              <w:t>TOTAL</w:t>
            </w:r>
          </w:p>
        </w:tc>
        <w:tc>
          <w:tcPr>
            <w:tcW w:w="992" w:type="dxa"/>
            <w:tcBorders>
              <w:top w:val="nil"/>
              <w:left w:val="double" w:sz="6" w:space="0" w:color="auto"/>
              <w:bottom w:val="single" w:sz="8" w:space="0" w:color="auto"/>
              <w:right w:val="single" w:sz="4" w:space="0" w:color="auto"/>
            </w:tcBorders>
            <w:noWrap/>
            <w:hideMark/>
          </w:tcPr>
          <w:p w:rsidR="001E102D" w:rsidRPr="00215B3D" w:rsidRDefault="001E102D" w:rsidP="00113932">
            <w:pPr>
              <w:spacing w:after="0" w:line="240" w:lineRule="auto"/>
              <w:jc w:val="center"/>
              <w:rPr>
                <w:rFonts w:ascii="Segoe UI" w:hAnsi="Segoe UI" w:cs="Segoe UI"/>
                <w:b/>
                <w:bCs/>
                <w:sz w:val="18"/>
                <w:szCs w:val="20"/>
              </w:rPr>
            </w:pPr>
            <w:r w:rsidRPr="00215B3D">
              <w:rPr>
                <w:rFonts w:ascii="Segoe UI" w:hAnsi="Segoe UI" w:cs="Segoe UI"/>
                <w:b/>
                <w:bCs/>
                <w:sz w:val="18"/>
                <w:szCs w:val="20"/>
              </w:rPr>
              <w:t>745 718</w:t>
            </w:r>
          </w:p>
        </w:tc>
        <w:tc>
          <w:tcPr>
            <w:tcW w:w="993" w:type="dxa"/>
            <w:tcBorders>
              <w:top w:val="single" w:sz="8" w:space="0" w:color="auto"/>
              <w:left w:val="nil"/>
              <w:bottom w:val="single" w:sz="8" w:space="0" w:color="auto"/>
              <w:right w:val="single" w:sz="4" w:space="0" w:color="auto"/>
            </w:tcBorders>
            <w:noWrap/>
            <w:hideMark/>
          </w:tcPr>
          <w:p w:rsidR="001E102D" w:rsidRPr="00215B3D" w:rsidRDefault="001E102D" w:rsidP="00113932">
            <w:pPr>
              <w:spacing w:after="0" w:line="240" w:lineRule="auto"/>
              <w:jc w:val="center"/>
              <w:rPr>
                <w:rFonts w:ascii="Segoe UI" w:hAnsi="Segoe UI" w:cs="Segoe UI"/>
                <w:b/>
                <w:bCs/>
                <w:sz w:val="18"/>
                <w:szCs w:val="20"/>
              </w:rPr>
            </w:pPr>
            <w:r w:rsidRPr="00215B3D">
              <w:rPr>
                <w:rFonts w:ascii="Segoe UI" w:hAnsi="Segoe UI" w:cs="Segoe UI"/>
                <w:b/>
                <w:bCs/>
                <w:sz w:val="18"/>
                <w:szCs w:val="20"/>
              </w:rPr>
              <w:t>399 385,0</w:t>
            </w:r>
          </w:p>
        </w:tc>
        <w:tc>
          <w:tcPr>
            <w:tcW w:w="708" w:type="dxa"/>
            <w:tcBorders>
              <w:top w:val="single" w:sz="8" w:space="0" w:color="auto"/>
              <w:left w:val="nil"/>
              <w:bottom w:val="single" w:sz="8" w:space="0" w:color="auto"/>
              <w:right w:val="double" w:sz="6" w:space="0" w:color="auto"/>
            </w:tcBorders>
            <w:hideMark/>
          </w:tcPr>
          <w:p w:rsidR="001E102D" w:rsidRPr="00215B3D" w:rsidRDefault="001E102D" w:rsidP="00113932">
            <w:pPr>
              <w:spacing w:after="0" w:line="240" w:lineRule="auto"/>
              <w:jc w:val="center"/>
              <w:rPr>
                <w:rFonts w:ascii="Segoe UI" w:hAnsi="Segoe UI" w:cs="Segoe UI"/>
                <w:b/>
                <w:bCs/>
                <w:sz w:val="18"/>
                <w:szCs w:val="20"/>
              </w:rPr>
            </w:pPr>
            <w:r w:rsidRPr="00215B3D">
              <w:rPr>
                <w:rFonts w:ascii="Segoe UI" w:hAnsi="Segoe UI" w:cs="Segoe UI"/>
                <w:b/>
                <w:bCs/>
                <w:sz w:val="18"/>
                <w:szCs w:val="20"/>
              </w:rPr>
              <w:t>53,6</w:t>
            </w:r>
          </w:p>
        </w:tc>
        <w:tc>
          <w:tcPr>
            <w:tcW w:w="993" w:type="dxa"/>
            <w:tcBorders>
              <w:top w:val="nil"/>
              <w:left w:val="nil"/>
              <w:bottom w:val="single" w:sz="8" w:space="0" w:color="auto"/>
              <w:right w:val="single" w:sz="4" w:space="0" w:color="auto"/>
            </w:tcBorders>
            <w:noWrap/>
            <w:hideMark/>
          </w:tcPr>
          <w:p w:rsidR="001E102D" w:rsidRPr="00215B3D" w:rsidRDefault="0097634A" w:rsidP="00113932">
            <w:pPr>
              <w:spacing w:after="0" w:line="240" w:lineRule="auto"/>
              <w:jc w:val="center"/>
              <w:rPr>
                <w:rFonts w:ascii="Segoe UI" w:hAnsi="Segoe UI" w:cs="Segoe UI"/>
                <w:b/>
                <w:bCs/>
                <w:sz w:val="18"/>
                <w:szCs w:val="20"/>
              </w:rPr>
            </w:pPr>
            <w:r w:rsidRPr="00215B3D">
              <w:rPr>
                <w:rFonts w:ascii="Segoe UI" w:hAnsi="Segoe UI" w:cs="Segoe UI"/>
                <w:b/>
                <w:bCs/>
                <w:sz w:val="18"/>
                <w:szCs w:val="20"/>
              </w:rPr>
              <w:t>761 125,0</w:t>
            </w:r>
          </w:p>
        </w:tc>
        <w:tc>
          <w:tcPr>
            <w:tcW w:w="1134" w:type="dxa"/>
            <w:tcBorders>
              <w:top w:val="single" w:sz="8" w:space="0" w:color="auto"/>
              <w:left w:val="nil"/>
              <w:bottom w:val="single" w:sz="8" w:space="0" w:color="auto"/>
              <w:right w:val="single" w:sz="4" w:space="0" w:color="auto"/>
            </w:tcBorders>
            <w:noWrap/>
            <w:hideMark/>
          </w:tcPr>
          <w:p w:rsidR="001E102D" w:rsidRPr="00215B3D" w:rsidRDefault="0097634A" w:rsidP="00D815CE">
            <w:pPr>
              <w:spacing w:after="0" w:line="240" w:lineRule="auto"/>
              <w:jc w:val="center"/>
              <w:rPr>
                <w:rFonts w:ascii="Segoe UI" w:hAnsi="Segoe UI" w:cs="Segoe UI"/>
                <w:b/>
                <w:bCs/>
                <w:sz w:val="18"/>
                <w:szCs w:val="20"/>
              </w:rPr>
            </w:pPr>
            <w:r w:rsidRPr="00215B3D">
              <w:rPr>
                <w:rFonts w:ascii="Segoe UI" w:hAnsi="Segoe UI" w:cs="Segoe UI"/>
                <w:b/>
                <w:bCs/>
                <w:sz w:val="18"/>
                <w:szCs w:val="20"/>
              </w:rPr>
              <w:t>350 036,</w:t>
            </w:r>
            <w:r w:rsidR="00D815CE">
              <w:rPr>
                <w:rFonts w:ascii="Segoe UI" w:hAnsi="Segoe UI" w:cs="Segoe UI"/>
                <w:b/>
                <w:bCs/>
                <w:sz w:val="18"/>
                <w:szCs w:val="20"/>
              </w:rPr>
              <w:t>4</w:t>
            </w:r>
          </w:p>
        </w:tc>
        <w:tc>
          <w:tcPr>
            <w:tcW w:w="708" w:type="dxa"/>
            <w:tcBorders>
              <w:top w:val="single" w:sz="8" w:space="0" w:color="auto"/>
              <w:left w:val="nil"/>
              <w:bottom w:val="single" w:sz="8" w:space="0" w:color="auto"/>
              <w:right w:val="double" w:sz="6" w:space="0" w:color="auto"/>
            </w:tcBorders>
            <w:hideMark/>
          </w:tcPr>
          <w:p w:rsidR="001E102D" w:rsidRPr="00215B3D" w:rsidRDefault="0097634A" w:rsidP="0097634A">
            <w:pPr>
              <w:spacing w:after="0" w:line="240" w:lineRule="auto"/>
              <w:jc w:val="center"/>
              <w:rPr>
                <w:rFonts w:ascii="Segoe UI" w:hAnsi="Segoe UI" w:cs="Segoe UI"/>
                <w:b/>
                <w:bCs/>
                <w:sz w:val="18"/>
                <w:szCs w:val="20"/>
              </w:rPr>
            </w:pPr>
            <w:r w:rsidRPr="00215B3D">
              <w:rPr>
                <w:rFonts w:ascii="Segoe UI" w:hAnsi="Segoe UI" w:cs="Segoe UI"/>
                <w:b/>
                <w:bCs/>
                <w:sz w:val="18"/>
                <w:szCs w:val="20"/>
              </w:rPr>
              <w:t>46,0</w:t>
            </w:r>
          </w:p>
        </w:tc>
        <w:tc>
          <w:tcPr>
            <w:tcW w:w="1135" w:type="dxa"/>
            <w:tcBorders>
              <w:top w:val="single" w:sz="8" w:space="0" w:color="auto"/>
              <w:left w:val="nil"/>
              <w:bottom w:val="single" w:sz="8" w:space="0" w:color="auto"/>
              <w:right w:val="nil"/>
            </w:tcBorders>
            <w:noWrap/>
            <w:vAlign w:val="center"/>
            <w:hideMark/>
          </w:tcPr>
          <w:p w:rsidR="001E102D" w:rsidRPr="00215B3D" w:rsidRDefault="00113932" w:rsidP="00D815CE">
            <w:pPr>
              <w:spacing w:after="0" w:line="240" w:lineRule="auto"/>
              <w:jc w:val="center"/>
              <w:rPr>
                <w:rFonts w:ascii="Segoe UI" w:hAnsi="Segoe UI" w:cs="Segoe UI"/>
                <w:b/>
                <w:bCs/>
                <w:sz w:val="18"/>
                <w:szCs w:val="20"/>
              </w:rPr>
            </w:pPr>
            <w:r w:rsidRPr="00215B3D">
              <w:rPr>
                <w:rFonts w:ascii="Segoe UI" w:hAnsi="Segoe UI" w:cs="Segoe UI"/>
                <w:b/>
                <w:bCs/>
                <w:sz w:val="18"/>
                <w:szCs w:val="20"/>
              </w:rPr>
              <w:t>-</w:t>
            </w:r>
            <w:r w:rsidR="0097634A" w:rsidRPr="00215B3D">
              <w:rPr>
                <w:rFonts w:ascii="Segoe UI" w:hAnsi="Segoe UI" w:cs="Segoe UI"/>
                <w:b/>
                <w:bCs/>
                <w:sz w:val="18"/>
                <w:szCs w:val="20"/>
              </w:rPr>
              <w:t>49 348,</w:t>
            </w:r>
            <w:r w:rsidR="00D815CE">
              <w:rPr>
                <w:rFonts w:ascii="Segoe UI" w:hAnsi="Segoe UI" w:cs="Segoe UI"/>
                <w:b/>
                <w:bCs/>
                <w:sz w:val="18"/>
                <w:szCs w:val="20"/>
              </w:rPr>
              <w:t>6</w:t>
            </w:r>
          </w:p>
        </w:tc>
        <w:tc>
          <w:tcPr>
            <w:tcW w:w="850" w:type="dxa"/>
            <w:tcBorders>
              <w:top w:val="single" w:sz="8" w:space="0" w:color="auto"/>
              <w:left w:val="single" w:sz="4" w:space="0" w:color="auto"/>
              <w:bottom w:val="single" w:sz="8" w:space="0" w:color="auto"/>
              <w:right w:val="single" w:sz="8" w:space="0" w:color="auto"/>
            </w:tcBorders>
            <w:noWrap/>
            <w:vAlign w:val="center"/>
            <w:hideMark/>
          </w:tcPr>
          <w:p w:rsidR="001E102D" w:rsidRPr="00215B3D" w:rsidRDefault="0097634A" w:rsidP="001B110D">
            <w:pPr>
              <w:spacing w:after="0" w:line="240" w:lineRule="auto"/>
              <w:jc w:val="center"/>
              <w:rPr>
                <w:rFonts w:ascii="Segoe UI" w:hAnsi="Segoe UI" w:cs="Segoe UI"/>
                <w:b/>
                <w:bCs/>
                <w:sz w:val="18"/>
                <w:szCs w:val="20"/>
              </w:rPr>
            </w:pPr>
            <w:r w:rsidRPr="00215B3D">
              <w:rPr>
                <w:rFonts w:ascii="Segoe UI" w:hAnsi="Segoe UI" w:cs="Segoe UI"/>
                <w:b/>
                <w:bCs/>
                <w:sz w:val="18"/>
                <w:szCs w:val="20"/>
              </w:rPr>
              <w:t>-12,4</w:t>
            </w:r>
          </w:p>
        </w:tc>
      </w:tr>
    </w:tbl>
    <w:p w:rsidR="002F15C3" w:rsidRPr="00215B3D" w:rsidRDefault="00F244D2" w:rsidP="000C178C">
      <w:pPr>
        <w:rPr>
          <w:rFonts w:ascii="Segoe UI" w:hAnsi="Segoe UI" w:cs="Segoe UI"/>
          <w:sz w:val="20"/>
          <w:szCs w:val="20"/>
        </w:rPr>
      </w:pPr>
      <w:r w:rsidRPr="00215B3D">
        <w:rPr>
          <w:rFonts w:ascii="Segoe UI" w:hAnsi="Segoe UI" w:cs="Segoe UI"/>
          <w:b/>
          <w:sz w:val="20"/>
          <w:szCs w:val="20"/>
          <w:u w:val="single"/>
        </w:rPr>
        <w:t>Source</w:t>
      </w:r>
      <w:r w:rsidRPr="00215B3D">
        <w:rPr>
          <w:rFonts w:ascii="Segoe UI" w:hAnsi="Segoe UI" w:cs="Segoe UI"/>
          <w:sz w:val="20"/>
          <w:szCs w:val="20"/>
        </w:rPr>
        <w:t> :</w:t>
      </w:r>
      <w:r w:rsidR="00510A64" w:rsidRPr="00215B3D">
        <w:rPr>
          <w:rFonts w:ascii="Segoe UI" w:hAnsi="Segoe UI" w:cs="Segoe UI"/>
          <w:sz w:val="20"/>
          <w:szCs w:val="20"/>
        </w:rPr>
        <w:t xml:space="preserve"> </w:t>
      </w:r>
      <w:r w:rsidRPr="00215B3D">
        <w:rPr>
          <w:rFonts w:ascii="Segoe UI" w:hAnsi="Segoe UI" w:cs="Segoe UI"/>
          <w:sz w:val="20"/>
          <w:szCs w:val="20"/>
        </w:rPr>
        <w:t xml:space="preserve">DGB, sur la base des données fournies par le </w:t>
      </w:r>
      <w:proofErr w:type="spellStart"/>
      <w:r w:rsidRPr="00215B3D">
        <w:rPr>
          <w:rFonts w:ascii="Segoe UI" w:hAnsi="Segoe UI" w:cs="Segoe UI"/>
          <w:sz w:val="20"/>
          <w:szCs w:val="20"/>
        </w:rPr>
        <w:t>S</w:t>
      </w:r>
      <w:r w:rsidR="00510A64" w:rsidRPr="00215B3D">
        <w:rPr>
          <w:rFonts w:ascii="Segoe UI" w:hAnsi="Segoe UI" w:cs="Segoe UI"/>
          <w:sz w:val="20"/>
          <w:szCs w:val="20"/>
        </w:rPr>
        <w:t>IGFiP</w:t>
      </w:r>
      <w:proofErr w:type="spellEnd"/>
      <w:r w:rsidR="00510A64" w:rsidRPr="00215B3D">
        <w:rPr>
          <w:rFonts w:ascii="Segoe UI" w:hAnsi="Segoe UI" w:cs="Segoe UI"/>
          <w:sz w:val="20"/>
          <w:szCs w:val="20"/>
        </w:rPr>
        <w:t xml:space="preserve">, </w:t>
      </w:r>
      <w:r w:rsidR="00F97955">
        <w:rPr>
          <w:rFonts w:ascii="Segoe UI" w:hAnsi="Segoe UI" w:cs="Segoe UI"/>
          <w:sz w:val="20"/>
          <w:szCs w:val="20"/>
        </w:rPr>
        <w:t>juin</w:t>
      </w:r>
      <w:r w:rsidR="00F75A4E" w:rsidRPr="00215B3D">
        <w:rPr>
          <w:rFonts w:ascii="Segoe UI" w:hAnsi="Segoe UI" w:cs="Segoe UI"/>
          <w:sz w:val="20"/>
          <w:szCs w:val="20"/>
        </w:rPr>
        <w:t xml:space="preserve"> </w:t>
      </w:r>
      <w:r w:rsidR="00756386" w:rsidRPr="00215B3D">
        <w:rPr>
          <w:rFonts w:ascii="Segoe UI" w:hAnsi="Segoe UI" w:cs="Segoe UI"/>
          <w:sz w:val="20"/>
          <w:szCs w:val="20"/>
        </w:rPr>
        <w:t>201</w:t>
      </w:r>
      <w:r w:rsidR="00AD45F1" w:rsidRPr="00215B3D">
        <w:rPr>
          <w:rFonts w:ascii="Segoe UI" w:hAnsi="Segoe UI" w:cs="Segoe UI"/>
          <w:sz w:val="20"/>
          <w:szCs w:val="20"/>
        </w:rPr>
        <w:t>7</w:t>
      </w:r>
    </w:p>
    <w:p w:rsidR="006316FD" w:rsidRPr="00215B3D" w:rsidRDefault="00A67184" w:rsidP="000C178C">
      <w:pPr>
        <w:rPr>
          <w:rFonts w:ascii="Segoe UI" w:hAnsi="Segoe UI" w:cs="Segoe UI"/>
          <w:b/>
          <w:sz w:val="26"/>
          <w:szCs w:val="26"/>
        </w:rPr>
      </w:pPr>
      <w:r w:rsidRPr="00215B3D">
        <w:rPr>
          <w:rFonts w:ascii="Segoe UI" w:hAnsi="Segoe UI" w:cs="Segoe UI"/>
          <w:b/>
          <w:sz w:val="26"/>
          <w:szCs w:val="26"/>
        </w:rPr>
        <w:t>B-</w:t>
      </w:r>
      <w:r w:rsidR="00BD1603" w:rsidRPr="00215B3D">
        <w:rPr>
          <w:rFonts w:ascii="Segoe UI" w:hAnsi="Segoe UI" w:cs="Segoe UI"/>
          <w:b/>
          <w:sz w:val="26"/>
          <w:szCs w:val="26"/>
        </w:rPr>
        <w:t>1-</w:t>
      </w:r>
      <w:r w:rsidRPr="00215B3D">
        <w:rPr>
          <w:rFonts w:ascii="Segoe UI" w:hAnsi="Segoe UI" w:cs="Segoe UI"/>
          <w:b/>
          <w:sz w:val="26"/>
          <w:szCs w:val="26"/>
        </w:rPr>
        <w:t>2 Dépenses en capital</w:t>
      </w:r>
    </w:p>
    <w:p w:rsidR="00ED38F5" w:rsidRDefault="00B6075C" w:rsidP="008A3C84">
      <w:pPr>
        <w:tabs>
          <w:tab w:val="left" w:pos="426"/>
        </w:tabs>
        <w:spacing w:after="120" w:line="360" w:lineRule="auto"/>
        <w:jc w:val="both"/>
        <w:rPr>
          <w:rFonts w:ascii="Segoe UI" w:hAnsi="Segoe UI" w:cs="Segoe UI"/>
          <w:sz w:val="24"/>
          <w:szCs w:val="26"/>
        </w:rPr>
      </w:pPr>
      <w:r>
        <w:rPr>
          <w:rFonts w:ascii="Segoe UI" w:hAnsi="Segoe UI" w:cs="Segoe UI"/>
          <w:sz w:val="24"/>
          <w:szCs w:val="26"/>
        </w:rPr>
        <w:t>Au 30 juin 2017, les investissement</w:t>
      </w:r>
      <w:r w:rsidR="00ED38F5">
        <w:rPr>
          <w:rFonts w:ascii="Segoe UI" w:hAnsi="Segoe UI" w:cs="Segoe UI"/>
          <w:sz w:val="24"/>
          <w:szCs w:val="26"/>
        </w:rPr>
        <w:t>s</w:t>
      </w:r>
      <w:r>
        <w:rPr>
          <w:rFonts w:ascii="Segoe UI" w:hAnsi="Segoe UI" w:cs="Segoe UI"/>
          <w:sz w:val="24"/>
          <w:szCs w:val="26"/>
        </w:rPr>
        <w:t xml:space="preserve"> </w:t>
      </w:r>
      <w:r w:rsidR="00ED38F5">
        <w:rPr>
          <w:rFonts w:ascii="Segoe UI" w:hAnsi="Segoe UI" w:cs="Segoe UI"/>
          <w:sz w:val="24"/>
          <w:szCs w:val="26"/>
        </w:rPr>
        <w:t xml:space="preserve">ou dépenses en capital cumulés atteignent </w:t>
      </w:r>
      <w:r w:rsidR="005F506A" w:rsidRPr="00215B3D">
        <w:rPr>
          <w:rFonts w:ascii="Segoe UI" w:hAnsi="Segoe UI" w:cs="Segoe UI"/>
          <w:b/>
          <w:sz w:val="24"/>
          <w:szCs w:val="26"/>
        </w:rPr>
        <w:t>221 753,7</w:t>
      </w:r>
      <w:r w:rsidR="00F75A4E" w:rsidRPr="00215B3D">
        <w:rPr>
          <w:rFonts w:ascii="Segoe UI" w:hAnsi="Segoe UI" w:cs="Segoe UI"/>
          <w:b/>
          <w:sz w:val="24"/>
          <w:szCs w:val="26"/>
        </w:rPr>
        <w:t xml:space="preserve"> </w:t>
      </w:r>
      <w:r w:rsidR="003A3FB7" w:rsidRPr="00215B3D">
        <w:rPr>
          <w:rFonts w:ascii="Segoe UI" w:hAnsi="Segoe UI" w:cs="Segoe UI"/>
          <w:b/>
          <w:sz w:val="24"/>
          <w:szCs w:val="26"/>
        </w:rPr>
        <w:t>millions de FCFA</w:t>
      </w:r>
      <w:r w:rsidR="00F75A4E" w:rsidRPr="00215B3D">
        <w:rPr>
          <w:rFonts w:ascii="Segoe UI" w:hAnsi="Segoe UI" w:cs="Segoe UI"/>
          <w:b/>
          <w:sz w:val="24"/>
          <w:szCs w:val="26"/>
        </w:rPr>
        <w:t xml:space="preserve"> </w:t>
      </w:r>
      <w:r w:rsidR="00ED38F5" w:rsidRPr="00ED38F5">
        <w:rPr>
          <w:rFonts w:ascii="Segoe UI" w:hAnsi="Segoe UI" w:cs="Segoe UI"/>
          <w:sz w:val="24"/>
          <w:szCs w:val="26"/>
        </w:rPr>
        <w:t xml:space="preserve">contre </w:t>
      </w:r>
      <w:r w:rsidR="00FE3542">
        <w:rPr>
          <w:rFonts w:ascii="Segoe UI" w:hAnsi="Segoe UI" w:cs="Segoe UI"/>
          <w:b/>
          <w:sz w:val="24"/>
          <w:szCs w:val="26"/>
        </w:rPr>
        <w:t>145 657,1</w:t>
      </w:r>
      <w:r w:rsidR="00ED38F5" w:rsidRPr="00ED38F5">
        <w:rPr>
          <w:rFonts w:ascii="Segoe UI" w:hAnsi="Segoe UI" w:cs="Segoe UI"/>
          <w:b/>
          <w:sz w:val="24"/>
          <w:szCs w:val="26"/>
        </w:rPr>
        <w:t xml:space="preserve"> millions de FCFA</w:t>
      </w:r>
      <w:r w:rsidR="00ED38F5" w:rsidRPr="00215B3D">
        <w:rPr>
          <w:rFonts w:ascii="Segoe UI" w:hAnsi="Segoe UI" w:cs="Segoe UI"/>
          <w:sz w:val="24"/>
          <w:szCs w:val="26"/>
        </w:rPr>
        <w:t xml:space="preserve"> </w:t>
      </w:r>
      <w:r w:rsidR="00ED38F5">
        <w:rPr>
          <w:rFonts w:ascii="Segoe UI" w:hAnsi="Segoe UI" w:cs="Segoe UI"/>
          <w:sz w:val="24"/>
          <w:szCs w:val="26"/>
        </w:rPr>
        <w:t xml:space="preserve">à </w:t>
      </w:r>
      <w:r w:rsidR="00EF7531">
        <w:rPr>
          <w:rFonts w:ascii="Segoe UI" w:hAnsi="Segoe UI" w:cs="Segoe UI"/>
          <w:sz w:val="24"/>
          <w:szCs w:val="26"/>
        </w:rPr>
        <w:t>la même période</w:t>
      </w:r>
      <w:r w:rsidR="00ED38F5">
        <w:rPr>
          <w:rFonts w:ascii="Segoe UI" w:hAnsi="Segoe UI" w:cs="Segoe UI"/>
          <w:sz w:val="24"/>
          <w:szCs w:val="26"/>
        </w:rPr>
        <w:t xml:space="preserve"> </w:t>
      </w:r>
      <w:r w:rsidR="00EF7531">
        <w:rPr>
          <w:rFonts w:ascii="Segoe UI" w:hAnsi="Segoe UI" w:cs="Segoe UI"/>
          <w:sz w:val="24"/>
          <w:szCs w:val="26"/>
        </w:rPr>
        <w:t xml:space="preserve">en </w:t>
      </w:r>
      <w:r w:rsidR="00ED38F5">
        <w:rPr>
          <w:rFonts w:ascii="Segoe UI" w:hAnsi="Segoe UI" w:cs="Segoe UI"/>
          <w:sz w:val="24"/>
          <w:szCs w:val="26"/>
        </w:rPr>
        <w:t xml:space="preserve">2016. </w:t>
      </w:r>
    </w:p>
    <w:p w:rsidR="00B74C93" w:rsidRPr="00215B3D" w:rsidRDefault="00ED38F5" w:rsidP="008A3C84">
      <w:pPr>
        <w:tabs>
          <w:tab w:val="left" w:pos="426"/>
        </w:tabs>
        <w:spacing w:after="120" w:line="360" w:lineRule="auto"/>
        <w:jc w:val="both"/>
        <w:rPr>
          <w:rFonts w:ascii="Segoe UI" w:hAnsi="Segoe UI" w:cs="Segoe UI"/>
          <w:sz w:val="24"/>
          <w:szCs w:val="26"/>
        </w:rPr>
      </w:pPr>
      <w:r>
        <w:rPr>
          <w:rFonts w:ascii="Segoe UI" w:hAnsi="Segoe UI" w:cs="Segoe UI"/>
          <w:sz w:val="24"/>
          <w:szCs w:val="26"/>
        </w:rPr>
        <w:t>L</w:t>
      </w:r>
      <w:r w:rsidR="00B070CE">
        <w:rPr>
          <w:rFonts w:ascii="Segoe UI" w:hAnsi="Segoe UI" w:cs="Segoe UI"/>
          <w:sz w:val="24"/>
          <w:szCs w:val="26"/>
        </w:rPr>
        <w:t>es</w:t>
      </w:r>
      <w:r>
        <w:rPr>
          <w:rFonts w:ascii="Segoe UI" w:hAnsi="Segoe UI" w:cs="Segoe UI"/>
          <w:sz w:val="24"/>
          <w:szCs w:val="26"/>
        </w:rPr>
        <w:t xml:space="preserve"> situation</w:t>
      </w:r>
      <w:r w:rsidR="00B070CE">
        <w:rPr>
          <w:rFonts w:ascii="Segoe UI" w:hAnsi="Segoe UI" w:cs="Segoe UI"/>
          <w:sz w:val="24"/>
          <w:szCs w:val="26"/>
        </w:rPr>
        <w:t>s</w:t>
      </w:r>
      <w:r>
        <w:rPr>
          <w:rFonts w:ascii="Segoe UI" w:hAnsi="Segoe UI" w:cs="Segoe UI"/>
          <w:sz w:val="24"/>
          <w:szCs w:val="26"/>
        </w:rPr>
        <w:t xml:space="preserve"> d’engagement infra-annuelle</w:t>
      </w:r>
      <w:r w:rsidR="00B070CE">
        <w:rPr>
          <w:rFonts w:ascii="Segoe UI" w:hAnsi="Segoe UI" w:cs="Segoe UI"/>
          <w:sz w:val="24"/>
          <w:szCs w:val="26"/>
        </w:rPr>
        <w:t>s</w:t>
      </w:r>
      <w:r>
        <w:rPr>
          <w:rFonts w:ascii="Segoe UI" w:hAnsi="Segoe UI" w:cs="Segoe UI"/>
          <w:sz w:val="24"/>
          <w:szCs w:val="26"/>
        </w:rPr>
        <w:t xml:space="preserve"> </w:t>
      </w:r>
      <w:r w:rsidR="00003AA3">
        <w:rPr>
          <w:rFonts w:ascii="Segoe UI" w:hAnsi="Segoe UI" w:cs="Segoe UI"/>
          <w:sz w:val="24"/>
          <w:szCs w:val="26"/>
        </w:rPr>
        <w:t xml:space="preserve"> </w:t>
      </w:r>
      <w:r w:rsidRPr="00215B3D">
        <w:rPr>
          <w:rFonts w:ascii="Segoe UI" w:hAnsi="Segoe UI" w:cs="Segoe UI"/>
          <w:sz w:val="24"/>
          <w:szCs w:val="26"/>
        </w:rPr>
        <w:t xml:space="preserve">des dépenses </w:t>
      </w:r>
      <w:r w:rsidR="00FD5FE4" w:rsidRPr="00215B3D">
        <w:rPr>
          <w:rFonts w:ascii="Segoe UI" w:hAnsi="Segoe UI" w:cs="Segoe UI"/>
          <w:sz w:val="24"/>
          <w:szCs w:val="26"/>
        </w:rPr>
        <w:t xml:space="preserve">en capital </w:t>
      </w:r>
      <w:r w:rsidR="00E9560B" w:rsidRPr="00215B3D">
        <w:rPr>
          <w:rFonts w:ascii="Segoe UI" w:hAnsi="Segoe UI" w:cs="Segoe UI"/>
          <w:sz w:val="24"/>
          <w:szCs w:val="26"/>
        </w:rPr>
        <w:t xml:space="preserve">à fin </w:t>
      </w:r>
      <w:r w:rsidR="00C12BE4" w:rsidRPr="00215B3D">
        <w:rPr>
          <w:rFonts w:ascii="Segoe UI" w:hAnsi="Segoe UI" w:cs="Segoe UI"/>
          <w:sz w:val="24"/>
          <w:szCs w:val="26"/>
        </w:rPr>
        <w:t>juin</w:t>
      </w:r>
      <w:r w:rsidR="00F75A4E" w:rsidRPr="00215B3D">
        <w:rPr>
          <w:rFonts w:ascii="Segoe UI" w:hAnsi="Segoe UI" w:cs="Segoe UI"/>
          <w:sz w:val="24"/>
          <w:szCs w:val="26"/>
        </w:rPr>
        <w:t xml:space="preserve"> </w:t>
      </w:r>
      <w:r w:rsidR="005D4A19" w:rsidRPr="00215B3D">
        <w:rPr>
          <w:rFonts w:ascii="Segoe UI" w:hAnsi="Segoe UI" w:cs="Segoe UI"/>
          <w:sz w:val="24"/>
          <w:szCs w:val="26"/>
        </w:rPr>
        <w:t>201</w:t>
      </w:r>
      <w:r w:rsidR="00C12BE4" w:rsidRPr="00215B3D">
        <w:rPr>
          <w:rFonts w:ascii="Segoe UI" w:hAnsi="Segoe UI" w:cs="Segoe UI"/>
          <w:sz w:val="24"/>
          <w:szCs w:val="26"/>
        </w:rPr>
        <w:t>7</w:t>
      </w:r>
      <w:r w:rsidR="005D4A19" w:rsidRPr="00215B3D">
        <w:rPr>
          <w:rFonts w:ascii="Segoe UI" w:hAnsi="Segoe UI" w:cs="Segoe UI"/>
          <w:sz w:val="24"/>
          <w:szCs w:val="26"/>
        </w:rPr>
        <w:t xml:space="preserve"> et 201</w:t>
      </w:r>
      <w:r w:rsidR="00C12BE4" w:rsidRPr="00215B3D">
        <w:rPr>
          <w:rFonts w:ascii="Segoe UI" w:hAnsi="Segoe UI" w:cs="Segoe UI"/>
          <w:sz w:val="24"/>
          <w:szCs w:val="26"/>
        </w:rPr>
        <w:t>6</w:t>
      </w:r>
      <w:r w:rsidR="00003AA3">
        <w:rPr>
          <w:rFonts w:ascii="Segoe UI" w:hAnsi="Segoe UI" w:cs="Segoe UI"/>
          <w:sz w:val="24"/>
          <w:szCs w:val="26"/>
        </w:rPr>
        <w:t xml:space="preserve">  </w:t>
      </w:r>
      <w:r w:rsidR="00064A04" w:rsidRPr="00215B3D">
        <w:rPr>
          <w:rFonts w:ascii="Segoe UI" w:hAnsi="Segoe UI" w:cs="Segoe UI"/>
          <w:sz w:val="24"/>
          <w:szCs w:val="26"/>
        </w:rPr>
        <w:t>montre</w:t>
      </w:r>
      <w:r w:rsidR="00B070CE">
        <w:rPr>
          <w:rFonts w:ascii="Segoe UI" w:hAnsi="Segoe UI" w:cs="Segoe UI"/>
          <w:sz w:val="24"/>
          <w:szCs w:val="26"/>
        </w:rPr>
        <w:t>nt</w:t>
      </w:r>
      <w:r w:rsidR="00F75A4E" w:rsidRPr="00215B3D">
        <w:rPr>
          <w:rFonts w:ascii="Segoe UI" w:hAnsi="Segoe UI" w:cs="Segoe UI"/>
          <w:sz w:val="24"/>
          <w:szCs w:val="26"/>
        </w:rPr>
        <w:t xml:space="preserve"> </w:t>
      </w:r>
      <w:r w:rsidR="00B070CE">
        <w:rPr>
          <w:rFonts w:ascii="Segoe UI" w:hAnsi="Segoe UI" w:cs="Segoe UI"/>
          <w:sz w:val="24"/>
          <w:szCs w:val="26"/>
        </w:rPr>
        <w:t xml:space="preserve">cette année, </w:t>
      </w:r>
      <w:r w:rsidR="00645353" w:rsidRPr="00215B3D">
        <w:rPr>
          <w:rFonts w:ascii="Segoe UI" w:hAnsi="Segoe UI" w:cs="Segoe UI"/>
          <w:sz w:val="24"/>
          <w:szCs w:val="26"/>
        </w:rPr>
        <w:t>un</w:t>
      </w:r>
      <w:r w:rsidR="00064A04" w:rsidRPr="00215B3D">
        <w:rPr>
          <w:rFonts w:ascii="Segoe UI" w:hAnsi="Segoe UI" w:cs="Segoe UI"/>
          <w:sz w:val="24"/>
          <w:szCs w:val="26"/>
        </w:rPr>
        <w:t>e</w:t>
      </w:r>
      <w:r w:rsidR="00F75A4E" w:rsidRPr="00215B3D">
        <w:rPr>
          <w:rFonts w:ascii="Segoe UI" w:hAnsi="Segoe UI" w:cs="Segoe UI"/>
          <w:sz w:val="24"/>
          <w:szCs w:val="26"/>
        </w:rPr>
        <w:t xml:space="preserve"> </w:t>
      </w:r>
      <w:r w:rsidR="004B7C25" w:rsidRPr="00215B3D">
        <w:rPr>
          <w:rFonts w:ascii="Segoe UI" w:hAnsi="Segoe UI" w:cs="Segoe UI"/>
          <w:sz w:val="24"/>
          <w:szCs w:val="26"/>
        </w:rPr>
        <w:t xml:space="preserve">accélération de la consommation des crédits </w:t>
      </w:r>
      <w:r w:rsidR="002B4FDA" w:rsidRPr="00215B3D">
        <w:rPr>
          <w:rFonts w:ascii="Segoe UI" w:hAnsi="Segoe UI" w:cs="Segoe UI"/>
          <w:sz w:val="24"/>
          <w:szCs w:val="26"/>
        </w:rPr>
        <w:t>alloués</w:t>
      </w:r>
      <w:r w:rsidR="002224FC" w:rsidRPr="00215B3D">
        <w:rPr>
          <w:rFonts w:ascii="Segoe UI" w:hAnsi="Segoe UI" w:cs="Segoe UI"/>
          <w:sz w:val="24"/>
          <w:szCs w:val="26"/>
        </w:rPr>
        <w:t xml:space="preserve"> aux investissements financés sur ressources intérieures</w:t>
      </w:r>
      <w:r w:rsidR="002B4FDA" w:rsidRPr="00215B3D">
        <w:rPr>
          <w:rFonts w:ascii="Segoe UI" w:hAnsi="Segoe UI" w:cs="Segoe UI"/>
          <w:sz w:val="24"/>
          <w:szCs w:val="26"/>
        </w:rPr>
        <w:t>.</w:t>
      </w:r>
      <w:r w:rsidR="004B7C25" w:rsidRPr="00215B3D">
        <w:rPr>
          <w:rFonts w:ascii="Segoe UI" w:hAnsi="Segoe UI" w:cs="Segoe UI"/>
          <w:sz w:val="24"/>
          <w:szCs w:val="26"/>
        </w:rPr>
        <w:t xml:space="preserve"> </w:t>
      </w:r>
    </w:p>
    <w:p w:rsidR="00CC456A" w:rsidRPr="00215B3D" w:rsidRDefault="00B070CE" w:rsidP="00403C9D">
      <w:pPr>
        <w:tabs>
          <w:tab w:val="left" w:pos="426"/>
        </w:tabs>
        <w:spacing w:after="120" w:line="360" w:lineRule="auto"/>
        <w:jc w:val="both"/>
        <w:rPr>
          <w:rFonts w:ascii="Segoe UI" w:hAnsi="Segoe UI" w:cs="Segoe UI"/>
          <w:b/>
          <w:i/>
          <w:sz w:val="24"/>
          <w:szCs w:val="26"/>
        </w:rPr>
      </w:pPr>
      <w:r>
        <w:rPr>
          <w:rFonts w:ascii="Segoe UI" w:hAnsi="Segoe UI" w:cs="Segoe UI"/>
          <w:b/>
          <w:i/>
          <w:sz w:val="24"/>
          <w:szCs w:val="26"/>
        </w:rPr>
        <w:t>En somme</w:t>
      </w:r>
      <w:r w:rsidR="002B4FDA" w:rsidRPr="00215B3D">
        <w:rPr>
          <w:rFonts w:ascii="Segoe UI" w:hAnsi="Segoe UI" w:cs="Segoe UI"/>
          <w:b/>
          <w:i/>
          <w:sz w:val="24"/>
          <w:szCs w:val="26"/>
        </w:rPr>
        <w:t xml:space="preserve">, l’exécution des dépenses en capital au 30 juin 2017 montre </w:t>
      </w:r>
      <w:r>
        <w:rPr>
          <w:rFonts w:ascii="Segoe UI" w:hAnsi="Segoe UI" w:cs="Segoe UI"/>
          <w:b/>
          <w:i/>
          <w:sz w:val="24"/>
          <w:szCs w:val="26"/>
        </w:rPr>
        <w:t xml:space="preserve">l’existence d’un nouveau dynamisme à travers le rythme de consommation des crédits. Ainsi : </w:t>
      </w:r>
      <w:r w:rsidR="002B4FDA" w:rsidRPr="00215B3D">
        <w:rPr>
          <w:rFonts w:ascii="Segoe UI" w:hAnsi="Segoe UI" w:cs="Segoe UI"/>
          <w:b/>
          <w:i/>
          <w:sz w:val="24"/>
          <w:szCs w:val="26"/>
        </w:rPr>
        <w:t xml:space="preserve">(i) </w:t>
      </w:r>
      <w:r w:rsidR="00B74C93" w:rsidRPr="00215B3D">
        <w:rPr>
          <w:rFonts w:ascii="Segoe UI" w:hAnsi="Segoe UI" w:cs="Segoe UI"/>
          <w:b/>
          <w:i/>
          <w:sz w:val="24"/>
          <w:szCs w:val="26"/>
        </w:rPr>
        <w:t xml:space="preserve">les dépenses </w:t>
      </w:r>
      <w:r w:rsidR="00B565FF" w:rsidRPr="00215B3D">
        <w:rPr>
          <w:rFonts w:ascii="Segoe UI" w:hAnsi="Segoe UI" w:cs="Segoe UI"/>
          <w:b/>
          <w:i/>
          <w:sz w:val="24"/>
          <w:szCs w:val="26"/>
        </w:rPr>
        <w:t>en capital financées sur ressources intérieures</w:t>
      </w:r>
      <w:r w:rsidR="00827FCF" w:rsidRPr="00215B3D">
        <w:rPr>
          <w:rFonts w:ascii="Segoe UI" w:hAnsi="Segoe UI" w:cs="Segoe UI"/>
          <w:b/>
          <w:i/>
          <w:sz w:val="24"/>
          <w:szCs w:val="26"/>
        </w:rPr>
        <w:t xml:space="preserve"> s</w:t>
      </w:r>
      <w:r w:rsidR="00064A04" w:rsidRPr="00215B3D">
        <w:rPr>
          <w:rFonts w:ascii="Segoe UI" w:hAnsi="Segoe UI" w:cs="Segoe UI"/>
          <w:b/>
          <w:i/>
          <w:sz w:val="24"/>
          <w:szCs w:val="26"/>
        </w:rPr>
        <w:t xml:space="preserve">ont </w:t>
      </w:r>
      <w:r w:rsidR="00893CD6" w:rsidRPr="00215B3D">
        <w:rPr>
          <w:rFonts w:ascii="Segoe UI" w:hAnsi="Segoe UI" w:cs="Segoe UI"/>
          <w:b/>
          <w:i/>
          <w:sz w:val="24"/>
          <w:szCs w:val="26"/>
        </w:rPr>
        <w:t xml:space="preserve">engagées à </w:t>
      </w:r>
      <w:r w:rsidR="00CC456A" w:rsidRPr="00215B3D">
        <w:rPr>
          <w:rFonts w:ascii="Segoe UI" w:hAnsi="Segoe UI" w:cs="Segoe UI"/>
          <w:b/>
          <w:i/>
          <w:sz w:val="24"/>
          <w:szCs w:val="26"/>
        </w:rPr>
        <w:t xml:space="preserve">hauteur de </w:t>
      </w:r>
      <w:r w:rsidR="00726BE0" w:rsidRPr="00215B3D">
        <w:rPr>
          <w:rFonts w:ascii="Segoe UI" w:hAnsi="Segoe UI" w:cs="Segoe UI"/>
          <w:b/>
          <w:i/>
          <w:sz w:val="24"/>
          <w:szCs w:val="26"/>
        </w:rPr>
        <w:t>161 399,8</w:t>
      </w:r>
      <w:r w:rsidR="00B043B9" w:rsidRPr="00215B3D">
        <w:rPr>
          <w:rFonts w:ascii="Segoe UI" w:hAnsi="Segoe UI" w:cs="Segoe UI"/>
          <w:b/>
          <w:i/>
          <w:sz w:val="24"/>
          <w:szCs w:val="26"/>
        </w:rPr>
        <w:t xml:space="preserve"> millions de FCFA</w:t>
      </w:r>
      <w:r w:rsidR="002B4FDA" w:rsidRPr="00215B3D">
        <w:rPr>
          <w:rFonts w:ascii="Segoe UI" w:hAnsi="Segoe UI" w:cs="Segoe UI"/>
          <w:b/>
          <w:i/>
          <w:sz w:val="24"/>
          <w:szCs w:val="26"/>
        </w:rPr>
        <w:t xml:space="preserve"> (</w:t>
      </w:r>
      <w:r w:rsidR="00144BE5" w:rsidRPr="00215B3D">
        <w:rPr>
          <w:rFonts w:ascii="Segoe UI" w:hAnsi="Segoe UI" w:cs="Segoe UI"/>
          <w:b/>
          <w:i/>
          <w:sz w:val="24"/>
          <w:szCs w:val="26"/>
        </w:rPr>
        <w:t>dont</w:t>
      </w:r>
      <w:r w:rsidR="002B4FDA" w:rsidRPr="00215B3D">
        <w:rPr>
          <w:rFonts w:ascii="Segoe UI" w:hAnsi="Segoe UI" w:cs="Segoe UI"/>
          <w:b/>
          <w:i/>
          <w:sz w:val="24"/>
          <w:szCs w:val="26"/>
        </w:rPr>
        <w:t xml:space="preserve"> 64 495 millions de FCFA de</w:t>
      </w:r>
      <w:r w:rsidR="00144BE5" w:rsidRPr="00215B3D">
        <w:rPr>
          <w:rFonts w:ascii="Segoe UI" w:hAnsi="Segoe UI" w:cs="Segoe UI"/>
          <w:b/>
          <w:i/>
          <w:sz w:val="24"/>
          <w:szCs w:val="26"/>
        </w:rPr>
        <w:t xml:space="preserve"> </w:t>
      </w:r>
      <w:r w:rsidR="002B4FDA" w:rsidRPr="00215B3D">
        <w:rPr>
          <w:rFonts w:ascii="Segoe UI" w:hAnsi="Segoe UI" w:cs="Segoe UI"/>
          <w:b/>
          <w:i/>
          <w:sz w:val="24"/>
          <w:szCs w:val="26"/>
        </w:rPr>
        <w:t>financement direct</w:t>
      </w:r>
      <w:r w:rsidR="002224FC" w:rsidRPr="00215B3D">
        <w:rPr>
          <w:rFonts w:ascii="Segoe UI" w:hAnsi="Segoe UI" w:cs="Segoe UI"/>
          <w:b/>
          <w:i/>
          <w:sz w:val="24"/>
          <w:szCs w:val="26"/>
        </w:rPr>
        <w:t xml:space="preserve"> sur des ressources levées auprès des banques locales</w:t>
      </w:r>
      <w:r w:rsidR="002B4FDA" w:rsidRPr="00215B3D">
        <w:rPr>
          <w:rFonts w:ascii="Segoe UI" w:hAnsi="Segoe UI" w:cs="Segoe UI"/>
          <w:b/>
          <w:i/>
          <w:sz w:val="24"/>
          <w:szCs w:val="26"/>
        </w:rPr>
        <w:t xml:space="preserve">) et </w:t>
      </w:r>
      <w:r w:rsidR="00000FC2" w:rsidRPr="00215B3D">
        <w:rPr>
          <w:rFonts w:ascii="Segoe UI" w:hAnsi="Segoe UI" w:cs="Segoe UI"/>
          <w:b/>
          <w:i/>
          <w:sz w:val="24"/>
          <w:szCs w:val="26"/>
        </w:rPr>
        <w:t xml:space="preserve">(ii) </w:t>
      </w:r>
      <w:r w:rsidR="002224FC" w:rsidRPr="00215B3D">
        <w:rPr>
          <w:rFonts w:ascii="Segoe UI" w:hAnsi="Segoe UI" w:cs="Segoe UI"/>
          <w:b/>
          <w:i/>
          <w:sz w:val="24"/>
          <w:szCs w:val="26"/>
        </w:rPr>
        <w:t xml:space="preserve">les </w:t>
      </w:r>
      <w:r w:rsidR="00CC456A" w:rsidRPr="00215B3D">
        <w:rPr>
          <w:rFonts w:ascii="Segoe UI" w:hAnsi="Segoe UI" w:cs="Segoe UI"/>
          <w:b/>
          <w:i/>
          <w:sz w:val="24"/>
          <w:szCs w:val="26"/>
        </w:rPr>
        <w:t>dépenses en capital exécutées</w:t>
      </w:r>
      <w:r w:rsidR="00B565FF" w:rsidRPr="00215B3D">
        <w:rPr>
          <w:rFonts w:ascii="Segoe UI" w:hAnsi="Segoe UI" w:cs="Segoe UI"/>
          <w:b/>
          <w:i/>
          <w:sz w:val="24"/>
          <w:szCs w:val="26"/>
        </w:rPr>
        <w:t xml:space="preserve"> sur ressources extérieures</w:t>
      </w:r>
      <w:r w:rsidR="00CC456A" w:rsidRPr="00215B3D">
        <w:rPr>
          <w:rFonts w:ascii="Segoe UI" w:hAnsi="Segoe UI" w:cs="Segoe UI"/>
          <w:b/>
          <w:i/>
          <w:sz w:val="24"/>
          <w:szCs w:val="26"/>
        </w:rPr>
        <w:t xml:space="preserve"> (au moyen de prêts et de dons) sont</w:t>
      </w:r>
      <w:r w:rsidR="00F75A4E" w:rsidRPr="00215B3D">
        <w:rPr>
          <w:rFonts w:ascii="Segoe UI" w:hAnsi="Segoe UI" w:cs="Segoe UI"/>
          <w:b/>
          <w:i/>
          <w:sz w:val="24"/>
          <w:szCs w:val="26"/>
        </w:rPr>
        <w:t xml:space="preserve"> </w:t>
      </w:r>
      <w:r w:rsidR="00F650CE" w:rsidRPr="00215B3D">
        <w:rPr>
          <w:rFonts w:ascii="Segoe UI" w:hAnsi="Segoe UI" w:cs="Segoe UI"/>
          <w:b/>
          <w:i/>
          <w:sz w:val="24"/>
          <w:szCs w:val="26"/>
        </w:rPr>
        <w:t xml:space="preserve">engagées </w:t>
      </w:r>
      <w:r w:rsidR="00064A04" w:rsidRPr="00215B3D">
        <w:rPr>
          <w:rFonts w:ascii="Segoe UI" w:hAnsi="Segoe UI" w:cs="Segoe UI"/>
          <w:b/>
          <w:i/>
          <w:sz w:val="24"/>
          <w:szCs w:val="26"/>
        </w:rPr>
        <w:t>à hauteur</w:t>
      </w:r>
      <w:r w:rsidR="00F650CE" w:rsidRPr="00215B3D">
        <w:rPr>
          <w:rFonts w:ascii="Segoe UI" w:hAnsi="Segoe UI" w:cs="Segoe UI"/>
          <w:b/>
          <w:i/>
          <w:sz w:val="24"/>
          <w:szCs w:val="26"/>
        </w:rPr>
        <w:t xml:space="preserve"> </w:t>
      </w:r>
      <w:r>
        <w:rPr>
          <w:rFonts w:ascii="Segoe UI" w:hAnsi="Segoe UI" w:cs="Segoe UI"/>
          <w:b/>
          <w:i/>
          <w:sz w:val="24"/>
          <w:szCs w:val="26"/>
        </w:rPr>
        <w:t xml:space="preserve">de </w:t>
      </w:r>
      <w:r w:rsidR="00CC456A" w:rsidRPr="00215B3D">
        <w:rPr>
          <w:rFonts w:ascii="Segoe UI" w:hAnsi="Segoe UI" w:cs="Segoe UI"/>
          <w:b/>
          <w:i/>
          <w:sz w:val="24"/>
          <w:szCs w:val="26"/>
        </w:rPr>
        <w:t xml:space="preserve">60 353,9 millions de FCFA (39 766,3 millions de FCFA pour les prêts, correspondant à un taux de 23% sur une prévision de 172 700 millions de FCFA et 20 587,6 millions de FCFA pour les dons, </w:t>
      </w:r>
      <w:r>
        <w:rPr>
          <w:rFonts w:ascii="Segoe UI" w:hAnsi="Segoe UI" w:cs="Segoe UI"/>
          <w:b/>
          <w:i/>
          <w:sz w:val="24"/>
          <w:szCs w:val="26"/>
        </w:rPr>
        <w:t>soit</w:t>
      </w:r>
      <w:r w:rsidR="00CC456A" w:rsidRPr="00215B3D">
        <w:rPr>
          <w:rFonts w:ascii="Segoe UI" w:hAnsi="Segoe UI" w:cs="Segoe UI"/>
          <w:b/>
          <w:i/>
          <w:sz w:val="24"/>
          <w:szCs w:val="26"/>
        </w:rPr>
        <w:t xml:space="preserve"> un taux de 34,1% sur une prévision de 60 300 millions de FCFA). </w:t>
      </w:r>
    </w:p>
    <w:p w:rsidR="006B36EE" w:rsidRPr="007E3BE0" w:rsidRDefault="008F1DE6" w:rsidP="007E3BE0">
      <w:pPr>
        <w:tabs>
          <w:tab w:val="left" w:pos="426"/>
        </w:tabs>
        <w:spacing w:after="0" w:line="360" w:lineRule="auto"/>
        <w:jc w:val="both"/>
        <w:rPr>
          <w:rFonts w:ascii="Segoe UI" w:hAnsi="Segoe UI" w:cs="Segoe UI"/>
          <w:sz w:val="24"/>
          <w:szCs w:val="26"/>
        </w:rPr>
      </w:pPr>
      <w:r w:rsidRPr="00215B3D">
        <w:rPr>
          <w:rFonts w:ascii="Segoe UI" w:hAnsi="Segoe UI" w:cs="Segoe UI"/>
          <w:sz w:val="24"/>
          <w:szCs w:val="26"/>
        </w:rPr>
        <w:lastRenderedPageBreak/>
        <w:t>L</w:t>
      </w:r>
      <w:r w:rsidR="008A3C84" w:rsidRPr="00215B3D">
        <w:rPr>
          <w:rFonts w:ascii="Segoe UI" w:hAnsi="Segoe UI" w:cs="Segoe UI"/>
          <w:sz w:val="24"/>
          <w:szCs w:val="26"/>
        </w:rPr>
        <w:t>’</w:t>
      </w:r>
      <w:r w:rsidRPr="00215B3D">
        <w:rPr>
          <w:rFonts w:ascii="Segoe UI" w:hAnsi="Segoe UI" w:cs="Segoe UI"/>
          <w:sz w:val="24"/>
          <w:szCs w:val="26"/>
        </w:rPr>
        <w:t>e</w:t>
      </w:r>
      <w:r w:rsidR="008A3C84" w:rsidRPr="00215B3D">
        <w:rPr>
          <w:rFonts w:ascii="Segoe UI" w:hAnsi="Segoe UI" w:cs="Segoe UI"/>
          <w:sz w:val="24"/>
          <w:szCs w:val="26"/>
        </w:rPr>
        <w:t xml:space="preserve">xécution </w:t>
      </w:r>
      <w:r w:rsidRPr="00215B3D">
        <w:rPr>
          <w:rFonts w:ascii="Segoe UI" w:hAnsi="Segoe UI" w:cs="Segoe UI"/>
          <w:sz w:val="24"/>
          <w:szCs w:val="26"/>
        </w:rPr>
        <w:t xml:space="preserve">des dépenses en capital </w:t>
      </w:r>
      <w:r w:rsidR="009A6721" w:rsidRPr="00215B3D">
        <w:rPr>
          <w:rFonts w:ascii="Segoe UI" w:hAnsi="Segoe UI" w:cs="Segoe UI"/>
          <w:sz w:val="24"/>
          <w:szCs w:val="26"/>
        </w:rPr>
        <w:t xml:space="preserve">à fin </w:t>
      </w:r>
      <w:r w:rsidR="00824DC7" w:rsidRPr="00215B3D">
        <w:rPr>
          <w:rFonts w:ascii="Segoe UI" w:hAnsi="Segoe UI" w:cs="Segoe UI"/>
          <w:sz w:val="24"/>
          <w:szCs w:val="26"/>
        </w:rPr>
        <w:t>juin</w:t>
      </w:r>
      <w:r w:rsidRPr="00215B3D">
        <w:rPr>
          <w:rFonts w:ascii="Segoe UI" w:hAnsi="Segoe UI" w:cs="Segoe UI"/>
          <w:sz w:val="24"/>
          <w:szCs w:val="26"/>
        </w:rPr>
        <w:t xml:space="preserve"> 201</w:t>
      </w:r>
      <w:r w:rsidR="00824DC7" w:rsidRPr="00215B3D">
        <w:rPr>
          <w:rFonts w:ascii="Segoe UI" w:hAnsi="Segoe UI" w:cs="Segoe UI"/>
          <w:sz w:val="24"/>
          <w:szCs w:val="26"/>
        </w:rPr>
        <w:t>6</w:t>
      </w:r>
      <w:r w:rsidRPr="00215B3D">
        <w:rPr>
          <w:rFonts w:ascii="Segoe UI" w:hAnsi="Segoe UI" w:cs="Segoe UI"/>
          <w:sz w:val="24"/>
          <w:szCs w:val="26"/>
        </w:rPr>
        <w:t xml:space="preserve"> et 201</w:t>
      </w:r>
      <w:r w:rsidR="00824DC7" w:rsidRPr="00215B3D">
        <w:rPr>
          <w:rFonts w:ascii="Segoe UI" w:hAnsi="Segoe UI" w:cs="Segoe UI"/>
          <w:sz w:val="24"/>
          <w:szCs w:val="26"/>
        </w:rPr>
        <w:t>7</w:t>
      </w:r>
      <w:r w:rsidRPr="00215B3D">
        <w:rPr>
          <w:rFonts w:ascii="Segoe UI" w:hAnsi="Segoe UI" w:cs="Segoe UI"/>
          <w:sz w:val="24"/>
          <w:szCs w:val="26"/>
        </w:rPr>
        <w:t xml:space="preserve"> est retracé</w:t>
      </w:r>
      <w:r w:rsidR="008A3C84" w:rsidRPr="00215B3D">
        <w:rPr>
          <w:rFonts w:ascii="Segoe UI" w:hAnsi="Segoe UI" w:cs="Segoe UI"/>
          <w:sz w:val="24"/>
          <w:szCs w:val="26"/>
        </w:rPr>
        <w:t>e</w:t>
      </w:r>
      <w:r w:rsidRPr="00215B3D">
        <w:rPr>
          <w:rFonts w:ascii="Segoe UI" w:hAnsi="Segoe UI" w:cs="Segoe UI"/>
          <w:sz w:val="24"/>
          <w:szCs w:val="26"/>
        </w:rPr>
        <w:t xml:space="preserve"> dans le tableau</w:t>
      </w:r>
      <w:r w:rsidR="00001D16" w:rsidRPr="00215B3D">
        <w:rPr>
          <w:rFonts w:ascii="Segoe UI" w:hAnsi="Segoe UI" w:cs="Segoe UI"/>
          <w:sz w:val="24"/>
          <w:szCs w:val="26"/>
        </w:rPr>
        <w:t xml:space="preserve"> n° </w:t>
      </w:r>
      <w:r w:rsidR="007E3BE0">
        <w:rPr>
          <w:rFonts w:ascii="Segoe UI" w:hAnsi="Segoe UI" w:cs="Segoe UI"/>
          <w:sz w:val="24"/>
          <w:szCs w:val="26"/>
        </w:rPr>
        <w:t>8</w:t>
      </w:r>
      <w:r w:rsidRPr="00215B3D">
        <w:rPr>
          <w:rFonts w:ascii="Segoe UI" w:hAnsi="Segoe UI" w:cs="Segoe UI"/>
          <w:sz w:val="24"/>
          <w:szCs w:val="26"/>
        </w:rPr>
        <w:t xml:space="preserve"> ci-après :</w:t>
      </w:r>
    </w:p>
    <w:p w:rsidR="00B62A90" w:rsidRPr="00215B3D" w:rsidRDefault="00B62A90" w:rsidP="00F76C3B">
      <w:pPr>
        <w:pStyle w:val="Listedestableaux"/>
        <w:spacing w:line="240" w:lineRule="auto"/>
        <w:rPr>
          <w:rFonts w:ascii="Segoe UI" w:hAnsi="Segoe UI" w:cs="Segoe UI"/>
        </w:rPr>
      </w:pPr>
      <w:bookmarkStart w:id="28" w:name="_Toc495935944"/>
      <w:r w:rsidRPr="00215B3D">
        <w:rPr>
          <w:rFonts w:ascii="Segoe UI" w:hAnsi="Segoe UI" w:cs="Segoe UI"/>
          <w:u w:val="single"/>
        </w:rPr>
        <w:t xml:space="preserve">Tableau </w:t>
      </w:r>
      <w:r w:rsidR="00807BBA">
        <w:rPr>
          <w:rFonts w:ascii="Segoe UI" w:hAnsi="Segoe UI" w:cs="Segoe UI"/>
          <w:u w:val="single"/>
        </w:rPr>
        <w:t>8</w:t>
      </w:r>
      <w:r w:rsidRPr="00215B3D">
        <w:rPr>
          <w:rFonts w:ascii="Segoe UI" w:hAnsi="Segoe UI" w:cs="Segoe UI"/>
        </w:rPr>
        <w:t xml:space="preserve"> : </w:t>
      </w:r>
      <w:r w:rsidR="00B070CE">
        <w:rPr>
          <w:rFonts w:ascii="Segoe UI" w:hAnsi="Segoe UI" w:cs="Segoe UI"/>
        </w:rPr>
        <w:t>Situation</w:t>
      </w:r>
      <w:r w:rsidRPr="00215B3D">
        <w:rPr>
          <w:rFonts w:ascii="Segoe UI" w:hAnsi="Segoe UI" w:cs="Segoe UI"/>
        </w:rPr>
        <w:t xml:space="preserve"> </w:t>
      </w:r>
      <w:r w:rsidR="00B070CE">
        <w:rPr>
          <w:rFonts w:ascii="Segoe UI" w:hAnsi="Segoe UI" w:cs="Segoe UI"/>
        </w:rPr>
        <w:t>d’</w:t>
      </w:r>
      <w:r w:rsidRPr="00215B3D">
        <w:rPr>
          <w:rFonts w:ascii="Segoe UI" w:hAnsi="Segoe UI" w:cs="Segoe UI"/>
        </w:rPr>
        <w:t xml:space="preserve">engagements </w:t>
      </w:r>
      <w:r w:rsidR="00412526" w:rsidRPr="00215B3D">
        <w:rPr>
          <w:rFonts w:ascii="Segoe UI" w:hAnsi="Segoe UI" w:cs="Segoe UI"/>
        </w:rPr>
        <w:t xml:space="preserve">des dépenses en capital </w:t>
      </w:r>
      <w:r w:rsidR="000C5E78" w:rsidRPr="00215B3D">
        <w:rPr>
          <w:rFonts w:ascii="Segoe UI" w:hAnsi="Segoe UI" w:cs="Segoe UI"/>
        </w:rPr>
        <w:t xml:space="preserve">à fin </w:t>
      </w:r>
      <w:r w:rsidR="00764B61" w:rsidRPr="00215B3D">
        <w:rPr>
          <w:rFonts w:ascii="Segoe UI" w:hAnsi="Segoe UI" w:cs="Segoe UI"/>
        </w:rPr>
        <w:t>juin</w:t>
      </w:r>
      <w:r w:rsidR="0091229E" w:rsidRPr="00215B3D">
        <w:rPr>
          <w:rFonts w:ascii="Segoe UI" w:hAnsi="Segoe UI" w:cs="Segoe UI"/>
        </w:rPr>
        <w:t xml:space="preserve"> 2016</w:t>
      </w:r>
      <w:r w:rsidRPr="00215B3D">
        <w:rPr>
          <w:rFonts w:ascii="Segoe UI" w:hAnsi="Segoe UI" w:cs="Segoe UI"/>
        </w:rPr>
        <w:t xml:space="preserve"> et 201</w:t>
      </w:r>
      <w:r w:rsidR="0091229E" w:rsidRPr="00215B3D">
        <w:rPr>
          <w:rFonts w:ascii="Segoe UI" w:hAnsi="Segoe UI" w:cs="Segoe UI"/>
        </w:rPr>
        <w:t>7</w:t>
      </w:r>
      <w:bookmarkEnd w:id="28"/>
    </w:p>
    <w:tbl>
      <w:tblPr>
        <w:tblW w:w="9923" w:type="dxa"/>
        <w:tblInd w:w="-52" w:type="dxa"/>
        <w:tblLayout w:type="fixed"/>
        <w:tblCellMar>
          <w:left w:w="70" w:type="dxa"/>
          <w:right w:w="70" w:type="dxa"/>
        </w:tblCellMar>
        <w:tblLook w:val="04A0" w:firstRow="1" w:lastRow="0" w:firstColumn="1" w:lastColumn="0" w:noHBand="0" w:noVBand="1"/>
      </w:tblPr>
      <w:tblGrid>
        <w:gridCol w:w="1843"/>
        <w:gridCol w:w="1119"/>
        <w:gridCol w:w="1118"/>
        <w:gridCol w:w="784"/>
        <w:gridCol w:w="1134"/>
        <w:gridCol w:w="1010"/>
        <w:gridCol w:w="789"/>
        <w:gridCol w:w="992"/>
        <w:gridCol w:w="215"/>
        <w:gridCol w:w="919"/>
      </w:tblGrid>
      <w:tr w:rsidR="00FC0B58" w:rsidRPr="00215B3D" w:rsidTr="006B774E">
        <w:trPr>
          <w:trHeight w:val="315"/>
        </w:trPr>
        <w:tc>
          <w:tcPr>
            <w:tcW w:w="1843" w:type="dxa"/>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c>
          <w:tcPr>
            <w:tcW w:w="1119" w:type="dxa"/>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c>
          <w:tcPr>
            <w:tcW w:w="1118" w:type="dxa"/>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c>
          <w:tcPr>
            <w:tcW w:w="784" w:type="dxa"/>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c>
          <w:tcPr>
            <w:tcW w:w="2933" w:type="dxa"/>
            <w:gridSpan w:val="3"/>
            <w:tcBorders>
              <w:top w:val="nil"/>
              <w:left w:val="nil"/>
              <w:bottom w:val="nil"/>
              <w:right w:val="nil"/>
            </w:tcBorders>
            <w:noWrap/>
            <w:vAlign w:val="bottom"/>
            <w:hideMark/>
          </w:tcPr>
          <w:p w:rsidR="00FC0B58" w:rsidRPr="00215B3D" w:rsidRDefault="006B36EE" w:rsidP="00932CEE">
            <w:pPr>
              <w:spacing w:after="0" w:line="240" w:lineRule="auto"/>
              <w:rPr>
                <w:rFonts w:ascii="Segoe UI" w:hAnsi="Segoe UI" w:cs="Segoe UI"/>
                <w:sz w:val="20"/>
                <w:szCs w:val="20"/>
              </w:rPr>
            </w:pPr>
            <w:r>
              <w:rPr>
                <w:rFonts w:ascii="Segoe UI" w:hAnsi="Segoe UI" w:cs="Segoe UI"/>
                <w:sz w:val="20"/>
                <w:szCs w:val="20"/>
              </w:rPr>
              <w:t xml:space="preserve">     </w:t>
            </w:r>
            <w:r w:rsidR="00FC0B58" w:rsidRPr="00215B3D">
              <w:rPr>
                <w:rFonts w:ascii="Segoe UI" w:hAnsi="Segoe UI" w:cs="Segoe UI"/>
                <w:sz w:val="20"/>
                <w:szCs w:val="20"/>
              </w:rPr>
              <w:t>En milliers de FCFA</w:t>
            </w:r>
          </w:p>
        </w:tc>
        <w:tc>
          <w:tcPr>
            <w:tcW w:w="1207" w:type="dxa"/>
            <w:gridSpan w:val="2"/>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c>
          <w:tcPr>
            <w:tcW w:w="919" w:type="dxa"/>
            <w:tcBorders>
              <w:top w:val="nil"/>
              <w:left w:val="nil"/>
              <w:bottom w:val="nil"/>
              <w:right w:val="nil"/>
            </w:tcBorders>
            <w:noWrap/>
            <w:vAlign w:val="bottom"/>
            <w:hideMark/>
          </w:tcPr>
          <w:p w:rsidR="00FC0B58" w:rsidRPr="00215B3D" w:rsidRDefault="00FC0B58" w:rsidP="00932CEE">
            <w:pPr>
              <w:spacing w:after="0" w:line="240" w:lineRule="auto"/>
              <w:rPr>
                <w:rFonts w:ascii="Segoe UI" w:hAnsi="Segoe UI" w:cs="Segoe UI"/>
                <w:sz w:val="20"/>
                <w:szCs w:val="20"/>
              </w:rPr>
            </w:pPr>
          </w:p>
        </w:tc>
      </w:tr>
      <w:tr w:rsidR="00932CEE" w:rsidRPr="00215B3D" w:rsidTr="006B774E">
        <w:trPr>
          <w:trHeight w:val="315"/>
        </w:trPr>
        <w:tc>
          <w:tcPr>
            <w:tcW w:w="1843" w:type="dxa"/>
            <w:vMerge w:val="restart"/>
            <w:tcBorders>
              <w:top w:val="single" w:sz="8" w:space="0" w:color="auto"/>
              <w:left w:val="single" w:sz="8" w:space="0" w:color="auto"/>
              <w:bottom w:val="nil"/>
              <w:right w:val="nil"/>
            </w:tcBorders>
            <w:vAlign w:val="center"/>
            <w:hideMark/>
          </w:tcPr>
          <w:p w:rsidR="00932CEE" w:rsidRPr="00215B3D" w:rsidRDefault="00B070CE" w:rsidP="00932CEE">
            <w:pPr>
              <w:spacing w:after="0" w:line="240" w:lineRule="auto"/>
              <w:jc w:val="center"/>
              <w:rPr>
                <w:rFonts w:ascii="Segoe UI" w:hAnsi="Segoe UI" w:cs="Segoe UI"/>
                <w:b/>
                <w:bCs/>
              </w:rPr>
            </w:pPr>
            <w:r>
              <w:rPr>
                <w:rFonts w:ascii="Segoe UI" w:hAnsi="Segoe UI" w:cs="Segoe UI"/>
                <w:b/>
                <w:bCs/>
              </w:rPr>
              <w:t>Nature des dépenses</w:t>
            </w:r>
          </w:p>
        </w:tc>
        <w:tc>
          <w:tcPr>
            <w:tcW w:w="3021" w:type="dxa"/>
            <w:gridSpan w:val="3"/>
            <w:tcBorders>
              <w:top w:val="single" w:sz="8" w:space="0" w:color="auto"/>
              <w:left w:val="double" w:sz="6" w:space="0" w:color="auto"/>
              <w:bottom w:val="single" w:sz="4" w:space="0" w:color="auto"/>
              <w:right w:val="double" w:sz="6" w:space="0" w:color="000000"/>
            </w:tcBorders>
            <w:noWrap/>
            <w:vAlign w:val="bottom"/>
            <w:hideMark/>
          </w:tcPr>
          <w:p w:rsidR="00932CEE" w:rsidRPr="00215B3D" w:rsidRDefault="00932CEE" w:rsidP="00C60458">
            <w:pPr>
              <w:spacing w:after="0" w:line="240" w:lineRule="auto"/>
              <w:jc w:val="center"/>
              <w:rPr>
                <w:rFonts w:ascii="Segoe UI" w:hAnsi="Segoe UI" w:cs="Segoe UI"/>
                <w:b/>
                <w:bCs/>
                <w:sz w:val="24"/>
                <w:szCs w:val="24"/>
              </w:rPr>
            </w:pPr>
            <w:r w:rsidRPr="00215B3D">
              <w:rPr>
                <w:rFonts w:ascii="Segoe UI" w:hAnsi="Segoe UI" w:cs="Segoe UI"/>
                <w:b/>
                <w:bCs/>
                <w:sz w:val="24"/>
                <w:szCs w:val="24"/>
              </w:rPr>
              <w:t>201</w:t>
            </w:r>
            <w:r w:rsidR="00AC186D" w:rsidRPr="00215B3D">
              <w:rPr>
                <w:rFonts w:ascii="Segoe UI" w:hAnsi="Segoe UI" w:cs="Segoe UI"/>
                <w:b/>
                <w:bCs/>
                <w:sz w:val="24"/>
                <w:szCs w:val="24"/>
              </w:rPr>
              <w:t>6</w:t>
            </w:r>
          </w:p>
        </w:tc>
        <w:tc>
          <w:tcPr>
            <w:tcW w:w="2933" w:type="dxa"/>
            <w:gridSpan w:val="3"/>
            <w:tcBorders>
              <w:top w:val="single" w:sz="8" w:space="0" w:color="auto"/>
              <w:left w:val="nil"/>
              <w:bottom w:val="single" w:sz="4" w:space="0" w:color="auto"/>
              <w:right w:val="double" w:sz="6" w:space="0" w:color="000000"/>
            </w:tcBorders>
            <w:noWrap/>
            <w:vAlign w:val="bottom"/>
            <w:hideMark/>
          </w:tcPr>
          <w:p w:rsidR="00932CEE" w:rsidRPr="00215B3D" w:rsidRDefault="00932CEE" w:rsidP="004C600E">
            <w:pPr>
              <w:spacing w:after="0" w:line="240" w:lineRule="auto"/>
              <w:jc w:val="center"/>
              <w:rPr>
                <w:rFonts w:ascii="Segoe UI" w:hAnsi="Segoe UI" w:cs="Segoe UI"/>
                <w:b/>
                <w:bCs/>
                <w:sz w:val="24"/>
                <w:szCs w:val="24"/>
              </w:rPr>
            </w:pPr>
            <w:r w:rsidRPr="00215B3D">
              <w:rPr>
                <w:rFonts w:ascii="Segoe UI" w:hAnsi="Segoe UI" w:cs="Segoe UI"/>
                <w:b/>
                <w:bCs/>
                <w:sz w:val="24"/>
                <w:szCs w:val="24"/>
              </w:rPr>
              <w:t>201</w:t>
            </w:r>
            <w:r w:rsidR="004C600E" w:rsidRPr="00215B3D">
              <w:rPr>
                <w:rFonts w:ascii="Segoe UI" w:hAnsi="Segoe UI" w:cs="Segoe UI"/>
                <w:b/>
                <w:bCs/>
                <w:sz w:val="24"/>
                <w:szCs w:val="24"/>
              </w:rPr>
              <w:t>7</w:t>
            </w:r>
          </w:p>
        </w:tc>
        <w:tc>
          <w:tcPr>
            <w:tcW w:w="2126" w:type="dxa"/>
            <w:gridSpan w:val="3"/>
            <w:tcBorders>
              <w:top w:val="single" w:sz="8" w:space="0" w:color="auto"/>
              <w:left w:val="nil"/>
              <w:bottom w:val="single" w:sz="4" w:space="0" w:color="auto"/>
              <w:right w:val="single" w:sz="8" w:space="0" w:color="000000"/>
            </w:tcBorders>
            <w:vAlign w:val="center"/>
            <w:hideMark/>
          </w:tcPr>
          <w:p w:rsidR="00932CEE" w:rsidRPr="00215B3D" w:rsidRDefault="00932CEE" w:rsidP="00932CEE">
            <w:pPr>
              <w:spacing w:after="0" w:line="240" w:lineRule="auto"/>
              <w:jc w:val="center"/>
              <w:rPr>
                <w:rFonts w:ascii="Segoe UI" w:hAnsi="Segoe UI" w:cs="Segoe UI"/>
                <w:b/>
                <w:bCs/>
                <w:sz w:val="24"/>
                <w:szCs w:val="24"/>
              </w:rPr>
            </w:pPr>
            <w:r w:rsidRPr="00215B3D">
              <w:rPr>
                <w:rFonts w:ascii="Segoe UI" w:hAnsi="Segoe UI" w:cs="Segoe UI"/>
                <w:b/>
                <w:bCs/>
                <w:sz w:val="24"/>
                <w:szCs w:val="24"/>
              </w:rPr>
              <w:t>ECARTS</w:t>
            </w:r>
          </w:p>
        </w:tc>
      </w:tr>
      <w:tr w:rsidR="00446522" w:rsidRPr="00215B3D" w:rsidTr="006B774E">
        <w:trPr>
          <w:trHeight w:val="293"/>
        </w:trPr>
        <w:tc>
          <w:tcPr>
            <w:tcW w:w="1843" w:type="dxa"/>
            <w:vMerge/>
            <w:tcBorders>
              <w:top w:val="single" w:sz="8" w:space="0" w:color="auto"/>
              <w:left w:val="single" w:sz="8" w:space="0" w:color="auto"/>
              <w:bottom w:val="nil"/>
              <w:right w:val="nil"/>
            </w:tcBorders>
            <w:vAlign w:val="center"/>
            <w:hideMark/>
          </w:tcPr>
          <w:p w:rsidR="00446522" w:rsidRPr="00215B3D" w:rsidRDefault="00446522" w:rsidP="00446522">
            <w:pPr>
              <w:spacing w:after="0" w:line="240" w:lineRule="auto"/>
              <w:rPr>
                <w:rFonts w:ascii="Segoe UI" w:hAnsi="Segoe UI" w:cs="Segoe UI"/>
                <w:b/>
                <w:bCs/>
              </w:rPr>
            </w:pPr>
          </w:p>
        </w:tc>
        <w:tc>
          <w:tcPr>
            <w:tcW w:w="1119" w:type="dxa"/>
            <w:vMerge w:val="restart"/>
            <w:tcBorders>
              <w:top w:val="nil"/>
              <w:left w:val="double" w:sz="6" w:space="0" w:color="auto"/>
              <w:bottom w:val="single" w:sz="4" w:space="0" w:color="auto"/>
              <w:right w:val="single" w:sz="4"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r w:rsidRPr="00215B3D">
              <w:rPr>
                <w:rFonts w:ascii="Segoe UI" w:hAnsi="Segoe UI" w:cs="Segoe UI"/>
                <w:sz w:val="20"/>
                <w:szCs w:val="20"/>
              </w:rPr>
              <w:t>Prévis</w:t>
            </w:r>
          </w:p>
        </w:tc>
        <w:tc>
          <w:tcPr>
            <w:tcW w:w="1118" w:type="dxa"/>
            <w:vMerge w:val="restart"/>
            <w:tcBorders>
              <w:top w:val="nil"/>
              <w:left w:val="single" w:sz="4" w:space="0" w:color="auto"/>
              <w:bottom w:val="single" w:sz="4" w:space="0" w:color="auto"/>
              <w:right w:val="single" w:sz="4"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proofErr w:type="spellStart"/>
            <w:r w:rsidRPr="00215B3D">
              <w:rPr>
                <w:rFonts w:ascii="Segoe UI" w:hAnsi="Segoe UI" w:cs="Segoe UI"/>
                <w:sz w:val="20"/>
                <w:szCs w:val="20"/>
              </w:rPr>
              <w:t>Engag</w:t>
            </w:r>
            <w:proofErr w:type="spellEnd"/>
            <w:r w:rsidRPr="00215B3D">
              <w:rPr>
                <w:rFonts w:ascii="Segoe UI" w:hAnsi="Segoe UI" w:cs="Segoe UI"/>
                <w:sz w:val="20"/>
                <w:szCs w:val="20"/>
              </w:rPr>
              <w:t>.</w:t>
            </w:r>
          </w:p>
        </w:tc>
        <w:tc>
          <w:tcPr>
            <w:tcW w:w="784" w:type="dxa"/>
            <w:vMerge w:val="restart"/>
            <w:tcBorders>
              <w:top w:val="nil"/>
              <w:left w:val="single" w:sz="4" w:space="0" w:color="auto"/>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r w:rsidRPr="00215B3D">
              <w:rPr>
                <w:rFonts w:ascii="Segoe UI" w:hAnsi="Segoe UI" w:cs="Segoe UI"/>
                <w:sz w:val="20"/>
                <w:szCs w:val="20"/>
              </w:rPr>
              <w:t xml:space="preserve">Taux  </w:t>
            </w:r>
            <w:proofErr w:type="spellStart"/>
            <w:r w:rsidRPr="00215B3D">
              <w:rPr>
                <w:rFonts w:ascii="Segoe UI" w:hAnsi="Segoe UI" w:cs="Segoe UI"/>
                <w:sz w:val="20"/>
                <w:szCs w:val="20"/>
              </w:rPr>
              <w:t>Engag</w:t>
            </w:r>
            <w:proofErr w:type="spellEnd"/>
            <w:r w:rsidRPr="00215B3D">
              <w:rPr>
                <w:rFonts w:ascii="Segoe UI" w:hAnsi="Segoe UI" w:cs="Segoe UI"/>
                <w:sz w:val="20"/>
                <w:szCs w:val="20"/>
              </w:rPr>
              <w:t>.</w:t>
            </w:r>
          </w:p>
        </w:tc>
        <w:tc>
          <w:tcPr>
            <w:tcW w:w="1134" w:type="dxa"/>
            <w:vMerge w:val="restart"/>
            <w:tcBorders>
              <w:top w:val="nil"/>
              <w:left w:val="double" w:sz="6" w:space="0" w:color="auto"/>
              <w:bottom w:val="single" w:sz="4" w:space="0" w:color="auto"/>
              <w:right w:val="single" w:sz="4"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r w:rsidRPr="00215B3D">
              <w:rPr>
                <w:rFonts w:ascii="Segoe UI" w:hAnsi="Segoe UI" w:cs="Segoe UI"/>
                <w:sz w:val="20"/>
                <w:szCs w:val="20"/>
              </w:rPr>
              <w:t>Prévis</w:t>
            </w:r>
          </w:p>
        </w:tc>
        <w:tc>
          <w:tcPr>
            <w:tcW w:w="1010" w:type="dxa"/>
            <w:vMerge w:val="restart"/>
            <w:tcBorders>
              <w:top w:val="nil"/>
              <w:left w:val="single" w:sz="4" w:space="0" w:color="auto"/>
              <w:bottom w:val="single" w:sz="4" w:space="0" w:color="auto"/>
              <w:right w:val="single" w:sz="4"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proofErr w:type="spellStart"/>
            <w:r w:rsidRPr="00215B3D">
              <w:rPr>
                <w:rFonts w:ascii="Segoe UI" w:hAnsi="Segoe UI" w:cs="Segoe UI"/>
                <w:sz w:val="20"/>
                <w:szCs w:val="20"/>
              </w:rPr>
              <w:t>Engag</w:t>
            </w:r>
            <w:proofErr w:type="spellEnd"/>
            <w:r w:rsidRPr="00215B3D">
              <w:rPr>
                <w:rFonts w:ascii="Segoe UI" w:hAnsi="Segoe UI" w:cs="Segoe UI"/>
                <w:sz w:val="20"/>
                <w:szCs w:val="20"/>
              </w:rPr>
              <w:t>.</w:t>
            </w:r>
          </w:p>
        </w:tc>
        <w:tc>
          <w:tcPr>
            <w:tcW w:w="789" w:type="dxa"/>
            <w:vMerge w:val="restart"/>
            <w:tcBorders>
              <w:top w:val="nil"/>
              <w:left w:val="single" w:sz="4" w:space="0" w:color="auto"/>
              <w:bottom w:val="single" w:sz="4" w:space="0" w:color="auto"/>
              <w:right w:val="double" w:sz="6" w:space="0" w:color="auto"/>
            </w:tcBorders>
            <w:vAlign w:val="center"/>
            <w:hideMark/>
          </w:tcPr>
          <w:p w:rsidR="00446522" w:rsidRPr="00215B3D" w:rsidRDefault="006B774E" w:rsidP="006B774E">
            <w:pPr>
              <w:spacing w:after="0" w:line="240" w:lineRule="auto"/>
              <w:jc w:val="center"/>
              <w:rPr>
                <w:rFonts w:ascii="Segoe UI" w:hAnsi="Segoe UI" w:cs="Segoe UI"/>
                <w:sz w:val="20"/>
                <w:szCs w:val="20"/>
              </w:rPr>
            </w:pPr>
            <w:r>
              <w:rPr>
                <w:rFonts w:ascii="Segoe UI" w:hAnsi="Segoe UI" w:cs="Segoe UI"/>
                <w:sz w:val="20"/>
                <w:szCs w:val="20"/>
              </w:rPr>
              <w:t xml:space="preserve">Taux  </w:t>
            </w:r>
            <w:proofErr w:type="spellStart"/>
            <w:r>
              <w:rPr>
                <w:rFonts w:ascii="Segoe UI" w:hAnsi="Segoe UI" w:cs="Segoe UI"/>
                <w:sz w:val="20"/>
                <w:szCs w:val="20"/>
              </w:rPr>
              <w:t>Engag</w:t>
            </w:r>
            <w:proofErr w:type="spellEnd"/>
            <w:r>
              <w:rPr>
                <w:rFonts w:ascii="Segoe UI" w:hAnsi="Segoe UI" w:cs="Segoe UI"/>
                <w:sz w:val="20"/>
                <w:szCs w:val="20"/>
              </w:rPr>
              <w:t>.</w:t>
            </w:r>
          </w:p>
        </w:tc>
        <w:tc>
          <w:tcPr>
            <w:tcW w:w="992" w:type="dxa"/>
            <w:vMerge w:val="restart"/>
            <w:tcBorders>
              <w:top w:val="nil"/>
              <w:left w:val="double" w:sz="6" w:space="0" w:color="auto"/>
              <w:bottom w:val="nil"/>
              <w:right w:val="single" w:sz="4" w:space="0" w:color="auto"/>
            </w:tcBorders>
            <w:vAlign w:val="center"/>
            <w:hideMark/>
          </w:tcPr>
          <w:p w:rsidR="00446522" w:rsidRPr="00215B3D" w:rsidRDefault="00446522" w:rsidP="006B774E">
            <w:pPr>
              <w:spacing w:after="0" w:line="240" w:lineRule="auto"/>
              <w:jc w:val="center"/>
              <w:rPr>
                <w:rFonts w:ascii="Segoe UI" w:hAnsi="Segoe UI" w:cs="Segoe UI"/>
                <w:sz w:val="20"/>
                <w:szCs w:val="20"/>
              </w:rPr>
            </w:pPr>
            <w:r>
              <w:rPr>
                <w:rFonts w:ascii="Segoe UI" w:hAnsi="Segoe UI" w:cs="Segoe UI"/>
                <w:sz w:val="20"/>
                <w:szCs w:val="20"/>
              </w:rPr>
              <w:t>valeur</w:t>
            </w:r>
          </w:p>
        </w:tc>
        <w:tc>
          <w:tcPr>
            <w:tcW w:w="1134" w:type="dxa"/>
            <w:gridSpan w:val="2"/>
            <w:vMerge w:val="restart"/>
            <w:tcBorders>
              <w:top w:val="nil"/>
              <w:left w:val="single" w:sz="4" w:space="0" w:color="auto"/>
              <w:bottom w:val="nil"/>
              <w:right w:val="single" w:sz="8" w:space="0" w:color="auto"/>
            </w:tcBorders>
            <w:vAlign w:val="center"/>
          </w:tcPr>
          <w:p w:rsidR="00446522" w:rsidRPr="00215B3D" w:rsidRDefault="00446522" w:rsidP="006B774E">
            <w:pPr>
              <w:spacing w:after="0" w:line="240" w:lineRule="auto"/>
              <w:jc w:val="center"/>
              <w:rPr>
                <w:rFonts w:ascii="Segoe UI" w:hAnsi="Segoe UI" w:cs="Segoe UI"/>
                <w:sz w:val="20"/>
                <w:szCs w:val="20"/>
              </w:rPr>
            </w:pPr>
            <w:r w:rsidRPr="00215B3D">
              <w:rPr>
                <w:rFonts w:ascii="Segoe UI" w:hAnsi="Segoe UI" w:cs="Segoe UI"/>
                <w:sz w:val="20"/>
                <w:szCs w:val="20"/>
              </w:rPr>
              <w:t xml:space="preserve">Taux </w:t>
            </w:r>
            <w:r>
              <w:rPr>
                <w:rFonts w:ascii="Segoe UI" w:hAnsi="Segoe UI" w:cs="Segoe UI"/>
                <w:sz w:val="20"/>
                <w:szCs w:val="20"/>
              </w:rPr>
              <w:t>d’évolution</w:t>
            </w:r>
          </w:p>
        </w:tc>
      </w:tr>
      <w:tr w:rsidR="00446522" w:rsidRPr="00215B3D" w:rsidTr="006B774E">
        <w:trPr>
          <w:trHeight w:val="293"/>
        </w:trPr>
        <w:tc>
          <w:tcPr>
            <w:tcW w:w="1843" w:type="dxa"/>
            <w:vMerge/>
            <w:tcBorders>
              <w:top w:val="single" w:sz="8" w:space="0" w:color="auto"/>
              <w:left w:val="single" w:sz="8" w:space="0" w:color="auto"/>
              <w:bottom w:val="nil"/>
              <w:right w:val="nil"/>
            </w:tcBorders>
            <w:vAlign w:val="center"/>
            <w:hideMark/>
          </w:tcPr>
          <w:p w:rsidR="00446522" w:rsidRPr="00215B3D" w:rsidRDefault="00446522" w:rsidP="00446522">
            <w:pPr>
              <w:spacing w:after="0" w:line="240" w:lineRule="auto"/>
              <w:rPr>
                <w:rFonts w:ascii="Segoe UI" w:hAnsi="Segoe UI" w:cs="Segoe UI"/>
                <w:b/>
                <w:bCs/>
              </w:rPr>
            </w:pPr>
          </w:p>
        </w:tc>
        <w:tc>
          <w:tcPr>
            <w:tcW w:w="1119" w:type="dxa"/>
            <w:vMerge/>
            <w:tcBorders>
              <w:top w:val="nil"/>
              <w:left w:val="double" w:sz="6"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18" w:type="dxa"/>
            <w:vMerge/>
            <w:tcBorders>
              <w:top w:val="nil"/>
              <w:left w:val="single" w:sz="4"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784" w:type="dxa"/>
            <w:vMerge/>
            <w:tcBorders>
              <w:top w:val="nil"/>
              <w:left w:val="single" w:sz="4" w:space="0" w:color="auto"/>
              <w:bottom w:val="single" w:sz="4" w:space="0" w:color="auto"/>
              <w:right w:val="double" w:sz="6"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34" w:type="dxa"/>
            <w:vMerge/>
            <w:tcBorders>
              <w:top w:val="nil"/>
              <w:left w:val="double" w:sz="6"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010" w:type="dxa"/>
            <w:vMerge/>
            <w:tcBorders>
              <w:top w:val="nil"/>
              <w:left w:val="single" w:sz="4"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789" w:type="dxa"/>
            <w:vMerge/>
            <w:tcBorders>
              <w:top w:val="nil"/>
              <w:left w:val="single" w:sz="4" w:space="0" w:color="auto"/>
              <w:bottom w:val="single" w:sz="4" w:space="0" w:color="auto"/>
              <w:right w:val="double" w:sz="6"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992" w:type="dxa"/>
            <w:vMerge/>
            <w:tcBorders>
              <w:top w:val="nil"/>
              <w:left w:val="double" w:sz="6" w:space="0" w:color="auto"/>
              <w:bottom w:val="nil"/>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34" w:type="dxa"/>
            <w:gridSpan w:val="2"/>
            <w:vMerge/>
            <w:tcBorders>
              <w:top w:val="nil"/>
              <w:left w:val="single" w:sz="4" w:space="0" w:color="auto"/>
              <w:bottom w:val="nil"/>
              <w:right w:val="single" w:sz="8"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r>
      <w:tr w:rsidR="00446522" w:rsidRPr="00215B3D" w:rsidTr="006B774E">
        <w:trPr>
          <w:trHeight w:val="555"/>
        </w:trPr>
        <w:tc>
          <w:tcPr>
            <w:tcW w:w="1843" w:type="dxa"/>
            <w:vMerge/>
            <w:tcBorders>
              <w:top w:val="single" w:sz="8" w:space="0" w:color="auto"/>
              <w:left w:val="single" w:sz="8" w:space="0" w:color="auto"/>
              <w:bottom w:val="single" w:sz="4" w:space="0" w:color="auto"/>
              <w:right w:val="nil"/>
            </w:tcBorders>
            <w:vAlign w:val="center"/>
            <w:hideMark/>
          </w:tcPr>
          <w:p w:rsidR="00446522" w:rsidRPr="00215B3D" w:rsidRDefault="00446522" w:rsidP="00446522">
            <w:pPr>
              <w:spacing w:after="0" w:line="240" w:lineRule="auto"/>
              <w:rPr>
                <w:rFonts w:ascii="Segoe UI" w:hAnsi="Segoe UI" w:cs="Segoe UI"/>
                <w:b/>
                <w:bCs/>
              </w:rPr>
            </w:pPr>
          </w:p>
        </w:tc>
        <w:tc>
          <w:tcPr>
            <w:tcW w:w="1119" w:type="dxa"/>
            <w:vMerge/>
            <w:tcBorders>
              <w:top w:val="nil"/>
              <w:left w:val="double" w:sz="6"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18" w:type="dxa"/>
            <w:vMerge/>
            <w:tcBorders>
              <w:top w:val="nil"/>
              <w:left w:val="single" w:sz="4"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784" w:type="dxa"/>
            <w:vMerge/>
            <w:tcBorders>
              <w:top w:val="nil"/>
              <w:left w:val="single" w:sz="4" w:space="0" w:color="auto"/>
              <w:bottom w:val="single" w:sz="4" w:space="0" w:color="auto"/>
              <w:right w:val="double" w:sz="6"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34" w:type="dxa"/>
            <w:vMerge/>
            <w:tcBorders>
              <w:top w:val="nil"/>
              <w:left w:val="double" w:sz="6"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010" w:type="dxa"/>
            <w:vMerge/>
            <w:tcBorders>
              <w:top w:val="nil"/>
              <w:left w:val="single" w:sz="4"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789" w:type="dxa"/>
            <w:vMerge/>
            <w:tcBorders>
              <w:top w:val="nil"/>
              <w:left w:val="single" w:sz="4" w:space="0" w:color="auto"/>
              <w:bottom w:val="single" w:sz="4" w:space="0" w:color="auto"/>
              <w:right w:val="double" w:sz="6"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992" w:type="dxa"/>
            <w:vMerge/>
            <w:tcBorders>
              <w:top w:val="nil"/>
              <w:left w:val="double" w:sz="6" w:space="0" w:color="auto"/>
              <w:bottom w:val="single" w:sz="4" w:space="0" w:color="auto"/>
              <w:right w:val="single" w:sz="4"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c>
          <w:tcPr>
            <w:tcW w:w="1134" w:type="dxa"/>
            <w:gridSpan w:val="2"/>
            <w:vMerge/>
            <w:tcBorders>
              <w:top w:val="nil"/>
              <w:left w:val="single" w:sz="4" w:space="0" w:color="auto"/>
              <w:bottom w:val="single" w:sz="4" w:space="0" w:color="auto"/>
              <w:right w:val="single" w:sz="8" w:space="0" w:color="auto"/>
            </w:tcBorders>
            <w:vAlign w:val="center"/>
            <w:hideMark/>
          </w:tcPr>
          <w:p w:rsidR="00446522" w:rsidRPr="00215B3D" w:rsidRDefault="00446522" w:rsidP="00446522">
            <w:pPr>
              <w:spacing w:after="0" w:line="240" w:lineRule="auto"/>
              <w:rPr>
                <w:rFonts w:ascii="Segoe UI" w:hAnsi="Segoe UI" w:cs="Segoe UI"/>
                <w:sz w:val="12"/>
                <w:szCs w:val="12"/>
              </w:rPr>
            </w:pPr>
          </w:p>
        </w:tc>
      </w:tr>
      <w:tr w:rsidR="00446522" w:rsidRPr="00215B3D" w:rsidTr="006B774E">
        <w:trPr>
          <w:trHeight w:val="300"/>
        </w:trPr>
        <w:tc>
          <w:tcPr>
            <w:tcW w:w="1843" w:type="dxa"/>
            <w:tcBorders>
              <w:top w:val="single" w:sz="4" w:space="0" w:color="auto"/>
              <w:left w:val="single" w:sz="4" w:space="0" w:color="auto"/>
              <w:bottom w:val="single" w:sz="4" w:space="0" w:color="auto"/>
              <w:right w:val="nil"/>
            </w:tcBorders>
            <w:noWrap/>
            <w:vAlign w:val="bottom"/>
            <w:hideMark/>
          </w:tcPr>
          <w:p w:rsidR="00446522" w:rsidRPr="00215B3D" w:rsidRDefault="00446522" w:rsidP="00045F3F">
            <w:pPr>
              <w:spacing w:after="0" w:line="240" w:lineRule="auto"/>
              <w:jc w:val="center"/>
              <w:rPr>
                <w:rFonts w:ascii="Segoe UI" w:hAnsi="Segoe UI" w:cs="Segoe UI"/>
                <w:b/>
                <w:sz w:val="18"/>
                <w:szCs w:val="18"/>
              </w:rPr>
            </w:pPr>
            <w:r>
              <w:rPr>
                <w:rFonts w:ascii="Segoe UI" w:hAnsi="Segoe UI" w:cs="Segoe UI"/>
                <w:b/>
                <w:sz w:val="18"/>
                <w:szCs w:val="18"/>
              </w:rPr>
              <w:t xml:space="preserve">Dépenses en Capital sur financement </w:t>
            </w:r>
            <w:r w:rsidRPr="00215B3D">
              <w:rPr>
                <w:rFonts w:ascii="Segoe UI" w:hAnsi="Segoe UI" w:cs="Segoe UI"/>
                <w:b/>
                <w:sz w:val="18"/>
                <w:szCs w:val="18"/>
              </w:rPr>
              <w:t>Intérieures</w:t>
            </w:r>
          </w:p>
        </w:tc>
        <w:tc>
          <w:tcPr>
            <w:tcW w:w="1119" w:type="dxa"/>
            <w:tcBorders>
              <w:top w:val="single" w:sz="4" w:space="0" w:color="auto"/>
              <w:left w:val="double" w:sz="6" w:space="0" w:color="auto"/>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138 314</w:t>
            </w:r>
          </w:p>
        </w:tc>
        <w:tc>
          <w:tcPr>
            <w:tcW w:w="1118" w:type="dxa"/>
            <w:tcBorders>
              <w:top w:val="single" w:sz="4" w:space="0" w:color="auto"/>
              <w:left w:val="nil"/>
              <w:bottom w:val="single" w:sz="4" w:space="0" w:color="auto"/>
              <w:right w:val="single" w:sz="4" w:space="0" w:color="auto"/>
            </w:tcBorders>
            <w:noWrap/>
            <w:vAlign w:val="center"/>
            <w:hideMark/>
          </w:tcPr>
          <w:p w:rsidR="00446522" w:rsidRPr="00215B3D" w:rsidRDefault="00FE3542" w:rsidP="006B774E">
            <w:pPr>
              <w:spacing w:after="0" w:line="240" w:lineRule="auto"/>
              <w:jc w:val="center"/>
              <w:rPr>
                <w:rFonts w:ascii="Segoe UI" w:hAnsi="Segoe UI" w:cs="Segoe UI"/>
                <w:b/>
                <w:sz w:val="18"/>
                <w:szCs w:val="18"/>
              </w:rPr>
            </w:pPr>
            <w:r>
              <w:rPr>
                <w:rFonts w:ascii="Segoe UI" w:hAnsi="Segoe UI" w:cs="Segoe UI"/>
                <w:b/>
                <w:sz w:val="18"/>
                <w:szCs w:val="18"/>
              </w:rPr>
              <w:t>101 973,8</w:t>
            </w:r>
          </w:p>
        </w:tc>
        <w:tc>
          <w:tcPr>
            <w:tcW w:w="784" w:type="dxa"/>
            <w:tcBorders>
              <w:top w:val="single" w:sz="4" w:space="0" w:color="auto"/>
              <w:left w:val="nil"/>
              <w:bottom w:val="single" w:sz="4" w:space="0" w:color="auto"/>
              <w:right w:val="double" w:sz="6" w:space="0" w:color="auto"/>
            </w:tcBorders>
            <w:noWrap/>
            <w:vAlign w:val="center"/>
            <w:hideMark/>
          </w:tcPr>
          <w:p w:rsidR="00446522" w:rsidRPr="00215B3D" w:rsidRDefault="00FE3542" w:rsidP="006B774E">
            <w:pPr>
              <w:spacing w:after="0" w:line="240" w:lineRule="auto"/>
              <w:jc w:val="center"/>
              <w:rPr>
                <w:rFonts w:ascii="Segoe UI" w:hAnsi="Segoe UI" w:cs="Segoe UI"/>
                <w:b/>
                <w:sz w:val="18"/>
                <w:szCs w:val="18"/>
              </w:rPr>
            </w:pPr>
            <w:r>
              <w:rPr>
                <w:rFonts w:ascii="Segoe UI" w:hAnsi="Segoe UI" w:cs="Segoe UI"/>
                <w:b/>
                <w:sz w:val="18"/>
                <w:szCs w:val="18"/>
              </w:rPr>
              <w:t>73,7</w:t>
            </w:r>
          </w:p>
        </w:tc>
        <w:tc>
          <w:tcPr>
            <w:tcW w:w="1134" w:type="dxa"/>
            <w:tcBorders>
              <w:top w:val="single" w:sz="4" w:space="0" w:color="auto"/>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575 317,0</w:t>
            </w:r>
          </w:p>
        </w:tc>
        <w:tc>
          <w:tcPr>
            <w:tcW w:w="1010" w:type="dxa"/>
            <w:tcBorders>
              <w:top w:val="single" w:sz="4" w:space="0" w:color="auto"/>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161 399,8</w:t>
            </w:r>
          </w:p>
        </w:tc>
        <w:tc>
          <w:tcPr>
            <w:tcW w:w="789" w:type="dxa"/>
            <w:tcBorders>
              <w:top w:val="single" w:sz="4" w:space="0" w:color="auto"/>
              <w:left w:val="nil"/>
              <w:bottom w:val="single" w:sz="4" w:space="0" w:color="auto"/>
              <w:right w:val="double" w:sz="6"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28,1</w:t>
            </w:r>
          </w:p>
        </w:tc>
        <w:tc>
          <w:tcPr>
            <w:tcW w:w="992" w:type="dxa"/>
            <w:tcBorders>
              <w:top w:val="single" w:sz="4" w:space="0" w:color="auto"/>
              <w:left w:val="nil"/>
              <w:bottom w:val="single" w:sz="4" w:space="0" w:color="auto"/>
              <w:right w:val="single" w:sz="4" w:space="0" w:color="auto"/>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59 426,0</w:t>
            </w:r>
          </w:p>
        </w:tc>
        <w:tc>
          <w:tcPr>
            <w:tcW w:w="1134" w:type="dxa"/>
            <w:gridSpan w:val="2"/>
            <w:tcBorders>
              <w:top w:val="single" w:sz="4" w:space="0" w:color="auto"/>
              <w:left w:val="nil"/>
              <w:bottom w:val="single" w:sz="4" w:space="0" w:color="auto"/>
              <w:right w:val="single" w:sz="8" w:space="0" w:color="auto"/>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58,3</w:t>
            </w:r>
          </w:p>
        </w:tc>
      </w:tr>
      <w:tr w:rsidR="00446522" w:rsidRPr="00215B3D" w:rsidTr="006B774E">
        <w:trPr>
          <w:trHeight w:val="300"/>
        </w:trPr>
        <w:tc>
          <w:tcPr>
            <w:tcW w:w="1843" w:type="dxa"/>
            <w:tcBorders>
              <w:top w:val="nil"/>
              <w:left w:val="single" w:sz="4" w:space="0" w:color="auto"/>
              <w:bottom w:val="single" w:sz="4" w:space="0" w:color="auto"/>
              <w:right w:val="nil"/>
            </w:tcBorders>
            <w:noWrap/>
            <w:vAlign w:val="bottom"/>
            <w:hideMark/>
          </w:tcPr>
          <w:p w:rsidR="00446522" w:rsidRPr="00215B3D" w:rsidRDefault="00446522" w:rsidP="00045F3F">
            <w:pPr>
              <w:spacing w:after="0" w:line="240" w:lineRule="auto"/>
              <w:jc w:val="center"/>
              <w:rPr>
                <w:rFonts w:ascii="Segoe UI" w:hAnsi="Segoe UI" w:cs="Segoe UI"/>
                <w:b/>
                <w:sz w:val="18"/>
                <w:szCs w:val="18"/>
              </w:rPr>
            </w:pPr>
            <w:r>
              <w:rPr>
                <w:rFonts w:ascii="Segoe UI" w:hAnsi="Segoe UI" w:cs="Segoe UI"/>
                <w:b/>
                <w:sz w:val="18"/>
                <w:szCs w:val="18"/>
              </w:rPr>
              <w:t>Dépenses en Capital sur financement extérieur</w:t>
            </w:r>
          </w:p>
        </w:tc>
        <w:tc>
          <w:tcPr>
            <w:tcW w:w="1119" w:type="dxa"/>
            <w:tcBorders>
              <w:top w:val="nil"/>
              <w:left w:val="double" w:sz="6" w:space="0" w:color="auto"/>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142 600</w:t>
            </w:r>
          </w:p>
        </w:tc>
        <w:tc>
          <w:tcPr>
            <w:tcW w:w="1118"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43 683,3</w:t>
            </w:r>
          </w:p>
        </w:tc>
        <w:tc>
          <w:tcPr>
            <w:tcW w:w="784"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30,6</w:t>
            </w:r>
          </w:p>
        </w:tc>
        <w:tc>
          <w:tcPr>
            <w:tcW w:w="1134"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233 000,0</w:t>
            </w:r>
          </w:p>
        </w:tc>
        <w:tc>
          <w:tcPr>
            <w:tcW w:w="1010"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60 353,9</w:t>
            </w:r>
          </w:p>
        </w:tc>
        <w:tc>
          <w:tcPr>
            <w:tcW w:w="789"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b/>
                <w:sz w:val="18"/>
                <w:szCs w:val="18"/>
              </w:rPr>
            </w:pPr>
            <w:r w:rsidRPr="00215B3D">
              <w:rPr>
                <w:rFonts w:ascii="Segoe UI" w:hAnsi="Segoe UI" w:cs="Segoe UI"/>
                <w:b/>
                <w:sz w:val="18"/>
                <w:szCs w:val="18"/>
              </w:rPr>
              <w:t>25,9</w:t>
            </w:r>
          </w:p>
        </w:tc>
        <w:tc>
          <w:tcPr>
            <w:tcW w:w="992"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bCs/>
                <w:sz w:val="18"/>
                <w:szCs w:val="18"/>
              </w:rPr>
            </w:pPr>
            <w:r w:rsidRPr="00215B3D">
              <w:rPr>
                <w:rFonts w:ascii="Segoe UI" w:hAnsi="Segoe UI" w:cs="Segoe UI"/>
                <w:b/>
                <w:bCs/>
                <w:sz w:val="18"/>
                <w:szCs w:val="18"/>
              </w:rPr>
              <w:t>16 670,6</w:t>
            </w:r>
          </w:p>
        </w:tc>
        <w:tc>
          <w:tcPr>
            <w:tcW w:w="1134" w:type="dxa"/>
            <w:gridSpan w:val="2"/>
            <w:tcBorders>
              <w:top w:val="nil"/>
              <w:left w:val="nil"/>
              <w:bottom w:val="single" w:sz="4" w:space="0" w:color="auto"/>
              <w:right w:val="single" w:sz="8" w:space="0" w:color="auto"/>
            </w:tcBorders>
            <w:noWrap/>
            <w:vAlign w:val="center"/>
            <w:hideMark/>
          </w:tcPr>
          <w:p w:rsidR="00446522" w:rsidRPr="00215B3D" w:rsidRDefault="00446522" w:rsidP="006B774E">
            <w:pPr>
              <w:spacing w:after="0" w:line="240" w:lineRule="auto"/>
              <w:jc w:val="center"/>
              <w:rPr>
                <w:rFonts w:ascii="Segoe UI" w:hAnsi="Segoe UI" w:cs="Segoe UI"/>
                <w:b/>
                <w:bCs/>
                <w:sz w:val="18"/>
                <w:szCs w:val="18"/>
              </w:rPr>
            </w:pPr>
            <w:r w:rsidRPr="00215B3D">
              <w:rPr>
                <w:rFonts w:ascii="Segoe UI" w:hAnsi="Segoe UI" w:cs="Segoe UI"/>
                <w:b/>
                <w:bCs/>
                <w:sz w:val="18"/>
                <w:szCs w:val="18"/>
              </w:rPr>
              <w:t>38,2</w:t>
            </w:r>
          </w:p>
        </w:tc>
      </w:tr>
      <w:tr w:rsidR="00446522" w:rsidRPr="00215B3D" w:rsidTr="006B774E">
        <w:trPr>
          <w:trHeight w:val="300"/>
        </w:trPr>
        <w:tc>
          <w:tcPr>
            <w:tcW w:w="1843" w:type="dxa"/>
            <w:tcBorders>
              <w:top w:val="nil"/>
              <w:left w:val="single" w:sz="4" w:space="0" w:color="auto"/>
              <w:bottom w:val="single" w:sz="4" w:space="0" w:color="auto"/>
              <w:right w:val="nil"/>
            </w:tcBorders>
            <w:noWrap/>
            <w:vAlign w:val="bottom"/>
            <w:hideMark/>
          </w:tcPr>
          <w:p w:rsidR="00446522" w:rsidRPr="00215B3D" w:rsidRDefault="00446522" w:rsidP="00045F3F">
            <w:pPr>
              <w:spacing w:after="0" w:line="240" w:lineRule="auto"/>
              <w:jc w:val="center"/>
              <w:rPr>
                <w:rFonts w:ascii="Segoe UI" w:hAnsi="Segoe UI" w:cs="Segoe UI"/>
                <w:sz w:val="18"/>
                <w:szCs w:val="18"/>
              </w:rPr>
            </w:pPr>
            <w:r w:rsidRPr="00215B3D">
              <w:rPr>
                <w:rFonts w:ascii="Segoe UI" w:hAnsi="Segoe UI" w:cs="Segoe UI"/>
                <w:sz w:val="18"/>
                <w:szCs w:val="18"/>
              </w:rPr>
              <w:t>*Prêts</w:t>
            </w:r>
          </w:p>
        </w:tc>
        <w:tc>
          <w:tcPr>
            <w:tcW w:w="1119" w:type="dxa"/>
            <w:tcBorders>
              <w:top w:val="nil"/>
              <w:left w:val="double" w:sz="6" w:space="0" w:color="auto"/>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99 770</w:t>
            </w:r>
          </w:p>
        </w:tc>
        <w:tc>
          <w:tcPr>
            <w:tcW w:w="1118"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34 588,6</w:t>
            </w:r>
          </w:p>
        </w:tc>
        <w:tc>
          <w:tcPr>
            <w:tcW w:w="784"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34,7</w:t>
            </w:r>
          </w:p>
        </w:tc>
        <w:tc>
          <w:tcPr>
            <w:tcW w:w="1134"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172 700,0</w:t>
            </w:r>
          </w:p>
        </w:tc>
        <w:tc>
          <w:tcPr>
            <w:tcW w:w="1010"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39 766,3</w:t>
            </w:r>
          </w:p>
        </w:tc>
        <w:tc>
          <w:tcPr>
            <w:tcW w:w="789"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23,0</w:t>
            </w:r>
          </w:p>
        </w:tc>
        <w:tc>
          <w:tcPr>
            <w:tcW w:w="992" w:type="dxa"/>
            <w:tcBorders>
              <w:top w:val="nil"/>
              <w:left w:val="nil"/>
              <w:bottom w:val="single" w:sz="4" w:space="0" w:color="auto"/>
              <w:right w:val="single" w:sz="4" w:space="0" w:color="auto"/>
            </w:tcBorders>
            <w:noWrap/>
            <w:vAlign w:val="center"/>
            <w:hideMark/>
          </w:tcPr>
          <w:p w:rsidR="00446522" w:rsidRPr="00215B3D" w:rsidRDefault="00CE6607" w:rsidP="006B774E">
            <w:pPr>
              <w:spacing w:after="0" w:line="240" w:lineRule="auto"/>
              <w:jc w:val="center"/>
              <w:rPr>
                <w:rFonts w:ascii="Segoe UI" w:hAnsi="Segoe UI" w:cs="Segoe UI"/>
                <w:sz w:val="18"/>
                <w:szCs w:val="18"/>
              </w:rPr>
            </w:pPr>
            <w:r>
              <w:rPr>
                <w:rFonts w:ascii="Segoe UI" w:hAnsi="Segoe UI" w:cs="Segoe UI"/>
                <w:sz w:val="18"/>
                <w:szCs w:val="18"/>
              </w:rPr>
              <w:t>5 1</w:t>
            </w:r>
            <w:r w:rsidR="00446522" w:rsidRPr="00215B3D">
              <w:rPr>
                <w:rFonts w:ascii="Segoe UI" w:hAnsi="Segoe UI" w:cs="Segoe UI"/>
                <w:sz w:val="18"/>
                <w:szCs w:val="18"/>
              </w:rPr>
              <w:t>77,7</w:t>
            </w:r>
          </w:p>
        </w:tc>
        <w:tc>
          <w:tcPr>
            <w:tcW w:w="1134" w:type="dxa"/>
            <w:gridSpan w:val="2"/>
            <w:tcBorders>
              <w:top w:val="nil"/>
              <w:left w:val="nil"/>
              <w:bottom w:val="single" w:sz="4" w:space="0" w:color="auto"/>
              <w:right w:val="single" w:sz="8"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15,0</w:t>
            </w:r>
          </w:p>
        </w:tc>
      </w:tr>
      <w:tr w:rsidR="00446522" w:rsidRPr="00215B3D" w:rsidTr="006B774E">
        <w:trPr>
          <w:trHeight w:val="300"/>
        </w:trPr>
        <w:tc>
          <w:tcPr>
            <w:tcW w:w="1843" w:type="dxa"/>
            <w:tcBorders>
              <w:top w:val="nil"/>
              <w:left w:val="single" w:sz="4" w:space="0" w:color="auto"/>
              <w:bottom w:val="single" w:sz="4" w:space="0" w:color="auto"/>
              <w:right w:val="nil"/>
            </w:tcBorders>
            <w:noWrap/>
            <w:vAlign w:val="bottom"/>
            <w:hideMark/>
          </w:tcPr>
          <w:p w:rsidR="00446522" w:rsidRPr="00215B3D" w:rsidRDefault="00446522" w:rsidP="00045F3F">
            <w:pPr>
              <w:spacing w:after="0" w:line="240" w:lineRule="auto"/>
              <w:jc w:val="center"/>
              <w:rPr>
                <w:rFonts w:ascii="Segoe UI" w:hAnsi="Segoe UI" w:cs="Segoe UI"/>
                <w:sz w:val="18"/>
                <w:szCs w:val="18"/>
              </w:rPr>
            </w:pPr>
            <w:r w:rsidRPr="00215B3D">
              <w:rPr>
                <w:rFonts w:ascii="Segoe UI" w:hAnsi="Segoe UI" w:cs="Segoe UI"/>
                <w:sz w:val="18"/>
                <w:szCs w:val="18"/>
              </w:rPr>
              <w:t>*Dons</w:t>
            </w:r>
          </w:p>
        </w:tc>
        <w:tc>
          <w:tcPr>
            <w:tcW w:w="1119" w:type="dxa"/>
            <w:tcBorders>
              <w:top w:val="nil"/>
              <w:left w:val="double" w:sz="6" w:space="0" w:color="auto"/>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42 830</w:t>
            </w:r>
          </w:p>
        </w:tc>
        <w:tc>
          <w:tcPr>
            <w:tcW w:w="1118"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9 094,7</w:t>
            </w:r>
          </w:p>
        </w:tc>
        <w:tc>
          <w:tcPr>
            <w:tcW w:w="784"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21,</w:t>
            </w:r>
            <w:r w:rsidR="00CE6607">
              <w:rPr>
                <w:rFonts w:ascii="Segoe UI" w:hAnsi="Segoe UI" w:cs="Segoe UI"/>
                <w:sz w:val="18"/>
                <w:szCs w:val="18"/>
              </w:rPr>
              <w:t>2</w:t>
            </w:r>
          </w:p>
        </w:tc>
        <w:tc>
          <w:tcPr>
            <w:tcW w:w="1134"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60 300</w:t>
            </w:r>
          </w:p>
        </w:tc>
        <w:tc>
          <w:tcPr>
            <w:tcW w:w="1010"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20 587,6</w:t>
            </w:r>
          </w:p>
        </w:tc>
        <w:tc>
          <w:tcPr>
            <w:tcW w:w="789" w:type="dxa"/>
            <w:tcBorders>
              <w:top w:val="nil"/>
              <w:left w:val="nil"/>
              <w:bottom w:val="single" w:sz="4"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34,1</w:t>
            </w:r>
          </w:p>
        </w:tc>
        <w:tc>
          <w:tcPr>
            <w:tcW w:w="992" w:type="dxa"/>
            <w:tcBorders>
              <w:top w:val="nil"/>
              <w:left w:val="nil"/>
              <w:bottom w:val="single" w:sz="4"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11 492,9</w:t>
            </w:r>
          </w:p>
        </w:tc>
        <w:tc>
          <w:tcPr>
            <w:tcW w:w="1134" w:type="dxa"/>
            <w:gridSpan w:val="2"/>
            <w:tcBorders>
              <w:top w:val="nil"/>
              <w:left w:val="nil"/>
              <w:bottom w:val="single" w:sz="4" w:space="0" w:color="auto"/>
              <w:right w:val="single" w:sz="8" w:space="0" w:color="auto"/>
            </w:tcBorders>
            <w:noWrap/>
            <w:vAlign w:val="center"/>
            <w:hideMark/>
          </w:tcPr>
          <w:p w:rsidR="00446522" w:rsidRPr="00215B3D" w:rsidRDefault="00446522" w:rsidP="006B774E">
            <w:pPr>
              <w:spacing w:after="0" w:line="240" w:lineRule="auto"/>
              <w:jc w:val="center"/>
              <w:rPr>
                <w:rFonts w:ascii="Segoe UI" w:hAnsi="Segoe UI" w:cs="Segoe UI"/>
                <w:sz w:val="18"/>
                <w:szCs w:val="18"/>
              </w:rPr>
            </w:pPr>
            <w:r w:rsidRPr="00215B3D">
              <w:rPr>
                <w:rFonts w:ascii="Segoe UI" w:hAnsi="Segoe UI" w:cs="Segoe UI"/>
                <w:sz w:val="18"/>
                <w:szCs w:val="18"/>
              </w:rPr>
              <w:t>126,4</w:t>
            </w:r>
          </w:p>
        </w:tc>
      </w:tr>
      <w:tr w:rsidR="00446522" w:rsidRPr="00215B3D" w:rsidTr="006B774E">
        <w:trPr>
          <w:trHeight w:val="330"/>
        </w:trPr>
        <w:tc>
          <w:tcPr>
            <w:tcW w:w="1843" w:type="dxa"/>
            <w:tcBorders>
              <w:top w:val="single" w:sz="8" w:space="0" w:color="auto"/>
              <w:left w:val="single" w:sz="8" w:space="0" w:color="auto"/>
              <w:bottom w:val="single" w:sz="8" w:space="0" w:color="auto"/>
              <w:right w:val="nil"/>
            </w:tcBorders>
            <w:noWrap/>
            <w:vAlign w:val="center"/>
            <w:hideMark/>
          </w:tcPr>
          <w:p w:rsidR="00446522" w:rsidRPr="00215B3D" w:rsidRDefault="00446522" w:rsidP="00045F3F">
            <w:pPr>
              <w:spacing w:after="0" w:line="240" w:lineRule="auto"/>
              <w:jc w:val="center"/>
              <w:rPr>
                <w:rFonts w:ascii="Segoe UI" w:hAnsi="Segoe UI" w:cs="Segoe UI"/>
                <w:sz w:val="18"/>
                <w:szCs w:val="18"/>
              </w:rPr>
            </w:pPr>
            <w:r w:rsidRPr="00215B3D">
              <w:rPr>
                <w:rFonts w:ascii="Segoe UI" w:hAnsi="Segoe UI" w:cs="Segoe UI"/>
                <w:b/>
                <w:bCs/>
                <w:sz w:val="18"/>
                <w:szCs w:val="18"/>
              </w:rPr>
              <w:t>TOTAL</w:t>
            </w:r>
          </w:p>
        </w:tc>
        <w:tc>
          <w:tcPr>
            <w:tcW w:w="1119" w:type="dxa"/>
            <w:tcBorders>
              <w:top w:val="nil"/>
              <w:left w:val="double" w:sz="6" w:space="0" w:color="auto"/>
              <w:bottom w:val="single" w:sz="8"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bCs/>
                <w:sz w:val="18"/>
                <w:szCs w:val="18"/>
              </w:rPr>
            </w:pPr>
            <w:r w:rsidRPr="00215B3D">
              <w:rPr>
                <w:rFonts w:ascii="Segoe UI" w:hAnsi="Segoe UI" w:cs="Segoe UI"/>
                <w:b/>
                <w:bCs/>
                <w:sz w:val="18"/>
                <w:szCs w:val="18"/>
              </w:rPr>
              <w:t>280 914</w:t>
            </w:r>
          </w:p>
        </w:tc>
        <w:tc>
          <w:tcPr>
            <w:tcW w:w="1118" w:type="dxa"/>
            <w:tcBorders>
              <w:top w:val="single" w:sz="8" w:space="0" w:color="auto"/>
              <w:left w:val="nil"/>
              <w:bottom w:val="single" w:sz="8" w:space="0" w:color="auto"/>
              <w:right w:val="single" w:sz="4" w:space="0" w:color="auto"/>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145 657,1</w:t>
            </w:r>
          </w:p>
        </w:tc>
        <w:tc>
          <w:tcPr>
            <w:tcW w:w="784" w:type="dxa"/>
            <w:tcBorders>
              <w:top w:val="single" w:sz="8" w:space="0" w:color="auto"/>
              <w:left w:val="nil"/>
              <w:bottom w:val="single" w:sz="8" w:space="0" w:color="auto"/>
              <w:right w:val="double" w:sz="6" w:space="0" w:color="auto"/>
            </w:tcBorders>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51,9</w:t>
            </w:r>
          </w:p>
        </w:tc>
        <w:tc>
          <w:tcPr>
            <w:tcW w:w="1134" w:type="dxa"/>
            <w:tcBorders>
              <w:top w:val="nil"/>
              <w:left w:val="nil"/>
              <w:bottom w:val="single" w:sz="8" w:space="0" w:color="auto"/>
              <w:right w:val="single" w:sz="4" w:space="0" w:color="auto"/>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 xml:space="preserve">808 </w:t>
            </w:r>
            <w:r w:rsidR="00446522" w:rsidRPr="00215B3D">
              <w:rPr>
                <w:rFonts w:ascii="Segoe UI" w:hAnsi="Segoe UI" w:cs="Segoe UI"/>
                <w:b/>
                <w:bCs/>
                <w:sz w:val="18"/>
                <w:szCs w:val="18"/>
              </w:rPr>
              <w:t>317,0</w:t>
            </w:r>
          </w:p>
        </w:tc>
        <w:tc>
          <w:tcPr>
            <w:tcW w:w="1010" w:type="dxa"/>
            <w:tcBorders>
              <w:top w:val="single" w:sz="8" w:space="0" w:color="auto"/>
              <w:left w:val="nil"/>
              <w:bottom w:val="single" w:sz="8" w:space="0" w:color="auto"/>
              <w:right w:val="single" w:sz="4" w:space="0" w:color="auto"/>
            </w:tcBorders>
            <w:noWrap/>
            <w:vAlign w:val="center"/>
            <w:hideMark/>
          </w:tcPr>
          <w:p w:rsidR="00446522" w:rsidRPr="00215B3D" w:rsidRDefault="00446522" w:rsidP="006B774E">
            <w:pPr>
              <w:spacing w:after="0" w:line="240" w:lineRule="auto"/>
              <w:jc w:val="center"/>
              <w:rPr>
                <w:rFonts w:ascii="Segoe UI" w:hAnsi="Segoe UI" w:cs="Segoe UI"/>
                <w:b/>
                <w:bCs/>
                <w:sz w:val="18"/>
                <w:szCs w:val="18"/>
              </w:rPr>
            </w:pPr>
            <w:r w:rsidRPr="00215B3D">
              <w:rPr>
                <w:rFonts w:ascii="Segoe UI" w:hAnsi="Segoe UI" w:cs="Segoe UI"/>
                <w:b/>
                <w:bCs/>
                <w:sz w:val="18"/>
                <w:szCs w:val="18"/>
              </w:rPr>
              <w:t>221 753,7</w:t>
            </w:r>
          </w:p>
        </w:tc>
        <w:tc>
          <w:tcPr>
            <w:tcW w:w="789" w:type="dxa"/>
            <w:tcBorders>
              <w:top w:val="single" w:sz="8" w:space="0" w:color="auto"/>
              <w:left w:val="nil"/>
              <w:bottom w:val="single" w:sz="8" w:space="0" w:color="auto"/>
              <w:right w:val="double" w:sz="6" w:space="0" w:color="auto"/>
            </w:tcBorders>
            <w:vAlign w:val="center"/>
            <w:hideMark/>
          </w:tcPr>
          <w:p w:rsidR="00446522" w:rsidRPr="00215B3D" w:rsidRDefault="00446522" w:rsidP="006B774E">
            <w:pPr>
              <w:spacing w:after="0" w:line="240" w:lineRule="auto"/>
              <w:jc w:val="center"/>
              <w:rPr>
                <w:rFonts w:ascii="Segoe UI" w:hAnsi="Segoe UI" w:cs="Segoe UI"/>
                <w:b/>
                <w:bCs/>
                <w:sz w:val="18"/>
                <w:szCs w:val="18"/>
              </w:rPr>
            </w:pPr>
            <w:r w:rsidRPr="00215B3D">
              <w:rPr>
                <w:rFonts w:ascii="Segoe UI" w:hAnsi="Segoe UI" w:cs="Segoe UI"/>
                <w:b/>
                <w:bCs/>
                <w:sz w:val="18"/>
                <w:szCs w:val="18"/>
              </w:rPr>
              <w:t>27,4</w:t>
            </w:r>
          </w:p>
        </w:tc>
        <w:tc>
          <w:tcPr>
            <w:tcW w:w="992" w:type="dxa"/>
            <w:tcBorders>
              <w:top w:val="single" w:sz="8" w:space="0" w:color="auto"/>
              <w:left w:val="nil"/>
              <w:bottom w:val="single" w:sz="8" w:space="0" w:color="auto"/>
              <w:right w:val="nil"/>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76 096,6</w:t>
            </w:r>
          </w:p>
        </w:tc>
        <w:tc>
          <w:tcPr>
            <w:tcW w:w="1134" w:type="dxa"/>
            <w:gridSpan w:val="2"/>
            <w:tcBorders>
              <w:top w:val="single" w:sz="8" w:space="0" w:color="auto"/>
              <w:left w:val="single" w:sz="4" w:space="0" w:color="auto"/>
              <w:bottom w:val="single" w:sz="8" w:space="0" w:color="auto"/>
              <w:right w:val="single" w:sz="8" w:space="0" w:color="auto"/>
            </w:tcBorders>
            <w:noWrap/>
            <w:vAlign w:val="center"/>
            <w:hideMark/>
          </w:tcPr>
          <w:p w:rsidR="00446522" w:rsidRPr="00215B3D" w:rsidRDefault="00FE3542" w:rsidP="006B774E">
            <w:pPr>
              <w:spacing w:after="0" w:line="240" w:lineRule="auto"/>
              <w:jc w:val="center"/>
              <w:rPr>
                <w:rFonts w:ascii="Segoe UI" w:hAnsi="Segoe UI" w:cs="Segoe UI"/>
                <w:b/>
                <w:bCs/>
                <w:sz w:val="18"/>
                <w:szCs w:val="18"/>
              </w:rPr>
            </w:pPr>
            <w:r>
              <w:rPr>
                <w:rFonts w:ascii="Segoe UI" w:hAnsi="Segoe UI" w:cs="Segoe UI"/>
                <w:b/>
                <w:bCs/>
                <w:sz w:val="18"/>
                <w:szCs w:val="18"/>
              </w:rPr>
              <w:t>52,2</w:t>
            </w:r>
          </w:p>
        </w:tc>
      </w:tr>
    </w:tbl>
    <w:p w:rsidR="00932CEE" w:rsidRPr="006B36EE" w:rsidRDefault="00932CEE" w:rsidP="00403C9D">
      <w:pPr>
        <w:tabs>
          <w:tab w:val="left" w:pos="426"/>
        </w:tabs>
        <w:spacing w:after="0" w:line="360" w:lineRule="auto"/>
        <w:ind w:left="360"/>
        <w:jc w:val="both"/>
        <w:rPr>
          <w:rFonts w:ascii="Segoe UI" w:hAnsi="Segoe UI" w:cs="Segoe UI"/>
          <w:sz w:val="2"/>
          <w:szCs w:val="16"/>
        </w:rPr>
      </w:pPr>
    </w:p>
    <w:p w:rsidR="005C5EDA" w:rsidRPr="006B36EE" w:rsidRDefault="001035B8" w:rsidP="001035B8">
      <w:pPr>
        <w:rPr>
          <w:rFonts w:ascii="Segoe UI" w:hAnsi="Segoe UI" w:cs="Segoe UI"/>
          <w:sz w:val="20"/>
          <w:szCs w:val="20"/>
        </w:rPr>
      </w:pPr>
      <w:r w:rsidRPr="00215B3D">
        <w:rPr>
          <w:rFonts w:ascii="Segoe UI" w:hAnsi="Segoe UI" w:cs="Segoe UI"/>
          <w:b/>
          <w:sz w:val="20"/>
          <w:szCs w:val="20"/>
          <w:u w:val="single"/>
        </w:rPr>
        <w:t>Source</w:t>
      </w:r>
      <w:r w:rsidR="009576D0" w:rsidRPr="00215B3D">
        <w:rPr>
          <w:rFonts w:ascii="Segoe UI" w:hAnsi="Segoe UI" w:cs="Segoe UI"/>
          <w:b/>
          <w:sz w:val="20"/>
          <w:szCs w:val="20"/>
          <w:u w:val="single"/>
        </w:rPr>
        <w:t> </w:t>
      </w:r>
      <w:r w:rsidR="009576D0" w:rsidRPr="00215B3D">
        <w:rPr>
          <w:rFonts w:ascii="Segoe UI" w:hAnsi="Segoe UI" w:cs="Segoe UI"/>
          <w:b/>
          <w:sz w:val="20"/>
          <w:szCs w:val="20"/>
        </w:rPr>
        <w:t xml:space="preserve">: </w:t>
      </w:r>
      <w:r w:rsidR="005D4A19" w:rsidRPr="00215B3D">
        <w:rPr>
          <w:rFonts w:ascii="Segoe UI" w:hAnsi="Segoe UI" w:cs="Segoe UI"/>
          <w:sz w:val="20"/>
          <w:szCs w:val="20"/>
        </w:rPr>
        <w:t>DGB</w:t>
      </w:r>
      <w:r w:rsidR="00FB509F" w:rsidRPr="00215B3D">
        <w:rPr>
          <w:rFonts w:ascii="Segoe UI" w:hAnsi="Segoe UI" w:cs="Segoe UI"/>
          <w:sz w:val="20"/>
          <w:szCs w:val="20"/>
        </w:rPr>
        <w:t>,</w:t>
      </w:r>
      <w:r w:rsidR="00CC456A" w:rsidRPr="00215B3D">
        <w:rPr>
          <w:rFonts w:ascii="Segoe UI" w:hAnsi="Segoe UI" w:cs="Segoe UI"/>
          <w:sz w:val="20"/>
          <w:szCs w:val="20"/>
        </w:rPr>
        <w:t xml:space="preserve"> sur la base des données fournies par le</w:t>
      </w:r>
      <w:r w:rsidR="005D4A19" w:rsidRPr="00215B3D">
        <w:rPr>
          <w:rFonts w:ascii="Segoe UI" w:hAnsi="Segoe UI" w:cs="Segoe UI"/>
          <w:sz w:val="20"/>
          <w:szCs w:val="20"/>
        </w:rPr>
        <w:t xml:space="preserve"> </w:t>
      </w:r>
      <w:proofErr w:type="spellStart"/>
      <w:r w:rsidR="00144BE5" w:rsidRPr="00215B3D">
        <w:rPr>
          <w:rFonts w:ascii="Segoe UI" w:hAnsi="Segoe UI" w:cs="Segoe UI"/>
          <w:sz w:val="20"/>
          <w:szCs w:val="20"/>
        </w:rPr>
        <w:t>SIGFiP</w:t>
      </w:r>
      <w:proofErr w:type="spellEnd"/>
      <w:r w:rsidR="00144BE5" w:rsidRPr="00215B3D">
        <w:rPr>
          <w:rFonts w:ascii="Segoe UI" w:hAnsi="Segoe UI" w:cs="Segoe UI"/>
          <w:sz w:val="20"/>
          <w:szCs w:val="20"/>
        </w:rPr>
        <w:t xml:space="preserve"> et</w:t>
      </w:r>
      <w:r w:rsidR="005D4A19" w:rsidRPr="00215B3D">
        <w:rPr>
          <w:rFonts w:ascii="Segoe UI" w:hAnsi="Segoe UI" w:cs="Segoe UI"/>
          <w:sz w:val="20"/>
          <w:szCs w:val="20"/>
        </w:rPr>
        <w:t xml:space="preserve"> </w:t>
      </w:r>
      <w:r w:rsidR="00CC456A" w:rsidRPr="00215B3D">
        <w:rPr>
          <w:rFonts w:ascii="Segoe UI" w:hAnsi="Segoe UI" w:cs="Segoe UI"/>
          <w:sz w:val="20"/>
          <w:szCs w:val="20"/>
        </w:rPr>
        <w:t xml:space="preserve">la </w:t>
      </w:r>
      <w:r w:rsidR="005D4A19" w:rsidRPr="00215B3D">
        <w:rPr>
          <w:rFonts w:ascii="Segoe UI" w:hAnsi="Segoe UI" w:cs="Segoe UI"/>
          <w:sz w:val="20"/>
          <w:szCs w:val="20"/>
        </w:rPr>
        <w:t>CAA</w:t>
      </w:r>
      <w:r w:rsidR="00FB509F" w:rsidRPr="00215B3D">
        <w:rPr>
          <w:rFonts w:ascii="Segoe UI" w:hAnsi="Segoe UI" w:cs="Segoe UI"/>
          <w:sz w:val="20"/>
          <w:szCs w:val="20"/>
        </w:rPr>
        <w:t>,</w:t>
      </w:r>
      <w:r w:rsidR="00CC456A" w:rsidRPr="00215B3D">
        <w:rPr>
          <w:rFonts w:ascii="Segoe UI" w:hAnsi="Segoe UI" w:cs="Segoe UI"/>
          <w:sz w:val="20"/>
          <w:szCs w:val="20"/>
        </w:rPr>
        <w:t xml:space="preserve"> juin 2017</w:t>
      </w:r>
    </w:p>
    <w:p w:rsidR="00BD1603" w:rsidRPr="00215B3D" w:rsidRDefault="00BD1603" w:rsidP="00AD11B0">
      <w:pPr>
        <w:pStyle w:val="Titre3"/>
        <w:rPr>
          <w:rFonts w:ascii="Segoe UI" w:hAnsi="Segoe UI" w:cs="Segoe UI"/>
          <w:sz w:val="26"/>
          <w:szCs w:val="26"/>
        </w:rPr>
      </w:pPr>
      <w:bookmarkStart w:id="29" w:name="_Toc496025008"/>
      <w:r w:rsidRPr="00215B3D">
        <w:rPr>
          <w:rFonts w:ascii="Segoe UI" w:hAnsi="Segoe UI" w:cs="Segoe UI"/>
          <w:sz w:val="26"/>
          <w:szCs w:val="26"/>
        </w:rPr>
        <w:t>B-2 Budget annexe du FNRB et Budgets d</w:t>
      </w:r>
      <w:r w:rsidR="00EC357B" w:rsidRPr="00215B3D">
        <w:rPr>
          <w:rFonts w:ascii="Segoe UI" w:hAnsi="Segoe UI" w:cs="Segoe UI"/>
          <w:sz w:val="26"/>
          <w:szCs w:val="26"/>
        </w:rPr>
        <w:t xml:space="preserve">es </w:t>
      </w:r>
      <w:r w:rsidRPr="00215B3D">
        <w:rPr>
          <w:rFonts w:ascii="Segoe UI" w:hAnsi="Segoe UI" w:cs="Segoe UI"/>
          <w:sz w:val="26"/>
          <w:szCs w:val="26"/>
        </w:rPr>
        <w:t>autres organismes Publics</w:t>
      </w:r>
      <w:bookmarkEnd w:id="29"/>
    </w:p>
    <w:p w:rsidR="00AD11B0" w:rsidRPr="006B36EE" w:rsidRDefault="00AD11B0" w:rsidP="00AD11B0">
      <w:pPr>
        <w:rPr>
          <w:rFonts w:ascii="Segoe UI" w:hAnsi="Segoe UI" w:cs="Segoe UI"/>
          <w:sz w:val="2"/>
        </w:rPr>
      </w:pPr>
    </w:p>
    <w:p w:rsidR="006316FD" w:rsidRPr="00215B3D" w:rsidRDefault="00214884" w:rsidP="000C178C">
      <w:pPr>
        <w:rPr>
          <w:rFonts w:ascii="Segoe UI" w:hAnsi="Segoe UI" w:cs="Segoe UI"/>
          <w:b/>
          <w:sz w:val="26"/>
          <w:szCs w:val="26"/>
        </w:rPr>
      </w:pPr>
      <w:r w:rsidRPr="00215B3D">
        <w:rPr>
          <w:rFonts w:ascii="Segoe UI" w:hAnsi="Segoe UI" w:cs="Segoe UI"/>
          <w:b/>
          <w:sz w:val="26"/>
          <w:szCs w:val="26"/>
        </w:rPr>
        <w:t>B-</w:t>
      </w:r>
      <w:r w:rsidR="00BD1603" w:rsidRPr="00215B3D">
        <w:rPr>
          <w:rFonts w:ascii="Segoe UI" w:hAnsi="Segoe UI" w:cs="Segoe UI"/>
          <w:b/>
          <w:sz w:val="26"/>
          <w:szCs w:val="26"/>
        </w:rPr>
        <w:t>2-1</w:t>
      </w:r>
      <w:r w:rsidR="00003AA3">
        <w:rPr>
          <w:rFonts w:ascii="Segoe UI" w:hAnsi="Segoe UI" w:cs="Segoe UI"/>
          <w:b/>
          <w:sz w:val="26"/>
          <w:szCs w:val="26"/>
        </w:rPr>
        <w:t>-</w:t>
      </w:r>
      <w:r w:rsidR="00D9546B" w:rsidRPr="00215B3D">
        <w:rPr>
          <w:rFonts w:ascii="Segoe UI" w:hAnsi="Segoe UI" w:cs="Segoe UI"/>
          <w:b/>
          <w:sz w:val="26"/>
          <w:szCs w:val="26"/>
        </w:rPr>
        <w:t xml:space="preserve"> </w:t>
      </w:r>
      <w:r w:rsidR="00BD1603" w:rsidRPr="00215B3D">
        <w:rPr>
          <w:rFonts w:ascii="Segoe UI" w:hAnsi="Segoe UI" w:cs="Segoe UI"/>
          <w:b/>
          <w:sz w:val="26"/>
          <w:szCs w:val="26"/>
        </w:rPr>
        <w:t>D</w:t>
      </w:r>
      <w:r w:rsidRPr="00215B3D">
        <w:rPr>
          <w:rFonts w:ascii="Segoe UI" w:hAnsi="Segoe UI" w:cs="Segoe UI"/>
          <w:b/>
          <w:sz w:val="26"/>
          <w:szCs w:val="26"/>
        </w:rPr>
        <w:t>épenses d</w:t>
      </w:r>
      <w:r w:rsidR="00BD1603" w:rsidRPr="00215B3D">
        <w:rPr>
          <w:rFonts w:ascii="Segoe UI" w:hAnsi="Segoe UI" w:cs="Segoe UI"/>
          <w:b/>
          <w:sz w:val="26"/>
          <w:szCs w:val="26"/>
        </w:rPr>
        <w:t>e fonctionnement et charge</w:t>
      </w:r>
      <w:r w:rsidR="0074747B" w:rsidRPr="00215B3D">
        <w:rPr>
          <w:rFonts w:ascii="Segoe UI" w:hAnsi="Segoe UI" w:cs="Segoe UI"/>
          <w:b/>
          <w:sz w:val="26"/>
          <w:szCs w:val="26"/>
        </w:rPr>
        <w:t>s</w:t>
      </w:r>
      <w:r w:rsidR="00BD1603" w:rsidRPr="00215B3D">
        <w:rPr>
          <w:rFonts w:ascii="Segoe UI" w:hAnsi="Segoe UI" w:cs="Segoe UI"/>
          <w:b/>
          <w:sz w:val="26"/>
          <w:szCs w:val="26"/>
        </w:rPr>
        <w:t xml:space="preserve"> de la pension</w:t>
      </w:r>
    </w:p>
    <w:p w:rsidR="00CF34D9" w:rsidRPr="00215B3D" w:rsidRDefault="008F470C" w:rsidP="00AD11B0">
      <w:pPr>
        <w:tabs>
          <w:tab w:val="left" w:pos="426"/>
        </w:tabs>
        <w:spacing w:after="120" w:line="360" w:lineRule="auto"/>
        <w:jc w:val="both"/>
        <w:rPr>
          <w:rFonts w:ascii="Segoe UI" w:hAnsi="Segoe UI" w:cs="Segoe UI"/>
          <w:sz w:val="24"/>
          <w:szCs w:val="26"/>
        </w:rPr>
      </w:pPr>
      <w:r w:rsidRPr="00E02599">
        <w:rPr>
          <w:rFonts w:ascii="Segoe UI" w:hAnsi="Segoe UI" w:cs="Segoe UI"/>
          <w:sz w:val="24"/>
          <w:szCs w:val="26"/>
        </w:rPr>
        <w:t>L</w:t>
      </w:r>
      <w:r w:rsidR="008A7575" w:rsidRPr="00E02599">
        <w:rPr>
          <w:rFonts w:ascii="Segoe UI" w:hAnsi="Segoe UI" w:cs="Segoe UI"/>
          <w:sz w:val="24"/>
          <w:szCs w:val="26"/>
        </w:rPr>
        <w:t xml:space="preserve">es dépenses du FNRB sont engagées à concurrence de </w:t>
      </w:r>
      <w:r w:rsidR="00CE6607" w:rsidRPr="00E02599">
        <w:rPr>
          <w:rFonts w:ascii="Segoe UI" w:hAnsi="Segoe UI" w:cs="Segoe UI"/>
          <w:b/>
          <w:sz w:val="24"/>
          <w:szCs w:val="26"/>
        </w:rPr>
        <w:t>37 924,9</w:t>
      </w:r>
      <w:r w:rsidR="00D9546B" w:rsidRPr="00E02599">
        <w:rPr>
          <w:rFonts w:ascii="Segoe UI" w:hAnsi="Segoe UI" w:cs="Segoe UI"/>
          <w:b/>
          <w:sz w:val="24"/>
          <w:szCs w:val="26"/>
        </w:rPr>
        <w:t xml:space="preserve"> </w:t>
      </w:r>
      <w:r w:rsidR="008A7575" w:rsidRPr="00E02599">
        <w:rPr>
          <w:rFonts w:ascii="Segoe UI" w:hAnsi="Segoe UI" w:cs="Segoe UI"/>
          <w:b/>
          <w:sz w:val="24"/>
          <w:szCs w:val="26"/>
        </w:rPr>
        <w:t>millions de FCFA</w:t>
      </w:r>
      <w:r w:rsidR="008A7575" w:rsidRPr="00E02599">
        <w:rPr>
          <w:rFonts w:ascii="Segoe UI" w:hAnsi="Segoe UI" w:cs="Segoe UI"/>
          <w:sz w:val="24"/>
          <w:szCs w:val="26"/>
        </w:rPr>
        <w:t xml:space="preserve"> </w:t>
      </w:r>
      <w:r w:rsidR="002A01CB" w:rsidRPr="00E02599">
        <w:rPr>
          <w:rFonts w:ascii="Segoe UI" w:hAnsi="Segoe UI" w:cs="Segoe UI"/>
          <w:sz w:val="24"/>
          <w:szCs w:val="26"/>
        </w:rPr>
        <w:t xml:space="preserve">et </w:t>
      </w:r>
      <w:r w:rsidR="001E3922" w:rsidRPr="00E02599">
        <w:rPr>
          <w:rFonts w:ascii="Segoe UI" w:hAnsi="Segoe UI" w:cs="Segoe UI"/>
          <w:sz w:val="24"/>
          <w:szCs w:val="26"/>
        </w:rPr>
        <w:t>correspond</w:t>
      </w:r>
      <w:r w:rsidR="002A01CB" w:rsidRPr="00E02599">
        <w:rPr>
          <w:rFonts w:ascii="Segoe UI" w:hAnsi="Segoe UI" w:cs="Segoe UI"/>
          <w:sz w:val="24"/>
          <w:szCs w:val="26"/>
        </w:rPr>
        <w:t>ent</w:t>
      </w:r>
      <w:r w:rsidR="001E3922" w:rsidRPr="00E02599">
        <w:rPr>
          <w:rFonts w:ascii="Segoe UI" w:hAnsi="Segoe UI" w:cs="Segoe UI"/>
          <w:sz w:val="24"/>
          <w:szCs w:val="26"/>
        </w:rPr>
        <w:t xml:space="preserve"> à</w:t>
      </w:r>
      <w:r w:rsidR="00E87BD4" w:rsidRPr="00E02599">
        <w:rPr>
          <w:rFonts w:ascii="Segoe UI" w:hAnsi="Segoe UI" w:cs="Segoe UI"/>
          <w:sz w:val="24"/>
          <w:szCs w:val="26"/>
        </w:rPr>
        <w:t xml:space="preserve"> un taux d’exécution de </w:t>
      </w:r>
      <w:r w:rsidR="00CE6607" w:rsidRPr="00E02599">
        <w:rPr>
          <w:rFonts w:ascii="Segoe UI" w:hAnsi="Segoe UI" w:cs="Segoe UI"/>
          <w:b/>
          <w:sz w:val="24"/>
          <w:szCs w:val="26"/>
        </w:rPr>
        <w:t>57,6</w:t>
      </w:r>
      <w:r w:rsidR="00E87BD4" w:rsidRPr="00E02599">
        <w:rPr>
          <w:rFonts w:ascii="Segoe UI" w:hAnsi="Segoe UI" w:cs="Segoe UI"/>
          <w:b/>
          <w:sz w:val="24"/>
          <w:szCs w:val="26"/>
        </w:rPr>
        <w:t>%</w:t>
      </w:r>
      <w:r w:rsidRPr="00E02599">
        <w:rPr>
          <w:rFonts w:ascii="Segoe UI" w:hAnsi="Segoe UI" w:cs="Segoe UI"/>
          <w:b/>
          <w:sz w:val="24"/>
          <w:szCs w:val="26"/>
        </w:rPr>
        <w:t>.</w:t>
      </w:r>
      <w:r w:rsidRPr="00E02599">
        <w:rPr>
          <w:rFonts w:ascii="Segoe UI" w:hAnsi="Segoe UI" w:cs="Segoe UI"/>
          <w:sz w:val="24"/>
          <w:szCs w:val="26"/>
        </w:rPr>
        <w:t xml:space="preserve"> </w:t>
      </w:r>
      <w:r w:rsidR="00C50FD0" w:rsidRPr="00E02599">
        <w:rPr>
          <w:rFonts w:ascii="Segoe UI" w:hAnsi="Segoe UI" w:cs="Segoe UI"/>
          <w:sz w:val="24"/>
          <w:szCs w:val="26"/>
        </w:rPr>
        <w:t xml:space="preserve">A fin </w:t>
      </w:r>
      <w:r w:rsidR="00235823" w:rsidRPr="00E02599">
        <w:rPr>
          <w:rFonts w:ascii="Segoe UI" w:hAnsi="Segoe UI" w:cs="Segoe UI"/>
          <w:sz w:val="24"/>
          <w:szCs w:val="26"/>
        </w:rPr>
        <w:t>juin</w:t>
      </w:r>
      <w:r w:rsidR="00C50FD0" w:rsidRPr="00E02599">
        <w:rPr>
          <w:rFonts w:ascii="Segoe UI" w:hAnsi="Segoe UI" w:cs="Segoe UI"/>
          <w:sz w:val="24"/>
          <w:szCs w:val="26"/>
        </w:rPr>
        <w:t xml:space="preserve"> 201</w:t>
      </w:r>
      <w:r w:rsidR="00235823" w:rsidRPr="00E02599">
        <w:rPr>
          <w:rFonts w:ascii="Segoe UI" w:hAnsi="Segoe UI" w:cs="Segoe UI"/>
          <w:sz w:val="24"/>
          <w:szCs w:val="26"/>
        </w:rPr>
        <w:t>6</w:t>
      </w:r>
      <w:r w:rsidR="00E87BD4" w:rsidRPr="00E02599">
        <w:rPr>
          <w:rFonts w:ascii="Segoe UI" w:hAnsi="Segoe UI" w:cs="Segoe UI"/>
          <w:sz w:val="24"/>
          <w:szCs w:val="26"/>
        </w:rPr>
        <w:t>,</w:t>
      </w:r>
      <w:r w:rsidR="00D9546B" w:rsidRPr="00E02599">
        <w:rPr>
          <w:rFonts w:ascii="Segoe UI" w:hAnsi="Segoe UI" w:cs="Segoe UI"/>
          <w:sz w:val="24"/>
          <w:szCs w:val="26"/>
        </w:rPr>
        <w:t xml:space="preserve"> </w:t>
      </w:r>
      <w:r w:rsidR="00E87BD4" w:rsidRPr="00E02599">
        <w:rPr>
          <w:rFonts w:ascii="Segoe UI" w:hAnsi="Segoe UI" w:cs="Segoe UI"/>
          <w:sz w:val="24"/>
          <w:szCs w:val="26"/>
        </w:rPr>
        <w:t>e</w:t>
      </w:r>
      <w:r w:rsidR="008A7575" w:rsidRPr="00E02599">
        <w:rPr>
          <w:rFonts w:ascii="Segoe UI" w:hAnsi="Segoe UI" w:cs="Segoe UI"/>
          <w:sz w:val="24"/>
          <w:szCs w:val="26"/>
        </w:rPr>
        <w:t xml:space="preserve">lles </w:t>
      </w:r>
      <w:r w:rsidR="002A01CB" w:rsidRPr="00E02599">
        <w:rPr>
          <w:rFonts w:ascii="Segoe UI" w:hAnsi="Segoe UI" w:cs="Segoe UI"/>
          <w:sz w:val="24"/>
          <w:szCs w:val="26"/>
        </w:rPr>
        <w:t>sont</w:t>
      </w:r>
      <w:r w:rsidRPr="00E02599">
        <w:rPr>
          <w:rFonts w:ascii="Segoe UI" w:hAnsi="Segoe UI" w:cs="Segoe UI"/>
          <w:sz w:val="24"/>
          <w:szCs w:val="26"/>
        </w:rPr>
        <w:t xml:space="preserve"> engagées</w:t>
      </w:r>
      <w:r w:rsidR="00D9546B" w:rsidRPr="00E02599">
        <w:rPr>
          <w:rFonts w:ascii="Segoe UI" w:hAnsi="Segoe UI" w:cs="Segoe UI"/>
          <w:sz w:val="24"/>
          <w:szCs w:val="26"/>
        </w:rPr>
        <w:t xml:space="preserve"> </w:t>
      </w:r>
      <w:r w:rsidR="0057512F" w:rsidRPr="00E02599">
        <w:rPr>
          <w:rFonts w:ascii="Segoe UI" w:hAnsi="Segoe UI" w:cs="Segoe UI"/>
          <w:sz w:val="24"/>
          <w:szCs w:val="26"/>
        </w:rPr>
        <w:t xml:space="preserve">à </w:t>
      </w:r>
      <w:r w:rsidR="00235823" w:rsidRPr="00E02599">
        <w:rPr>
          <w:rFonts w:ascii="Segoe UI" w:hAnsi="Segoe UI" w:cs="Segoe UI"/>
          <w:sz w:val="24"/>
          <w:szCs w:val="26"/>
        </w:rPr>
        <w:t>34 091,4</w:t>
      </w:r>
      <w:r w:rsidR="0057512F" w:rsidRPr="00E02599">
        <w:rPr>
          <w:rFonts w:ascii="Segoe UI" w:hAnsi="Segoe UI" w:cs="Segoe UI"/>
          <w:sz w:val="24"/>
          <w:szCs w:val="26"/>
        </w:rPr>
        <w:t xml:space="preserve"> millions de FCFA</w:t>
      </w:r>
      <w:r w:rsidR="00D9546B" w:rsidRPr="00E02599">
        <w:rPr>
          <w:rFonts w:ascii="Segoe UI" w:hAnsi="Segoe UI" w:cs="Segoe UI"/>
          <w:sz w:val="24"/>
          <w:szCs w:val="26"/>
        </w:rPr>
        <w:t xml:space="preserve"> </w:t>
      </w:r>
      <w:r w:rsidR="008A7575" w:rsidRPr="00E02599">
        <w:rPr>
          <w:rFonts w:ascii="Segoe UI" w:hAnsi="Segoe UI" w:cs="Segoe UI"/>
          <w:sz w:val="24"/>
          <w:szCs w:val="26"/>
        </w:rPr>
        <w:t xml:space="preserve">sur </w:t>
      </w:r>
      <w:r w:rsidR="001E3922" w:rsidRPr="00E02599">
        <w:rPr>
          <w:rFonts w:ascii="Segoe UI" w:hAnsi="Segoe UI" w:cs="Segoe UI"/>
          <w:sz w:val="24"/>
          <w:szCs w:val="26"/>
        </w:rPr>
        <w:t xml:space="preserve">une prévision de </w:t>
      </w:r>
      <w:r w:rsidR="00235823" w:rsidRPr="00E02599">
        <w:rPr>
          <w:rFonts w:ascii="Segoe UI" w:hAnsi="Segoe UI" w:cs="Segoe UI"/>
          <w:sz w:val="24"/>
          <w:szCs w:val="26"/>
        </w:rPr>
        <w:t>61 106</w:t>
      </w:r>
      <w:r w:rsidR="008A7575" w:rsidRPr="00E02599">
        <w:rPr>
          <w:rFonts w:ascii="Segoe UI" w:hAnsi="Segoe UI" w:cs="Segoe UI"/>
          <w:sz w:val="24"/>
          <w:szCs w:val="26"/>
        </w:rPr>
        <w:t xml:space="preserve"> millions de FCFA</w:t>
      </w:r>
      <w:r w:rsidR="001E3922" w:rsidRPr="00E02599">
        <w:rPr>
          <w:rFonts w:ascii="Segoe UI" w:hAnsi="Segoe UI" w:cs="Segoe UI"/>
          <w:sz w:val="24"/>
          <w:szCs w:val="26"/>
        </w:rPr>
        <w:t>, soit</w:t>
      </w:r>
      <w:r w:rsidR="0057512F" w:rsidRPr="00E02599">
        <w:rPr>
          <w:rFonts w:ascii="Segoe UI" w:hAnsi="Segoe UI" w:cs="Segoe UI"/>
          <w:sz w:val="24"/>
          <w:szCs w:val="26"/>
        </w:rPr>
        <w:t xml:space="preserve"> un taux </w:t>
      </w:r>
      <w:r w:rsidR="00F86F7D" w:rsidRPr="00E02599">
        <w:rPr>
          <w:rFonts w:ascii="Segoe UI" w:hAnsi="Segoe UI" w:cs="Segoe UI"/>
          <w:sz w:val="24"/>
          <w:szCs w:val="26"/>
        </w:rPr>
        <w:t xml:space="preserve">d’engagement </w:t>
      </w:r>
      <w:r w:rsidR="00E87BD4" w:rsidRPr="00E02599">
        <w:rPr>
          <w:rFonts w:ascii="Segoe UI" w:hAnsi="Segoe UI" w:cs="Segoe UI"/>
          <w:sz w:val="24"/>
          <w:szCs w:val="26"/>
        </w:rPr>
        <w:t>d</w:t>
      </w:r>
      <w:r w:rsidR="0057512F" w:rsidRPr="00E02599">
        <w:rPr>
          <w:rFonts w:ascii="Segoe UI" w:hAnsi="Segoe UI" w:cs="Segoe UI"/>
          <w:sz w:val="24"/>
          <w:szCs w:val="26"/>
        </w:rPr>
        <w:t xml:space="preserve">e </w:t>
      </w:r>
      <w:r w:rsidR="00235823" w:rsidRPr="00E02599">
        <w:rPr>
          <w:rFonts w:ascii="Segoe UI" w:hAnsi="Segoe UI" w:cs="Segoe UI"/>
          <w:sz w:val="24"/>
          <w:szCs w:val="26"/>
        </w:rPr>
        <w:t>55,8</w:t>
      </w:r>
      <w:r w:rsidR="0057512F" w:rsidRPr="00E02599">
        <w:rPr>
          <w:rFonts w:ascii="Segoe UI" w:hAnsi="Segoe UI" w:cs="Segoe UI"/>
          <w:sz w:val="24"/>
          <w:szCs w:val="26"/>
        </w:rPr>
        <w:t>%</w:t>
      </w:r>
      <w:r w:rsidR="009D37D7" w:rsidRPr="00E02599">
        <w:rPr>
          <w:rFonts w:ascii="Segoe UI" w:hAnsi="Segoe UI" w:cs="Segoe UI"/>
          <w:sz w:val="24"/>
          <w:szCs w:val="26"/>
        </w:rPr>
        <w:t>.</w:t>
      </w:r>
      <w:r w:rsidR="009D5458" w:rsidRPr="00E02599">
        <w:rPr>
          <w:rFonts w:ascii="Segoe UI" w:hAnsi="Segoe UI" w:cs="Segoe UI"/>
          <w:sz w:val="24"/>
          <w:szCs w:val="26"/>
        </w:rPr>
        <w:t xml:space="preserve"> Le niveau d’</w:t>
      </w:r>
      <w:r w:rsidR="00547D7B" w:rsidRPr="00E02599">
        <w:rPr>
          <w:rFonts w:ascii="Segoe UI" w:hAnsi="Segoe UI" w:cs="Segoe UI"/>
          <w:sz w:val="24"/>
          <w:szCs w:val="26"/>
        </w:rPr>
        <w:t>engagement observé en 201</w:t>
      </w:r>
      <w:r w:rsidR="00235823" w:rsidRPr="00E02599">
        <w:rPr>
          <w:rFonts w:ascii="Segoe UI" w:hAnsi="Segoe UI" w:cs="Segoe UI"/>
          <w:sz w:val="24"/>
          <w:szCs w:val="26"/>
        </w:rPr>
        <w:t>7</w:t>
      </w:r>
      <w:r w:rsidR="00547D7B" w:rsidRPr="00E02599">
        <w:rPr>
          <w:rFonts w:ascii="Segoe UI" w:hAnsi="Segoe UI" w:cs="Segoe UI"/>
          <w:sz w:val="24"/>
          <w:szCs w:val="26"/>
        </w:rPr>
        <w:t xml:space="preserve"> est imputable</w:t>
      </w:r>
      <w:r w:rsidR="00BF7B0C" w:rsidRPr="00E02599">
        <w:rPr>
          <w:rFonts w:ascii="Segoe UI" w:hAnsi="Segoe UI" w:cs="Segoe UI"/>
          <w:sz w:val="24"/>
          <w:szCs w:val="26"/>
        </w:rPr>
        <w:t xml:space="preserve"> à</w:t>
      </w:r>
      <w:r w:rsidR="009D5458" w:rsidRPr="00E02599">
        <w:rPr>
          <w:rFonts w:ascii="Segoe UI" w:hAnsi="Segoe UI" w:cs="Segoe UI"/>
          <w:sz w:val="24"/>
          <w:szCs w:val="26"/>
        </w:rPr>
        <w:t xml:space="preserve"> : (i) </w:t>
      </w:r>
      <w:r w:rsidR="00D31C4D" w:rsidRPr="00E02599">
        <w:rPr>
          <w:rFonts w:ascii="Segoe UI" w:hAnsi="Segoe UI" w:cs="Segoe UI"/>
          <w:sz w:val="24"/>
          <w:szCs w:val="26"/>
        </w:rPr>
        <w:t xml:space="preserve">la revalorisation à 1,5 </w:t>
      </w:r>
      <w:r w:rsidR="008E69F4" w:rsidRPr="00E02599">
        <w:rPr>
          <w:rFonts w:ascii="Segoe UI" w:hAnsi="Segoe UI" w:cs="Segoe UI"/>
          <w:sz w:val="24"/>
          <w:szCs w:val="26"/>
        </w:rPr>
        <w:t xml:space="preserve">point </w:t>
      </w:r>
      <w:r w:rsidR="00D31C4D" w:rsidRPr="00E02599">
        <w:rPr>
          <w:rFonts w:ascii="Segoe UI" w:hAnsi="Segoe UI" w:cs="Segoe UI"/>
          <w:sz w:val="24"/>
          <w:szCs w:val="26"/>
        </w:rPr>
        <w:t>de la pension des en</w:t>
      </w:r>
      <w:r w:rsidR="00BF7B0C" w:rsidRPr="00E02599">
        <w:rPr>
          <w:rFonts w:ascii="Segoe UI" w:hAnsi="Segoe UI" w:cs="Segoe UI"/>
          <w:sz w:val="24"/>
          <w:szCs w:val="26"/>
        </w:rPr>
        <w:t>seignants</w:t>
      </w:r>
      <w:r w:rsidR="008E69F4" w:rsidRPr="00E02599">
        <w:rPr>
          <w:rFonts w:ascii="Segoe UI" w:hAnsi="Segoe UI" w:cs="Segoe UI"/>
          <w:sz w:val="24"/>
          <w:szCs w:val="26"/>
        </w:rPr>
        <w:t xml:space="preserve"> et </w:t>
      </w:r>
      <w:r w:rsidR="009D5458" w:rsidRPr="00E02599">
        <w:rPr>
          <w:rFonts w:ascii="Segoe UI" w:hAnsi="Segoe UI" w:cs="Segoe UI"/>
          <w:sz w:val="24"/>
          <w:szCs w:val="26"/>
        </w:rPr>
        <w:t>(ii)</w:t>
      </w:r>
      <w:r w:rsidR="003D0E9E" w:rsidRPr="00E02599">
        <w:rPr>
          <w:rFonts w:ascii="Segoe UI" w:hAnsi="Segoe UI" w:cs="Segoe UI"/>
          <w:sz w:val="24"/>
          <w:szCs w:val="26"/>
        </w:rPr>
        <w:t xml:space="preserve"> </w:t>
      </w:r>
      <w:r w:rsidR="00D31C4D" w:rsidRPr="00E02599">
        <w:rPr>
          <w:rFonts w:ascii="Segoe UI" w:hAnsi="Segoe UI" w:cs="Segoe UI"/>
          <w:sz w:val="24"/>
          <w:szCs w:val="26"/>
        </w:rPr>
        <w:t xml:space="preserve">la </w:t>
      </w:r>
      <w:r w:rsidR="008E69F4" w:rsidRPr="00E02599">
        <w:rPr>
          <w:rFonts w:ascii="Segoe UI" w:hAnsi="Segoe UI" w:cs="Segoe UI"/>
          <w:sz w:val="24"/>
          <w:szCs w:val="26"/>
        </w:rPr>
        <w:t xml:space="preserve">poursuite de la </w:t>
      </w:r>
      <w:r w:rsidR="00D31C4D" w:rsidRPr="00E02599">
        <w:rPr>
          <w:rFonts w:ascii="Segoe UI" w:hAnsi="Segoe UI" w:cs="Segoe UI"/>
          <w:sz w:val="24"/>
          <w:szCs w:val="26"/>
        </w:rPr>
        <w:t>mise</w:t>
      </w:r>
      <w:r w:rsidR="00BF7B0C" w:rsidRPr="00E02599">
        <w:rPr>
          <w:rFonts w:ascii="Segoe UI" w:hAnsi="Segoe UI" w:cs="Segoe UI"/>
          <w:sz w:val="24"/>
          <w:szCs w:val="26"/>
        </w:rPr>
        <w:t xml:space="preserve"> en œuvre du décret n°2011-505 du 05 août 2011 portant institution du coefficient (1,</w:t>
      </w:r>
      <w:r w:rsidR="00AC186D" w:rsidRPr="00E02599">
        <w:rPr>
          <w:rFonts w:ascii="Segoe UI" w:hAnsi="Segoe UI" w:cs="Segoe UI"/>
          <w:sz w:val="24"/>
          <w:szCs w:val="26"/>
        </w:rPr>
        <w:t>2</w:t>
      </w:r>
      <w:r w:rsidR="00BF7B0C" w:rsidRPr="00E02599">
        <w:rPr>
          <w:rFonts w:ascii="Segoe UI" w:hAnsi="Segoe UI" w:cs="Segoe UI"/>
          <w:sz w:val="24"/>
          <w:szCs w:val="26"/>
        </w:rPr>
        <w:t>5) de revalorisation des indices de traitement des agents de l’Etat.</w:t>
      </w:r>
      <w:r w:rsidR="00A612D6" w:rsidRPr="00215B3D">
        <w:rPr>
          <w:rFonts w:ascii="Segoe UI" w:hAnsi="Segoe UI" w:cs="Segoe UI"/>
          <w:sz w:val="24"/>
          <w:szCs w:val="26"/>
        </w:rPr>
        <w:t xml:space="preserve"> </w:t>
      </w:r>
    </w:p>
    <w:p w:rsidR="006316FD" w:rsidRPr="00215B3D" w:rsidRDefault="0074747B" w:rsidP="007006F0">
      <w:pPr>
        <w:spacing w:after="0"/>
        <w:rPr>
          <w:rFonts w:ascii="Segoe UI" w:hAnsi="Segoe UI" w:cs="Segoe UI"/>
          <w:b/>
          <w:sz w:val="26"/>
          <w:szCs w:val="26"/>
        </w:rPr>
      </w:pPr>
      <w:r w:rsidRPr="00215B3D">
        <w:rPr>
          <w:rFonts w:ascii="Segoe UI" w:hAnsi="Segoe UI" w:cs="Segoe UI"/>
          <w:b/>
          <w:sz w:val="26"/>
          <w:szCs w:val="26"/>
        </w:rPr>
        <w:t>B-2-2</w:t>
      </w:r>
      <w:r w:rsidR="00003AA3">
        <w:rPr>
          <w:rFonts w:ascii="Segoe UI" w:hAnsi="Segoe UI" w:cs="Segoe UI"/>
          <w:b/>
          <w:sz w:val="26"/>
          <w:szCs w:val="26"/>
        </w:rPr>
        <w:t>-</w:t>
      </w:r>
      <w:r w:rsidR="00D9546B" w:rsidRPr="00215B3D">
        <w:rPr>
          <w:rFonts w:ascii="Segoe UI" w:hAnsi="Segoe UI" w:cs="Segoe UI"/>
          <w:b/>
          <w:sz w:val="26"/>
          <w:szCs w:val="26"/>
        </w:rPr>
        <w:t xml:space="preserve"> </w:t>
      </w:r>
      <w:r w:rsidRPr="00215B3D">
        <w:rPr>
          <w:rFonts w:ascii="Segoe UI" w:hAnsi="Segoe UI" w:cs="Segoe UI"/>
          <w:b/>
          <w:sz w:val="26"/>
          <w:szCs w:val="26"/>
        </w:rPr>
        <w:t>D</w:t>
      </w:r>
      <w:r w:rsidR="002A5304" w:rsidRPr="00215B3D">
        <w:rPr>
          <w:rFonts w:ascii="Segoe UI" w:hAnsi="Segoe UI" w:cs="Segoe UI"/>
          <w:b/>
          <w:sz w:val="26"/>
          <w:szCs w:val="26"/>
        </w:rPr>
        <w:t>épenses de fonctionnement de la Caisse Autonome d’Amortissement (CAA)</w:t>
      </w:r>
    </w:p>
    <w:p w:rsidR="009D753E" w:rsidRPr="00215B3D" w:rsidRDefault="009D753E" w:rsidP="007006F0">
      <w:pPr>
        <w:spacing w:after="0"/>
        <w:rPr>
          <w:rFonts w:ascii="Segoe UI" w:hAnsi="Segoe UI" w:cs="Segoe UI"/>
          <w:b/>
          <w:sz w:val="16"/>
          <w:szCs w:val="26"/>
        </w:rPr>
      </w:pPr>
    </w:p>
    <w:p w:rsidR="006B36EE" w:rsidRDefault="001E2552" w:rsidP="006B36EE">
      <w:pPr>
        <w:tabs>
          <w:tab w:val="left" w:pos="426"/>
        </w:tabs>
        <w:spacing w:after="0" w:line="360" w:lineRule="auto"/>
        <w:jc w:val="both"/>
        <w:rPr>
          <w:rFonts w:ascii="Segoe UI" w:hAnsi="Segoe UI" w:cs="Segoe UI"/>
          <w:sz w:val="24"/>
          <w:szCs w:val="26"/>
        </w:rPr>
      </w:pPr>
      <w:r w:rsidRPr="00215B3D">
        <w:rPr>
          <w:rFonts w:ascii="Segoe UI" w:hAnsi="Segoe UI" w:cs="Segoe UI"/>
          <w:sz w:val="24"/>
          <w:szCs w:val="26"/>
        </w:rPr>
        <w:t>L</w:t>
      </w:r>
      <w:r w:rsidR="00B34973" w:rsidRPr="00215B3D">
        <w:rPr>
          <w:rFonts w:ascii="Segoe UI" w:hAnsi="Segoe UI" w:cs="Segoe UI"/>
          <w:sz w:val="24"/>
          <w:szCs w:val="26"/>
        </w:rPr>
        <w:t>es dépenses de fonctionnement</w:t>
      </w:r>
      <w:r w:rsidRPr="00215B3D">
        <w:rPr>
          <w:rFonts w:ascii="Segoe UI" w:hAnsi="Segoe UI" w:cs="Segoe UI"/>
          <w:sz w:val="24"/>
          <w:szCs w:val="26"/>
        </w:rPr>
        <w:t xml:space="preserve"> de la CAA ont</w:t>
      </w:r>
      <w:r w:rsidR="00D9546B" w:rsidRPr="00215B3D">
        <w:rPr>
          <w:rFonts w:ascii="Segoe UI" w:hAnsi="Segoe UI" w:cs="Segoe UI"/>
          <w:sz w:val="24"/>
          <w:szCs w:val="26"/>
        </w:rPr>
        <w:t xml:space="preserve"> </w:t>
      </w:r>
      <w:r w:rsidRPr="00215B3D">
        <w:rPr>
          <w:rFonts w:ascii="Segoe UI" w:hAnsi="Segoe UI" w:cs="Segoe UI"/>
          <w:sz w:val="24"/>
          <w:szCs w:val="26"/>
        </w:rPr>
        <w:t>connu</w:t>
      </w:r>
      <w:r w:rsidR="00C50FD0" w:rsidRPr="00215B3D">
        <w:rPr>
          <w:rFonts w:ascii="Segoe UI" w:hAnsi="Segoe UI" w:cs="Segoe UI"/>
          <w:sz w:val="24"/>
          <w:szCs w:val="26"/>
        </w:rPr>
        <w:t xml:space="preserve"> au 3</w:t>
      </w:r>
      <w:r w:rsidR="0098472A" w:rsidRPr="00215B3D">
        <w:rPr>
          <w:rFonts w:ascii="Segoe UI" w:hAnsi="Segoe UI" w:cs="Segoe UI"/>
          <w:sz w:val="24"/>
          <w:szCs w:val="26"/>
        </w:rPr>
        <w:t>0 juin 2017</w:t>
      </w:r>
      <w:r w:rsidR="00D9546B" w:rsidRPr="00215B3D">
        <w:rPr>
          <w:rFonts w:ascii="Segoe UI" w:hAnsi="Segoe UI" w:cs="Segoe UI"/>
          <w:sz w:val="24"/>
          <w:szCs w:val="26"/>
        </w:rPr>
        <w:t xml:space="preserve"> </w:t>
      </w:r>
      <w:r w:rsidR="00B34973" w:rsidRPr="00215B3D">
        <w:rPr>
          <w:rFonts w:ascii="Segoe UI" w:hAnsi="Segoe UI" w:cs="Segoe UI"/>
          <w:sz w:val="24"/>
          <w:szCs w:val="26"/>
        </w:rPr>
        <w:t>un taux d</w:t>
      </w:r>
      <w:r w:rsidRPr="00215B3D">
        <w:rPr>
          <w:rFonts w:ascii="Segoe UI" w:hAnsi="Segoe UI" w:cs="Segoe UI"/>
          <w:sz w:val="24"/>
          <w:szCs w:val="26"/>
        </w:rPr>
        <w:t>’engag</w:t>
      </w:r>
      <w:r w:rsidR="00B34973" w:rsidRPr="00215B3D">
        <w:rPr>
          <w:rFonts w:ascii="Segoe UI" w:hAnsi="Segoe UI" w:cs="Segoe UI"/>
          <w:sz w:val="24"/>
          <w:szCs w:val="26"/>
        </w:rPr>
        <w:t>e</w:t>
      </w:r>
      <w:r w:rsidRPr="00215B3D">
        <w:rPr>
          <w:rFonts w:ascii="Segoe UI" w:hAnsi="Segoe UI" w:cs="Segoe UI"/>
          <w:sz w:val="24"/>
          <w:szCs w:val="26"/>
        </w:rPr>
        <w:t>ment de</w:t>
      </w:r>
      <w:r w:rsidR="00D9546B" w:rsidRPr="00215B3D">
        <w:rPr>
          <w:rFonts w:ascii="Segoe UI" w:hAnsi="Segoe UI" w:cs="Segoe UI"/>
          <w:sz w:val="24"/>
          <w:szCs w:val="26"/>
        </w:rPr>
        <w:t xml:space="preserve"> </w:t>
      </w:r>
      <w:r w:rsidR="0098472A" w:rsidRPr="00215B3D">
        <w:rPr>
          <w:rFonts w:ascii="Segoe UI" w:hAnsi="Segoe UI" w:cs="Segoe UI"/>
          <w:b/>
          <w:sz w:val="24"/>
          <w:szCs w:val="26"/>
        </w:rPr>
        <w:t>42,0</w:t>
      </w:r>
      <w:r w:rsidR="00B34973" w:rsidRPr="00215B3D">
        <w:rPr>
          <w:rFonts w:ascii="Segoe UI" w:hAnsi="Segoe UI" w:cs="Segoe UI"/>
          <w:b/>
          <w:sz w:val="24"/>
          <w:szCs w:val="26"/>
        </w:rPr>
        <w:t>%</w:t>
      </w:r>
      <w:r w:rsidR="00B34973" w:rsidRPr="00215B3D">
        <w:rPr>
          <w:rFonts w:ascii="Segoe UI" w:hAnsi="Segoe UI" w:cs="Segoe UI"/>
          <w:sz w:val="24"/>
          <w:szCs w:val="26"/>
        </w:rPr>
        <w:t xml:space="preserve"> </w:t>
      </w:r>
      <w:r w:rsidR="00F75B4B" w:rsidRPr="00215B3D">
        <w:rPr>
          <w:rFonts w:ascii="Segoe UI" w:hAnsi="Segoe UI" w:cs="Segoe UI"/>
          <w:sz w:val="24"/>
          <w:szCs w:val="26"/>
        </w:rPr>
        <w:t>correspondant à</w:t>
      </w:r>
      <w:r w:rsidR="00D9546B" w:rsidRPr="00215B3D">
        <w:rPr>
          <w:rFonts w:ascii="Segoe UI" w:hAnsi="Segoe UI" w:cs="Segoe UI"/>
          <w:sz w:val="24"/>
          <w:szCs w:val="26"/>
        </w:rPr>
        <w:t xml:space="preserve"> </w:t>
      </w:r>
      <w:r w:rsidR="0098472A" w:rsidRPr="00215B3D">
        <w:rPr>
          <w:rFonts w:ascii="Segoe UI" w:hAnsi="Segoe UI" w:cs="Segoe UI"/>
          <w:b/>
          <w:sz w:val="24"/>
          <w:szCs w:val="26"/>
        </w:rPr>
        <w:t>928,4</w:t>
      </w:r>
      <w:r w:rsidR="00AB7F9E" w:rsidRPr="00215B3D">
        <w:rPr>
          <w:rFonts w:ascii="Segoe UI" w:hAnsi="Segoe UI" w:cs="Segoe UI"/>
          <w:b/>
          <w:sz w:val="24"/>
          <w:szCs w:val="26"/>
        </w:rPr>
        <w:t xml:space="preserve"> </w:t>
      </w:r>
      <w:r w:rsidR="00B34973" w:rsidRPr="00215B3D">
        <w:rPr>
          <w:rFonts w:ascii="Segoe UI" w:hAnsi="Segoe UI" w:cs="Segoe UI"/>
          <w:b/>
          <w:sz w:val="24"/>
          <w:szCs w:val="26"/>
        </w:rPr>
        <w:t>millions de FCFA</w:t>
      </w:r>
      <w:r w:rsidR="00B34973" w:rsidRPr="00215B3D">
        <w:rPr>
          <w:rFonts w:ascii="Segoe UI" w:hAnsi="Segoe UI" w:cs="Segoe UI"/>
          <w:sz w:val="24"/>
          <w:szCs w:val="26"/>
        </w:rPr>
        <w:t xml:space="preserve"> sur </w:t>
      </w:r>
      <w:r w:rsidR="00F75B4B" w:rsidRPr="00215B3D">
        <w:rPr>
          <w:rFonts w:ascii="Segoe UI" w:hAnsi="Segoe UI" w:cs="Segoe UI"/>
          <w:sz w:val="24"/>
          <w:szCs w:val="26"/>
        </w:rPr>
        <w:t>une prévision</w:t>
      </w:r>
      <w:r w:rsidR="00513D4D" w:rsidRPr="00215B3D">
        <w:rPr>
          <w:rFonts w:ascii="Segoe UI" w:hAnsi="Segoe UI" w:cs="Segoe UI"/>
          <w:sz w:val="24"/>
          <w:szCs w:val="26"/>
        </w:rPr>
        <w:t xml:space="preserve"> </w:t>
      </w:r>
      <w:r w:rsidR="00513F06" w:rsidRPr="00215B3D">
        <w:rPr>
          <w:rFonts w:ascii="Segoe UI" w:hAnsi="Segoe UI" w:cs="Segoe UI"/>
          <w:sz w:val="24"/>
          <w:szCs w:val="26"/>
        </w:rPr>
        <w:t xml:space="preserve">annuelle </w:t>
      </w:r>
      <w:r w:rsidR="00F75B4B" w:rsidRPr="00215B3D">
        <w:rPr>
          <w:rFonts w:ascii="Segoe UI" w:hAnsi="Segoe UI" w:cs="Segoe UI"/>
          <w:sz w:val="24"/>
          <w:szCs w:val="26"/>
        </w:rPr>
        <w:t xml:space="preserve">de </w:t>
      </w:r>
      <w:r w:rsidR="0098472A" w:rsidRPr="00215B3D">
        <w:rPr>
          <w:rFonts w:ascii="Segoe UI" w:hAnsi="Segoe UI" w:cs="Segoe UI"/>
          <w:sz w:val="24"/>
          <w:szCs w:val="26"/>
        </w:rPr>
        <w:t>2 208</w:t>
      </w:r>
      <w:r w:rsidR="00B34973" w:rsidRPr="00215B3D">
        <w:rPr>
          <w:rFonts w:ascii="Segoe UI" w:hAnsi="Segoe UI" w:cs="Segoe UI"/>
          <w:sz w:val="24"/>
          <w:szCs w:val="26"/>
        </w:rPr>
        <w:t xml:space="preserve"> millions de FCFA. Ce niveau d’exécution</w:t>
      </w:r>
      <w:r w:rsidR="00AB7F9E" w:rsidRPr="00215B3D">
        <w:rPr>
          <w:rFonts w:ascii="Segoe UI" w:hAnsi="Segoe UI" w:cs="Segoe UI"/>
          <w:sz w:val="24"/>
          <w:szCs w:val="26"/>
        </w:rPr>
        <w:t>,</w:t>
      </w:r>
      <w:r w:rsidR="00B34973" w:rsidRPr="00215B3D">
        <w:rPr>
          <w:rFonts w:ascii="Segoe UI" w:hAnsi="Segoe UI" w:cs="Segoe UI"/>
          <w:sz w:val="24"/>
          <w:szCs w:val="26"/>
        </w:rPr>
        <w:t xml:space="preserve"> comparé à celui de </w:t>
      </w:r>
      <w:r w:rsidR="00C50FD0" w:rsidRPr="00215B3D">
        <w:rPr>
          <w:rFonts w:ascii="Segoe UI" w:hAnsi="Segoe UI" w:cs="Segoe UI"/>
          <w:sz w:val="24"/>
          <w:szCs w:val="26"/>
        </w:rPr>
        <w:t xml:space="preserve">fin </w:t>
      </w:r>
      <w:r w:rsidR="0098472A" w:rsidRPr="00215B3D">
        <w:rPr>
          <w:rFonts w:ascii="Segoe UI" w:hAnsi="Segoe UI" w:cs="Segoe UI"/>
          <w:sz w:val="24"/>
          <w:szCs w:val="26"/>
        </w:rPr>
        <w:t>juin</w:t>
      </w:r>
      <w:r w:rsidR="00D9546B" w:rsidRPr="00215B3D">
        <w:rPr>
          <w:rFonts w:ascii="Segoe UI" w:hAnsi="Segoe UI" w:cs="Segoe UI"/>
          <w:sz w:val="24"/>
          <w:szCs w:val="26"/>
        </w:rPr>
        <w:t xml:space="preserve"> </w:t>
      </w:r>
      <w:r w:rsidR="00B34973" w:rsidRPr="00215B3D">
        <w:rPr>
          <w:rFonts w:ascii="Segoe UI" w:hAnsi="Segoe UI" w:cs="Segoe UI"/>
          <w:sz w:val="24"/>
          <w:szCs w:val="26"/>
        </w:rPr>
        <w:lastRenderedPageBreak/>
        <w:t>201</w:t>
      </w:r>
      <w:r w:rsidR="0098472A" w:rsidRPr="00215B3D">
        <w:rPr>
          <w:rFonts w:ascii="Segoe UI" w:hAnsi="Segoe UI" w:cs="Segoe UI"/>
          <w:sz w:val="24"/>
          <w:szCs w:val="26"/>
        </w:rPr>
        <w:t>6</w:t>
      </w:r>
      <w:r w:rsidR="00AB7F9E" w:rsidRPr="00215B3D">
        <w:rPr>
          <w:rFonts w:ascii="Segoe UI" w:hAnsi="Segoe UI" w:cs="Segoe UI"/>
          <w:sz w:val="24"/>
          <w:szCs w:val="26"/>
        </w:rPr>
        <w:t>,</w:t>
      </w:r>
      <w:r w:rsidR="00D9546B" w:rsidRPr="00215B3D">
        <w:rPr>
          <w:rFonts w:ascii="Segoe UI" w:hAnsi="Segoe UI" w:cs="Segoe UI"/>
          <w:sz w:val="24"/>
          <w:szCs w:val="26"/>
        </w:rPr>
        <w:t xml:space="preserve"> </w:t>
      </w:r>
      <w:r w:rsidR="00F75B4B" w:rsidRPr="00215B3D">
        <w:rPr>
          <w:rFonts w:ascii="Segoe UI" w:hAnsi="Segoe UI" w:cs="Segoe UI"/>
          <w:sz w:val="24"/>
          <w:szCs w:val="26"/>
        </w:rPr>
        <w:t>révèle</w:t>
      </w:r>
      <w:r w:rsidR="00B34973" w:rsidRPr="00215B3D">
        <w:rPr>
          <w:rFonts w:ascii="Segoe UI" w:hAnsi="Segoe UI" w:cs="Segoe UI"/>
          <w:sz w:val="24"/>
          <w:szCs w:val="26"/>
        </w:rPr>
        <w:t xml:space="preserve"> un écart </w:t>
      </w:r>
      <w:r w:rsidR="004B6898" w:rsidRPr="00215B3D">
        <w:rPr>
          <w:rFonts w:ascii="Segoe UI" w:hAnsi="Segoe UI" w:cs="Segoe UI"/>
          <w:sz w:val="24"/>
          <w:szCs w:val="26"/>
        </w:rPr>
        <w:t>posi</w:t>
      </w:r>
      <w:r w:rsidR="00513D4D" w:rsidRPr="00215B3D">
        <w:rPr>
          <w:rFonts w:ascii="Segoe UI" w:hAnsi="Segoe UI" w:cs="Segoe UI"/>
          <w:sz w:val="24"/>
          <w:szCs w:val="26"/>
        </w:rPr>
        <w:t>t</w:t>
      </w:r>
      <w:r w:rsidR="00C50FD0" w:rsidRPr="00215B3D">
        <w:rPr>
          <w:rFonts w:ascii="Segoe UI" w:hAnsi="Segoe UI" w:cs="Segoe UI"/>
          <w:sz w:val="24"/>
          <w:szCs w:val="26"/>
        </w:rPr>
        <w:t>if</w:t>
      </w:r>
      <w:r w:rsidR="00B34973" w:rsidRPr="00215B3D">
        <w:rPr>
          <w:rFonts w:ascii="Segoe UI" w:hAnsi="Segoe UI" w:cs="Segoe UI"/>
          <w:sz w:val="24"/>
          <w:szCs w:val="26"/>
        </w:rPr>
        <w:t xml:space="preserve"> de </w:t>
      </w:r>
      <w:r w:rsidR="0098472A" w:rsidRPr="00215B3D">
        <w:rPr>
          <w:rFonts w:ascii="Segoe UI" w:hAnsi="Segoe UI" w:cs="Segoe UI"/>
          <w:sz w:val="24"/>
          <w:szCs w:val="26"/>
        </w:rPr>
        <w:t>179,4</w:t>
      </w:r>
      <w:r w:rsidR="00D9546B" w:rsidRPr="00215B3D">
        <w:rPr>
          <w:rFonts w:ascii="Segoe UI" w:hAnsi="Segoe UI" w:cs="Segoe UI"/>
          <w:sz w:val="24"/>
          <w:szCs w:val="26"/>
        </w:rPr>
        <w:t xml:space="preserve"> </w:t>
      </w:r>
      <w:r w:rsidR="00B34973" w:rsidRPr="00215B3D">
        <w:rPr>
          <w:rFonts w:ascii="Segoe UI" w:hAnsi="Segoe UI" w:cs="Segoe UI"/>
          <w:sz w:val="24"/>
          <w:szCs w:val="26"/>
        </w:rPr>
        <w:t xml:space="preserve">millions de FCFA </w:t>
      </w:r>
      <w:r w:rsidR="00F75B4B" w:rsidRPr="00215B3D">
        <w:rPr>
          <w:rFonts w:ascii="Segoe UI" w:hAnsi="Segoe UI" w:cs="Segoe UI"/>
          <w:sz w:val="24"/>
          <w:szCs w:val="26"/>
        </w:rPr>
        <w:t xml:space="preserve">et </w:t>
      </w:r>
      <w:r w:rsidRPr="00215B3D">
        <w:rPr>
          <w:rFonts w:ascii="Segoe UI" w:hAnsi="Segoe UI" w:cs="Segoe UI"/>
          <w:sz w:val="24"/>
          <w:szCs w:val="26"/>
        </w:rPr>
        <w:t>un taux d</w:t>
      </w:r>
      <w:r w:rsidR="00180D74" w:rsidRPr="00215B3D">
        <w:rPr>
          <w:rFonts w:ascii="Segoe UI" w:hAnsi="Segoe UI" w:cs="Segoe UI"/>
          <w:sz w:val="24"/>
          <w:szCs w:val="26"/>
        </w:rPr>
        <w:t xml:space="preserve">e </w:t>
      </w:r>
      <w:r w:rsidR="00AB7F9E" w:rsidRPr="00215B3D">
        <w:rPr>
          <w:rFonts w:ascii="Segoe UI" w:hAnsi="Segoe UI" w:cs="Segoe UI"/>
          <w:sz w:val="24"/>
          <w:szCs w:val="26"/>
        </w:rPr>
        <w:t>d’accroissement</w:t>
      </w:r>
      <w:r w:rsidRPr="00215B3D">
        <w:rPr>
          <w:rFonts w:ascii="Segoe UI" w:hAnsi="Segoe UI" w:cs="Segoe UI"/>
          <w:sz w:val="24"/>
          <w:szCs w:val="26"/>
        </w:rPr>
        <w:t xml:space="preserve"> de </w:t>
      </w:r>
      <w:r w:rsidR="0098472A" w:rsidRPr="00215B3D">
        <w:rPr>
          <w:rFonts w:ascii="Segoe UI" w:hAnsi="Segoe UI" w:cs="Segoe UI"/>
          <w:sz w:val="24"/>
          <w:szCs w:val="26"/>
        </w:rPr>
        <w:t>23,9</w:t>
      </w:r>
      <w:r w:rsidRPr="00215B3D">
        <w:rPr>
          <w:rFonts w:ascii="Segoe UI" w:hAnsi="Segoe UI" w:cs="Segoe UI"/>
          <w:sz w:val="24"/>
          <w:szCs w:val="26"/>
        </w:rPr>
        <w:t>%</w:t>
      </w:r>
      <w:r w:rsidR="00B34973" w:rsidRPr="00215B3D">
        <w:rPr>
          <w:rFonts w:ascii="Segoe UI" w:hAnsi="Segoe UI" w:cs="Segoe UI"/>
          <w:sz w:val="24"/>
          <w:szCs w:val="26"/>
        </w:rPr>
        <w:t xml:space="preserve">. </w:t>
      </w:r>
    </w:p>
    <w:p w:rsidR="006316FD" w:rsidRPr="006B36EE" w:rsidRDefault="0074747B" w:rsidP="006B36EE">
      <w:pPr>
        <w:tabs>
          <w:tab w:val="left" w:pos="426"/>
        </w:tabs>
        <w:spacing w:after="0" w:line="360" w:lineRule="auto"/>
        <w:jc w:val="both"/>
        <w:rPr>
          <w:rFonts w:ascii="Segoe UI" w:hAnsi="Segoe UI" w:cs="Segoe UI"/>
          <w:sz w:val="24"/>
          <w:szCs w:val="26"/>
        </w:rPr>
      </w:pPr>
      <w:r w:rsidRPr="00215B3D">
        <w:rPr>
          <w:rFonts w:ascii="Segoe UI" w:hAnsi="Segoe UI" w:cs="Segoe UI"/>
          <w:b/>
          <w:sz w:val="26"/>
          <w:szCs w:val="26"/>
        </w:rPr>
        <w:t>B-2-3</w:t>
      </w:r>
      <w:r w:rsidR="00D9546B" w:rsidRPr="00215B3D">
        <w:rPr>
          <w:rFonts w:ascii="Segoe UI" w:hAnsi="Segoe UI" w:cs="Segoe UI"/>
          <w:b/>
          <w:sz w:val="26"/>
          <w:szCs w:val="26"/>
        </w:rPr>
        <w:t xml:space="preserve"> </w:t>
      </w:r>
      <w:r w:rsidRPr="00215B3D">
        <w:rPr>
          <w:rFonts w:ascii="Segoe UI" w:hAnsi="Segoe UI" w:cs="Segoe UI"/>
          <w:b/>
          <w:sz w:val="26"/>
          <w:szCs w:val="26"/>
        </w:rPr>
        <w:t>Concours financier de l’Etat au fonctionnement</w:t>
      </w:r>
      <w:r w:rsidR="002A5304" w:rsidRPr="00215B3D">
        <w:rPr>
          <w:rFonts w:ascii="Segoe UI" w:hAnsi="Segoe UI" w:cs="Segoe UI"/>
          <w:b/>
          <w:sz w:val="26"/>
          <w:szCs w:val="26"/>
        </w:rPr>
        <w:t xml:space="preserve"> du Fonds Routier (FR)</w:t>
      </w:r>
    </w:p>
    <w:p w:rsidR="00CC7849" w:rsidRPr="001F75E1" w:rsidRDefault="00CC7849" w:rsidP="009A3164">
      <w:pPr>
        <w:spacing w:after="0"/>
        <w:rPr>
          <w:rFonts w:ascii="Segoe UI" w:hAnsi="Segoe UI" w:cs="Segoe UI"/>
          <w:b/>
          <w:sz w:val="2"/>
          <w:szCs w:val="26"/>
        </w:rPr>
      </w:pPr>
    </w:p>
    <w:p w:rsidR="0096271E" w:rsidRDefault="00A04DD8" w:rsidP="000C178C">
      <w:pPr>
        <w:tabs>
          <w:tab w:val="left" w:pos="426"/>
        </w:tabs>
        <w:spacing w:after="0" w:line="360" w:lineRule="auto"/>
        <w:jc w:val="both"/>
        <w:rPr>
          <w:rFonts w:ascii="Segoe UI" w:hAnsi="Segoe UI" w:cs="Segoe UI"/>
          <w:sz w:val="24"/>
          <w:szCs w:val="26"/>
        </w:rPr>
      </w:pPr>
      <w:r w:rsidRPr="00215B3D">
        <w:rPr>
          <w:rFonts w:ascii="Segoe UI" w:hAnsi="Segoe UI" w:cs="Segoe UI"/>
          <w:sz w:val="24"/>
          <w:szCs w:val="26"/>
        </w:rPr>
        <w:t xml:space="preserve">Le Fonds Routier a engagé </w:t>
      </w:r>
      <w:r w:rsidR="00F75B4B" w:rsidRPr="00215B3D">
        <w:rPr>
          <w:rFonts w:ascii="Segoe UI" w:hAnsi="Segoe UI" w:cs="Segoe UI"/>
          <w:sz w:val="24"/>
          <w:szCs w:val="26"/>
        </w:rPr>
        <w:t xml:space="preserve">les crédits </w:t>
      </w:r>
      <w:r w:rsidR="005D4A19" w:rsidRPr="00215B3D">
        <w:rPr>
          <w:rFonts w:ascii="Segoe UI" w:hAnsi="Segoe UI" w:cs="Segoe UI"/>
          <w:sz w:val="24"/>
          <w:szCs w:val="26"/>
        </w:rPr>
        <w:t xml:space="preserve">budgétaires </w:t>
      </w:r>
      <w:r w:rsidR="00FC6187" w:rsidRPr="00215B3D">
        <w:rPr>
          <w:rFonts w:ascii="Segoe UI" w:hAnsi="Segoe UI" w:cs="Segoe UI"/>
          <w:sz w:val="24"/>
          <w:szCs w:val="26"/>
        </w:rPr>
        <w:t xml:space="preserve">à fin </w:t>
      </w:r>
      <w:r w:rsidR="001078C5" w:rsidRPr="00215B3D">
        <w:rPr>
          <w:rFonts w:ascii="Segoe UI" w:hAnsi="Segoe UI" w:cs="Segoe UI"/>
          <w:sz w:val="24"/>
          <w:szCs w:val="26"/>
        </w:rPr>
        <w:t>juin</w:t>
      </w:r>
      <w:r w:rsidR="00F75B4B" w:rsidRPr="00215B3D">
        <w:rPr>
          <w:rFonts w:ascii="Segoe UI" w:hAnsi="Segoe UI" w:cs="Segoe UI"/>
          <w:sz w:val="24"/>
          <w:szCs w:val="26"/>
        </w:rPr>
        <w:t xml:space="preserve"> de l’année 201</w:t>
      </w:r>
      <w:r w:rsidR="001078C5" w:rsidRPr="00215B3D">
        <w:rPr>
          <w:rFonts w:ascii="Segoe UI" w:hAnsi="Segoe UI" w:cs="Segoe UI"/>
          <w:sz w:val="24"/>
          <w:szCs w:val="26"/>
        </w:rPr>
        <w:t>7</w:t>
      </w:r>
      <w:r w:rsidR="00F75B4B" w:rsidRPr="00215B3D">
        <w:rPr>
          <w:rFonts w:ascii="Segoe UI" w:hAnsi="Segoe UI" w:cs="Segoe UI"/>
          <w:sz w:val="24"/>
          <w:szCs w:val="26"/>
        </w:rPr>
        <w:t xml:space="preserve"> à concurrence de </w:t>
      </w:r>
      <w:r w:rsidR="001078C5" w:rsidRPr="00F54090">
        <w:rPr>
          <w:rFonts w:ascii="Segoe UI" w:hAnsi="Segoe UI" w:cs="Segoe UI"/>
          <w:b/>
          <w:sz w:val="24"/>
          <w:szCs w:val="26"/>
        </w:rPr>
        <w:t>4 4</w:t>
      </w:r>
      <w:r w:rsidR="001078C5" w:rsidRPr="00215B3D">
        <w:rPr>
          <w:rFonts w:ascii="Segoe UI" w:hAnsi="Segoe UI" w:cs="Segoe UI"/>
          <w:b/>
          <w:sz w:val="24"/>
          <w:szCs w:val="26"/>
        </w:rPr>
        <w:t>05,1</w:t>
      </w:r>
      <w:r w:rsidR="00D9546B" w:rsidRPr="00215B3D">
        <w:rPr>
          <w:rFonts w:ascii="Segoe UI" w:hAnsi="Segoe UI" w:cs="Segoe UI"/>
          <w:b/>
          <w:sz w:val="24"/>
          <w:szCs w:val="26"/>
        </w:rPr>
        <w:t xml:space="preserve"> </w:t>
      </w:r>
      <w:r w:rsidRPr="00215B3D">
        <w:rPr>
          <w:rFonts w:ascii="Segoe UI" w:hAnsi="Segoe UI" w:cs="Segoe UI"/>
          <w:b/>
          <w:sz w:val="24"/>
          <w:szCs w:val="26"/>
        </w:rPr>
        <w:t>millions de FCFA</w:t>
      </w:r>
      <w:r w:rsidRPr="00215B3D">
        <w:rPr>
          <w:rFonts w:ascii="Segoe UI" w:hAnsi="Segoe UI" w:cs="Segoe UI"/>
          <w:sz w:val="24"/>
          <w:szCs w:val="26"/>
        </w:rPr>
        <w:t xml:space="preserve"> </w:t>
      </w:r>
      <w:r w:rsidR="00513D4D" w:rsidRPr="00215B3D">
        <w:rPr>
          <w:rFonts w:ascii="Segoe UI" w:hAnsi="Segoe UI" w:cs="Segoe UI"/>
          <w:sz w:val="24"/>
          <w:szCs w:val="26"/>
        </w:rPr>
        <w:t xml:space="preserve">sur une prévision annuelle de </w:t>
      </w:r>
      <w:r w:rsidR="001078C5" w:rsidRPr="00215B3D">
        <w:rPr>
          <w:rFonts w:ascii="Segoe UI" w:hAnsi="Segoe UI" w:cs="Segoe UI"/>
          <w:sz w:val="24"/>
          <w:szCs w:val="26"/>
        </w:rPr>
        <w:t>6 000</w:t>
      </w:r>
      <w:r w:rsidR="00513D4D" w:rsidRPr="00215B3D">
        <w:rPr>
          <w:rFonts w:ascii="Segoe UI" w:hAnsi="Segoe UI" w:cs="Segoe UI"/>
          <w:sz w:val="24"/>
          <w:szCs w:val="26"/>
        </w:rPr>
        <w:t xml:space="preserve"> millions de FCFA </w:t>
      </w:r>
      <w:r w:rsidRPr="00215B3D">
        <w:rPr>
          <w:rFonts w:ascii="Segoe UI" w:hAnsi="Segoe UI" w:cs="Segoe UI"/>
          <w:sz w:val="24"/>
          <w:szCs w:val="26"/>
        </w:rPr>
        <w:t xml:space="preserve">contre </w:t>
      </w:r>
      <w:r w:rsidR="001078C5" w:rsidRPr="00215B3D">
        <w:rPr>
          <w:rFonts w:ascii="Segoe UI" w:hAnsi="Segoe UI" w:cs="Segoe UI"/>
          <w:sz w:val="24"/>
          <w:szCs w:val="26"/>
        </w:rPr>
        <w:t>4 026,6</w:t>
      </w:r>
      <w:r w:rsidR="00D9546B" w:rsidRPr="00215B3D">
        <w:rPr>
          <w:rFonts w:ascii="Segoe UI" w:hAnsi="Segoe UI" w:cs="Segoe UI"/>
          <w:sz w:val="24"/>
          <w:szCs w:val="26"/>
        </w:rPr>
        <w:t xml:space="preserve"> </w:t>
      </w:r>
      <w:r w:rsidRPr="00215B3D">
        <w:rPr>
          <w:rFonts w:ascii="Segoe UI" w:hAnsi="Segoe UI" w:cs="Segoe UI"/>
          <w:sz w:val="24"/>
          <w:szCs w:val="26"/>
        </w:rPr>
        <w:t>millions de FCFA</w:t>
      </w:r>
      <w:r w:rsidR="00D9546B" w:rsidRPr="00215B3D">
        <w:rPr>
          <w:rFonts w:ascii="Segoe UI" w:hAnsi="Segoe UI" w:cs="Segoe UI"/>
          <w:sz w:val="24"/>
          <w:szCs w:val="26"/>
        </w:rPr>
        <w:t xml:space="preserve"> </w:t>
      </w:r>
      <w:r w:rsidR="00007571" w:rsidRPr="00215B3D">
        <w:rPr>
          <w:rFonts w:ascii="Segoe UI" w:hAnsi="Segoe UI" w:cs="Segoe UI"/>
          <w:sz w:val="24"/>
          <w:szCs w:val="26"/>
        </w:rPr>
        <w:t xml:space="preserve">à la même période </w:t>
      </w:r>
      <w:r w:rsidRPr="00215B3D">
        <w:rPr>
          <w:rFonts w:ascii="Segoe UI" w:hAnsi="Segoe UI" w:cs="Segoe UI"/>
          <w:sz w:val="24"/>
          <w:szCs w:val="26"/>
        </w:rPr>
        <w:t>en 201</w:t>
      </w:r>
      <w:r w:rsidR="001078C5" w:rsidRPr="00215B3D">
        <w:rPr>
          <w:rFonts w:ascii="Segoe UI" w:hAnsi="Segoe UI" w:cs="Segoe UI"/>
          <w:sz w:val="24"/>
          <w:szCs w:val="26"/>
        </w:rPr>
        <w:t>6</w:t>
      </w:r>
      <w:r w:rsidRPr="00215B3D">
        <w:rPr>
          <w:rFonts w:ascii="Segoe UI" w:hAnsi="Segoe UI" w:cs="Segoe UI"/>
          <w:sz w:val="24"/>
          <w:szCs w:val="26"/>
        </w:rPr>
        <w:t xml:space="preserve"> s</w:t>
      </w:r>
      <w:r w:rsidR="00790BFD" w:rsidRPr="00215B3D">
        <w:rPr>
          <w:rFonts w:ascii="Segoe UI" w:hAnsi="Segoe UI" w:cs="Segoe UI"/>
          <w:sz w:val="24"/>
          <w:szCs w:val="26"/>
        </w:rPr>
        <w:t>ur une prévision annuelle</w:t>
      </w:r>
      <w:r w:rsidR="00C55CE1" w:rsidRPr="00215B3D">
        <w:rPr>
          <w:rFonts w:ascii="Segoe UI" w:hAnsi="Segoe UI" w:cs="Segoe UI"/>
          <w:sz w:val="24"/>
          <w:szCs w:val="26"/>
        </w:rPr>
        <w:t xml:space="preserve"> </w:t>
      </w:r>
      <w:r w:rsidR="00790BFD" w:rsidRPr="00215B3D">
        <w:rPr>
          <w:rFonts w:ascii="Segoe UI" w:hAnsi="Segoe UI" w:cs="Segoe UI"/>
          <w:sz w:val="24"/>
          <w:szCs w:val="26"/>
        </w:rPr>
        <w:t xml:space="preserve">de </w:t>
      </w:r>
      <w:r w:rsidR="001078C5" w:rsidRPr="00215B3D">
        <w:rPr>
          <w:rFonts w:ascii="Segoe UI" w:hAnsi="Segoe UI" w:cs="Segoe UI"/>
          <w:sz w:val="24"/>
          <w:szCs w:val="26"/>
        </w:rPr>
        <w:t>6 700</w:t>
      </w:r>
      <w:r w:rsidR="00790BFD" w:rsidRPr="00215B3D">
        <w:rPr>
          <w:rFonts w:ascii="Segoe UI" w:hAnsi="Segoe UI" w:cs="Segoe UI"/>
          <w:sz w:val="24"/>
          <w:szCs w:val="26"/>
        </w:rPr>
        <w:t xml:space="preserve"> millions de FCFA</w:t>
      </w:r>
      <w:r w:rsidR="00DC0FA5" w:rsidRPr="00215B3D">
        <w:rPr>
          <w:rFonts w:ascii="Segoe UI" w:hAnsi="Segoe UI" w:cs="Segoe UI"/>
          <w:sz w:val="24"/>
          <w:szCs w:val="26"/>
        </w:rPr>
        <w:t xml:space="preserve">. Les taux d’engagement </w:t>
      </w:r>
      <w:r w:rsidR="00F75B4B" w:rsidRPr="00215B3D">
        <w:rPr>
          <w:rFonts w:ascii="Segoe UI" w:hAnsi="Segoe UI" w:cs="Segoe UI"/>
          <w:sz w:val="24"/>
          <w:szCs w:val="26"/>
        </w:rPr>
        <w:t>y relatifs</w:t>
      </w:r>
      <w:r w:rsidR="00DC0FA5" w:rsidRPr="00215B3D">
        <w:rPr>
          <w:rFonts w:ascii="Segoe UI" w:hAnsi="Segoe UI" w:cs="Segoe UI"/>
          <w:sz w:val="24"/>
          <w:szCs w:val="26"/>
        </w:rPr>
        <w:t xml:space="preserve"> sont de </w:t>
      </w:r>
      <w:r w:rsidR="001078C5" w:rsidRPr="00215B3D">
        <w:rPr>
          <w:rFonts w:ascii="Segoe UI" w:hAnsi="Segoe UI" w:cs="Segoe UI"/>
          <w:b/>
          <w:sz w:val="24"/>
          <w:szCs w:val="26"/>
        </w:rPr>
        <w:t>73,4</w:t>
      </w:r>
      <w:r w:rsidR="00DC0FA5" w:rsidRPr="00215B3D">
        <w:rPr>
          <w:rFonts w:ascii="Segoe UI" w:hAnsi="Segoe UI" w:cs="Segoe UI"/>
          <w:b/>
          <w:sz w:val="24"/>
          <w:szCs w:val="26"/>
        </w:rPr>
        <w:t>%</w:t>
      </w:r>
      <w:r w:rsidR="00DC0FA5" w:rsidRPr="00215B3D">
        <w:rPr>
          <w:rFonts w:ascii="Segoe UI" w:hAnsi="Segoe UI" w:cs="Segoe UI"/>
          <w:sz w:val="24"/>
          <w:szCs w:val="26"/>
        </w:rPr>
        <w:t xml:space="preserve"> et </w:t>
      </w:r>
      <w:r w:rsidR="001078C5" w:rsidRPr="00215B3D">
        <w:rPr>
          <w:rFonts w:ascii="Segoe UI" w:hAnsi="Segoe UI" w:cs="Segoe UI"/>
          <w:sz w:val="24"/>
          <w:szCs w:val="26"/>
        </w:rPr>
        <w:t>60,1</w:t>
      </w:r>
      <w:r w:rsidR="00DC0FA5" w:rsidRPr="00215B3D">
        <w:rPr>
          <w:rFonts w:ascii="Segoe UI" w:hAnsi="Segoe UI" w:cs="Segoe UI"/>
          <w:sz w:val="24"/>
          <w:szCs w:val="26"/>
        </w:rPr>
        <w:t>% respectivement en 201</w:t>
      </w:r>
      <w:r w:rsidR="001078C5" w:rsidRPr="00215B3D">
        <w:rPr>
          <w:rFonts w:ascii="Segoe UI" w:hAnsi="Segoe UI" w:cs="Segoe UI"/>
          <w:sz w:val="24"/>
          <w:szCs w:val="26"/>
        </w:rPr>
        <w:t>7</w:t>
      </w:r>
      <w:r w:rsidR="00DC0FA5" w:rsidRPr="00215B3D">
        <w:rPr>
          <w:rFonts w:ascii="Segoe UI" w:hAnsi="Segoe UI" w:cs="Segoe UI"/>
          <w:sz w:val="24"/>
          <w:szCs w:val="26"/>
        </w:rPr>
        <w:t xml:space="preserve"> et 201</w:t>
      </w:r>
      <w:r w:rsidR="001078C5" w:rsidRPr="00215B3D">
        <w:rPr>
          <w:rFonts w:ascii="Segoe UI" w:hAnsi="Segoe UI" w:cs="Segoe UI"/>
          <w:sz w:val="24"/>
          <w:szCs w:val="26"/>
        </w:rPr>
        <w:t>6</w:t>
      </w:r>
      <w:r w:rsidR="00DC0FA5" w:rsidRPr="00215B3D">
        <w:rPr>
          <w:rFonts w:ascii="Segoe UI" w:hAnsi="Segoe UI" w:cs="Segoe UI"/>
          <w:sz w:val="24"/>
          <w:szCs w:val="26"/>
        </w:rPr>
        <w:t>.</w:t>
      </w:r>
    </w:p>
    <w:p w:rsidR="00B11D36" w:rsidRPr="001F75E1" w:rsidRDefault="00B11D36" w:rsidP="000C178C">
      <w:pPr>
        <w:tabs>
          <w:tab w:val="left" w:pos="426"/>
        </w:tabs>
        <w:spacing w:after="0" w:line="360" w:lineRule="auto"/>
        <w:jc w:val="both"/>
        <w:rPr>
          <w:rFonts w:ascii="Segoe UI" w:hAnsi="Segoe UI" w:cs="Segoe UI"/>
          <w:sz w:val="6"/>
          <w:szCs w:val="26"/>
        </w:rPr>
      </w:pPr>
    </w:p>
    <w:p w:rsidR="001E4A75" w:rsidRPr="00215B3D" w:rsidRDefault="001E4A75" w:rsidP="000C178C">
      <w:pPr>
        <w:pStyle w:val="Titre3"/>
        <w:spacing w:before="0"/>
        <w:rPr>
          <w:rFonts w:ascii="Segoe UI" w:hAnsi="Segoe UI" w:cs="Segoe UI"/>
          <w:sz w:val="26"/>
          <w:szCs w:val="26"/>
        </w:rPr>
      </w:pPr>
      <w:bookmarkStart w:id="30" w:name="_Toc496025009"/>
      <w:r w:rsidRPr="00215B3D">
        <w:rPr>
          <w:rFonts w:ascii="Segoe UI" w:hAnsi="Segoe UI" w:cs="Segoe UI"/>
          <w:sz w:val="26"/>
          <w:szCs w:val="26"/>
        </w:rPr>
        <w:t>B-</w:t>
      </w:r>
      <w:r w:rsidR="0074747B" w:rsidRPr="00215B3D">
        <w:rPr>
          <w:rFonts w:ascii="Segoe UI" w:hAnsi="Segoe UI" w:cs="Segoe UI"/>
          <w:sz w:val="26"/>
          <w:szCs w:val="26"/>
        </w:rPr>
        <w:t>3</w:t>
      </w:r>
      <w:r w:rsidR="000F4344" w:rsidRPr="00215B3D">
        <w:rPr>
          <w:rFonts w:ascii="Segoe UI" w:hAnsi="Segoe UI" w:cs="Segoe UI"/>
          <w:sz w:val="26"/>
          <w:szCs w:val="26"/>
        </w:rPr>
        <w:t xml:space="preserve"> Comptes d’Affectation Spéciale (CAS)</w:t>
      </w:r>
      <w:bookmarkEnd w:id="30"/>
    </w:p>
    <w:p w:rsidR="00A65D31" w:rsidRPr="00215B3D" w:rsidRDefault="00A65D31" w:rsidP="001656E1">
      <w:pPr>
        <w:spacing w:after="0"/>
        <w:rPr>
          <w:rFonts w:ascii="Segoe UI" w:hAnsi="Segoe UI" w:cs="Segoe UI"/>
          <w:sz w:val="16"/>
          <w:szCs w:val="16"/>
        </w:rPr>
      </w:pPr>
    </w:p>
    <w:p w:rsidR="00513D4D" w:rsidRPr="00215B3D" w:rsidRDefault="00EC73C9" w:rsidP="009A3164">
      <w:pPr>
        <w:spacing w:after="0" w:line="360" w:lineRule="auto"/>
        <w:jc w:val="both"/>
        <w:rPr>
          <w:rFonts w:ascii="Segoe UI" w:hAnsi="Segoe UI" w:cs="Segoe UI"/>
          <w:sz w:val="24"/>
          <w:szCs w:val="26"/>
        </w:rPr>
      </w:pPr>
      <w:r w:rsidRPr="00215B3D">
        <w:rPr>
          <w:rFonts w:ascii="Segoe UI" w:hAnsi="Segoe UI" w:cs="Segoe UI"/>
          <w:sz w:val="24"/>
          <w:szCs w:val="26"/>
        </w:rPr>
        <w:t xml:space="preserve">A fin </w:t>
      </w:r>
      <w:r w:rsidR="001078C5" w:rsidRPr="00215B3D">
        <w:rPr>
          <w:rFonts w:ascii="Segoe UI" w:hAnsi="Segoe UI" w:cs="Segoe UI"/>
          <w:sz w:val="24"/>
          <w:szCs w:val="26"/>
        </w:rPr>
        <w:t>juin</w:t>
      </w:r>
      <w:r w:rsidRPr="00215B3D">
        <w:rPr>
          <w:rFonts w:ascii="Segoe UI" w:hAnsi="Segoe UI" w:cs="Segoe UI"/>
          <w:sz w:val="24"/>
          <w:szCs w:val="26"/>
        </w:rPr>
        <w:t xml:space="preserve"> 201</w:t>
      </w:r>
      <w:r w:rsidR="001078C5" w:rsidRPr="00215B3D">
        <w:rPr>
          <w:rFonts w:ascii="Segoe UI" w:hAnsi="Segoe UI" w:cs="Segoe UI"/>
          <w:sz w:val="24"/>
          <w:szCs w:val="26"/>
        </w:rPr>
        <w:t>7</w:t>
      </w:r>
      <w:r w:rsidRPr="00215B3D">
        <w:rPr>
          <w:rFonts w:ascii="Segoe UI" w:hAnsi="Segoe UI" w:cs="Segoe UI"/>
          <w:sz w:val="24"/>
          <w:szCs w:val="26"/>
        </w:rPr>
        <w:t>, l</w:t>
      </w:r>
      <w:r w:rsidR="00F27A04" w:rsidRPr="00215B3D">
        <w:rPr>
          <w:rFonts w:ascii="Segoe UI" w:hAnsi="Segoe UI" w:cs="Segoe UI"/>
          <w:sz w:val="24"/>
          <w:szCs w:val="26"/>
        </w:rPr>
        <w:t xml:space="preserve">es dépenses engagées au titre </w:t>
      </w:r>
      <w:r w:rsidR="00CF1117" w:rsidRPr="00215B3D">
        <w:rPr>
          <w:rFonts w:ascii="Segoe UI" w:hAnsi="Segoe UI" w:cs="Segoe UI"/>
          <w:sz w:val="24"/>
          <w:szCs w:val="26"/>
        </w:rPr>
        <w:t xml:space="preserve">des Comptes d’Affectation Spéciale (CAS) </w:t>
      </w:r>
      <w:r w:rsidR="00F27A04" w:rsidRPr="00215B3D">
        <w:rPr>
          <w:rFonts w:ascii="Segoe UI" w:hAnsi="Segoe UI" w:cs="Segoe UI"/>
          <w:sz w:val="24"/>
          <w:szCs w:val="26"/>
        </w:rPr>
        <w:t>se chiffrent</w:t>
      </w:r>
      <w:r w:rsidR="00D9546B" w:rsidRPr="00215B3D">
        <w:rPr>
          <w:rFonts w:ascii="Segoe UI" w:hAnsi="Segoe UI" w:cs="Segoe UI"/>
          <w:sz w:val="24"/>
          <w:szCs w:val="26"/>
        </w:rPr>
        <w:t xml:space="preserve"> </w:t>
      </w:r>
      <w:r w:rsidR="00F27A04" w:rsidRPr="00215B3D">
        <w:rPr>
          <w:rFonts w:ascii="Segoe UI" w:hAnsi="Segoe UI" w:cs="Segoe UI"/>
          <w:sz w:val="24"/>
          <w:szCs w:val="26"/>
        </w:rPr>
        <w:t xml:space="preserve">à </w:t>
      </w:r>
      <w:r w:rsidR="001078C5" w:rsidRPr="00215B3D">
        <w:rPr>
          <w:rFonts w:ascii="Segoe UI" w:hAnsi="Segoe UI" w:cs="Segoe UI"/>
          <w:b/>
          <w:sz w:val="24"/>
          <w:szCs w:val="26"/>
        </w:rPr>
        <w:t>20 882,2</w:t>
      </w:r>
      <w:r w:rsidR="00D9546B" w:rsidRPr="00215B3D">
        <w:rPr>
          <w:rFonts w:ascii="Segoe UI" w:hAnsi="Segoe UI" w:cs="Segoe UI"/>
          <w:b/>
          <w:sz w:val="24"/>
          <w:szCs w:val="26"/>
        </w:rPr>
        <w:t xml:space="preserve"> </w:t>
      </w:r>
      <w:r w:rsidR="00D55EA0" w:rsidRPr="00215B3D">
        <w:rPr>
          <w:rFonts w:ascii="Segoe UI" w:hAnsi="Segoe UI" w:cs="Segoe UI"/>
          <w:b/>
          <w:sz w:val="24"/>
          <w:szCs w:val="26"/>
        </w:rPr>
        <w:t>millions de FCFA</w:t>
      </w:r>
      <w:r w:rsidR="00D55EA0" w:rsidRPr="00215B3D">
        <w:rPr>
          <w:rFonts w:ascii="Segoe UI" w:hAnsi="Segoe UI" w:cs="Segoe UI"/>
          <w:sz w:val="24"/>
          <w:szCs w:val="26"/>
        </w:rPr>
        <w:t xml:space="preserve"> sur</w:t>
      </w:r>
      <w:r w:rsidR="00D9546B" w:rsidRPr="00215B3D">
        <w:rPr>
          <w:rFonts w:ascii="Segoe UI" w:hAnsi="Segoe UI" w:cs="Segoe UI"/>
          <w:sz w:val="24"/>
          <w:szCs w:val="26"/>
        </w:rPr>
        <w:t xml:space="preserve"> </w:t>
      </w:r>
      <w:r w:rsidR="00D55EA0" w:rsidRPr="00215B3D">
        <w:rPr>
          <w:rFonts w:ascii="Segoe UI" w:hAnsi="Segoe UI" w:cs="Segoe UI"/>
          <w:sz w:val="24"/>
          <w:szCs w:val="26"/>
        </w:rPr>
        <w:t>une</w:t>
      </w:r>
      <w:r w:rsidR="00CF1117" w:rsidRPr="00215B3D">
        <w:rPr>
          <w:rFonts w:ascii="Segoe UI" w:hAnsi="Segoe UI" w:cs="Segoe UI"/>
          <w:sz w:val="24"/>
          <w:szCs w:val="26"/>
        </w:rPr>
        <w:t xml:space="preserve"> prévision annuelle de</w:t>
      </w:r>
      <w:r w:rsidR="00D9546B" w:rsidRPr="00215B3D">
        <w:rPr>
          <w:rFonts w:ascii="Segoe UI" w:hAnsi="Segoe UI" w:cs="Segoe UI"/>
          <w:sz w:val="24"/>
          <w:szCs w:val="26"/>
        </w:rPr>
        <w:t xml:space="preserve"> </w:t>
      </w:r>
      <w:r w:rsidR="001078C5" w:rsidRPr="00215B3D">
        <w:rPr>
          <w:rFonts w:ascii="Segoe UI" w:hAnsi="Segoe UI" w:cs="Segoe UI"/>
          <w:sz w:val="24"/>
          <w:szCs w:val="26"/>
        </w:rPr>
        <w:t>54 486</w:t>
      </w:r>
      <w:r w:rsidR="00D9546B" w:rsidRPr="00215B3D">
        <w:rPr>
          <w:rFonts w:ascii="Segoe UI" w:hAnsi="Segoe UI" w:cs="Segoe UI"/>
          <w:sz w:val="24"/>
          <w:szCs w:val="26"/>
        </w:rPr>
        <w:t xml:space="preserve"> </w:t>
      </w:r>
      <w:r w:rsidR="00D55EA0" w:rsidRPr="00215B3D">
        <w:rPr>
          <w:rFonts w:ascii="Segoe UI" w:hAnsi="Segoe UI" w:cs="Segoe UI"/>
          <w:sz w:val="24"/>
          <w:szCs w:val="26"/>
        </w:rPr>
        <w:t>millions de FCFA</w:t>
      </w:r>
      <w:r w:rsidR="00F75B4B" w:rsidRPr="00215B3D">
        <w:rPr>
          <w:rFonts w:ascii="Segoe UI" w:hAnsi="Segoe UI" w:cs="Segoe UI"/>
          <w:sz w:val="24"/>
          <w:szCs w:val="26"/>
        </w:rPr>
        <w:t>. Elles corresponde</w:t>
      </w:r>
      <w:r w:rsidR="003637BF" w:rsidRPr="00215B3D">
        <w:rPr>
          <w:rFonts w:ascii="Segoe UI" w:hAnsi="Segoe UI" w:cs="Segoe UI"/>
          <w:sz w:val="24"/>
          <w:szCs w:val="26"/>
        </w:rPr>
        <w:t>nt à un taux d’engagement</w:t>
      </w:r>
      <w:r w:rsidR="005A095A" w:rsidRPr="00215B3D">
        <w:rPr>
          <w:rFonts w:ascii="Segoe UI" w:hAnsi="Segoe UI" w:cs="Segoe UI"/>
          <w:sz w:val="24"/>
          <w:szCs w:val="26"/>
        </w:rPr>
        <w:t xml:space="preserve"> de </w:t>
      </w:r>
      <w:r w:rsidR="001078C5" w:rsidRPr="00215B3D">
        <w:rPr>
          <w:rFonts w:ascii="Segoe UI" w:hAnsi="Segoe UI" w:cs="Segoe UI"/>
          <w:b/>
          <w:sz w:val="24"/>
          <w:szCs w:val="26"/>
        </w:rPr>
        <w:t>38,3</w:t>
      </w:r>
      <w:r w:rsidR="005A095A" w:rsidRPr="00215B3D">
        <w:rPr>
          <w:rFonts w:ascii="Segoe UI" w:hAnsi="Segoe UI" w:cs="Segoe UI"/>
          <w:b/>
          <w:sz w:val="24"/>
          <w:szCs w:val="26"/>
        </w:rPr>
        <w:t>%</w:t>
      </w:r>
      <w:r w:rsidR="008B1603" w:rsidRPr="00215B3D">
        <w:rPr>
          <w:rFonts w:ascii="Segoe UI" w:hAnsi="Segoe UI" w:cs="Segoe UI"/>
          <w:b/>
          <w:sz w:val="24"/>
          <w:szCs w:val="26"/>
        </w:rPr>
        <w:t>.</w:t>
      </w:r>
      <w:r w:rsidR="008B1603" w:rsidRPr="00215B3D">
        <w:rPr>
          <w:rFonts w:ascii="Segoe UI" w:hAnsi="Segoe UI" w:cs="Segoe UI"/>
          <w:sz w:val="24"/>
          <w:szCs w:val="26"/>
        </w:rPr>
        <w:t xml:space="preserve"> </w:t>
      </w:r>
    </w:p>
    <w:p w:rsidR="007D4B67" w:rsidRDefault="007D4B67" w:rsidP="005D4A19">
      <w:pPr>
        <w:spacing w:after="120"/>
        <w:rPr>
          <w:rFonts w:ascii="Segoe UI" w:hAnsi="Segoe UI" w:cs="Segoe UI"/>
          <w:sz w:val="24"/>
          <w:szCs w:val="26"/>
        </w:rPr>
      </w:pPr>
    </w:p>
    <w:p w:rsidR="00B11D36" w:rsidRDefault="006015E1" w:rsidP="005D4A19">
      <w:pPr>
        <w:spacing w:after="120"/>
        <w:rPr>
          <w:rFonts w:ascii="Segoe UI" w:hAnsi="Segoe UI" w:cs="Segoe UI"/>
          <w:sz w:val="24"/>
          <w:szCs w:val="26"/>
        </w:rPr>
      </w:pPr>
      <w:r w:rsidRPr="00215B3D">
        <w:rPr>
          <w:rFonts w:ascii="Segoe UI" w:hAnsi="Segoe UI" w:cs="Segoe UI"/>
          <w:sz w:val="24"/>
          <w:szCs w:val="26"/>
        </w:rPr>
        <w:t xml:space="preserve">L’évolution de l’exécution des dépenses à fin </w:t>
      </w:r>
      <w:r w:rsidR="005752DB" w:rsidRPr="00215B3D">
        <w:rPr>
          <w:rFonts w:ascii="Segoe UI" w:hAnsi="Segoe UI" w:cs="Segoe UI"/>
          <w:sz w:val="24"/>
          <w:szCs w:val="26"/>
        </w:rPr>
        <w:t>juin</w:t>
      </w:r>
      <w:r w:rsidRPr="00215B3D">
        <w:rPr>
          <w:rFonts w:ascii="Segoe UI" w:hAnsi="Segoe UI" w:cs="Segoe UI"/>
          <w:sz w:val="24"/>
          <w:szCs w:val="26"/>
        </w:rPr>
        <w:t xml:space="preserve"> 201</w:t>
      </w:r>
      <w:r w:rsidR="005752DB" w:rsidRPr="00215B3D">
        <w:rPr>
          <w:rFonts w:ascii="Segoe UI" w:hAnsi="Segoe UI" w:cs="Segoe UI"/>
          <w:sz w:val="24"/>
          <w:szCs w:val="26"/>
        </w:rPr>
        <w:t>6</w:t>
      </w:r>
      <w:r w:rsidRPr="00215B3D">
        <w:rPr>
          <w:rFonts w:ascii="Segoe UI" w:hAnsi="Segoe UI" w:cs="Segoe UI"/>
          <w:sz w:val="24"/>
          <w:szCs w:val="26"/>
        </w:rPr>
        <w:t xml:space="preserve"> </w:t>
      </w:r>
      <w:r w:rsidR="000D0F81" w:rsidRPr="00215B3D">
        <w:rPr>
          <w:rFonts w:ascii="Segoe UI" w:hAnsi="Segoe UI" w:cs="Segoe UI"/>
          <w:sz w:val="24"/>
          <w:szCs w:val="26"/>
        </w:rPr>
        <w:t>et</w:t>
      </w:r>
      <w:r w:rsidRPr="00215B3D">
        <w:rPr>
          <w:rFonts w:ascii="Segoe UI" w:hAnsi="Segoe UI" w:cs="Segoe UI"/>
          <w:sz w:val="24"/>
          <w:szCs w:val="26"/>
        </w:rPr>
        <w:t xml:space="preserve"> 201</w:t>
      </w:r>
      <w:r w:rsidR="005752DB" w:rsidRPr="00215B3D">
        <w:rPr>
          <w:rFonts w:ascii="Segoe UI" w:hAnsi="Segoe UI" w:cs="Segoe UI"/>
          <w:sz w:val="24"/>
          <w:szCs w:val="26"/>
        </w:rPr>
        <w:t>7</w:t>
      </w:r>
      <w:r w:rsidRPr="00215B3D">
        <w:rPr>
          <w:rFonts w:ascii="Segoe UI" w:hAnsi="Segoe UI" w:cs="Segoe UI"/>
          <w:sz w:val="24"/>
          <w:szCs w:val="26"/>
        </w:rPr>
        <w:t xml:space="preserve"> est retracée par le graphique </w:t>
      </w:r>
      <w:r w:rsidR="00F76C3B" w:rsidRPr="00215B3D">
        <w:rPr>
          <w:rFonts w:ascii="Segoe UI" w:hAnsi="Segoe UI" w:cs="Segoe UI"/>
          <w:sz w:val="24"/>
          <w:szCs w:val="26"/>
        </w:rPr>
        <w:t xml:space="preserve">n° </w:t>
      </w:r>
      <w:r w:rsidR="007E3BE0">
        <w:rPr>
          <w:rFonts w:ascii="Segoe UI" w:hAnsi="Segoe UI" w:cs="Segoe UI"/>
          <w:sz w:val="24"/>
          <w:szCs w:val="26"/>
        </w:rPr>
        <w:t>4</w:t>
      </w:r>
      <w:r w:rsidR="00F76C3B" w:rsidRPr="00215B3D">
        <w:rPr>
          <w:rFonts w:ascii="Segoe UI" w:hAnsi="Segoe UI" w:cs="Segoe UI"/>
          <w:sz w:val="24"/>
          <w:szCs w:val="26"/>
        </w:rPr>
        <w:t xml:space="preserve"> </w:t>
      </w:r>
      <w:r w:rsidRPr="00215B3D">
        <w:rPr>
          <w:rFonts w:ascii="Segoe UI" w:hAnsi="Segoe UI" w:cs="Segoe UI"/>
          <w:sz w:val="24"/>
          <w:szCs w:val="26"/>
        </w:rPr>
        <w:t>ci-après :</w:t>
      </w:r>
    </w:p>
    <w:p w:rsidR="00C42C00" w:rsidRPr="007E3BE0" w:rsidRDefault="007E3BE0" w:rsidP="007E3BE0">
      <w:pPr>
        <w:pStyle w:val="Graphique"/>
        <w:rPr>
          <w:sz w:val="24"/>
        </w:rPr>
      </w:pPr>
      <w:bookmarkStart w:id="31" w:name="_Toc495935954"/>
      <w:r>
        <w:rPr>
          <w:sz w:val="24"/>
        </w:rPr>
        <w:t>Graphique n° 4</w:t>
      </w:r>
      <w:r w:rsidR="00F76C3B" w:rsidRPr="00DD4A3F">
        <w:rPr>
          <w:sz w:val="24"/>
        </w:rPr>
        <w:t> : Evolution des dépenses par grande masse à</w:t>
      </w:r>
      <w:r w:rsidR="005752DB" w:rsidRPr="00DD4A3F">
        <w:rPr>
          <w:sz w:val="24"/>
        </w:rPr>
        <w:t xml:space="preserve"> fin juin</w:t>
      </w:r>
      <w:r w:rsidR="00F76C3B" w:rsidRPr="00DD4A3F">
        <w:rPr>
          <w:sz w:val="24"/>
        </w:rPr>
        <w:t xml:space="preserve"> 201</w:t>
      </w:r>
      <w:r w:rsidR="005752DB" w:rsidRPr="00DD4A3F">
        <w:rPr>
          <w:sz w:val="24"/>
        </w:rPr>
        <w:t>6</w:t>
      </w:r>
      <w:r w:rsidR="00F76C3B" w:rsidRPr="00DD4A3F">
        <w:rPr>
          <w:sz w:val="24"/>
        </w:rPr>
        <w:t xml:space="preserve"> et 201</w:t>
      </w:r>
      <w:r w:rsidR="005752DB" w:rsidRPr="00DD4A3F">
        <w:rPr>
          <w:sz w:val="24"/>
        </w:rPr>
        <w:t>7</w:t>
      </w:r>
      <w:bookmarkEnd w:id="31"/>
      <w:r w:rsidR="00B75AF3" w:rsidRPr="00DD4A3F">
        <w:rPr>
          <w:sz w:val="24"/>
        </w:rPr>
        <w:t xml:space="preserve"> </w:t>
      </w:r>
    </w:p>
    <w:p w:rsidR="00C42C00" w:rsidRDefault="009E1731" w:rsidP="00AD4799">
      <w:pPr>
        <w:spacing w:after="0" w:line="240" w:lineRule="auto"/>
        <w:jc w:val="both"/>
        <w:rPr>
          <w:rFonts w:ascii="Segoe UI" w:hAnsi="Segoe UI" w:cs="Segoe UI"/>
          <w:b/>
          <w:sz w:val="12"/>
          <w:szCs w:val="26"/>
        </w:rPr>
      </w:pPr>
      <w:r>
        <w:rPr>
          <w:noProof/>
        </w:rPr>
        <w:drawing>
          <wp:inline distT="0" distB="0" distL="0" distR="0" wp14:anchorId="50DE82AD" wp14:editId="16E89D2D">
            <wp:extent cx="5915025" cy="2752725"/>
            <wp:effectExtent l="19050" t="19050" r="9525" b="952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E1731" w:rsidRPr="00EE35E0" w:rsidRDefault="009E1731" w:rsidP="00AD4799">
      <w:pPr>
        <w:spacing w:after="0" w:line="240" w:lineRule="auto"/>
        <w:jc w:val="both"/>
        <w:rPr>
          <w:rFonts w:ascii="Segoe UI" w:hAnsi="Segoe UI" w:cs="Segoe UI"/>
          <w:b/>
          <w:sz w:val="12"/>
          <w:szCs w:val="26"/>
        </w:rPr>
      </w:pPr>
    </w:p>
    <w:p w:rsidR="00E4785A" w:rsidRPr="00174A7F" w:rsidRDefault="00E4785A" w:rsidP="00FB509F">
      <w:pPr>
        <w:spacing w:after="0" w:line="240" w:lineRule="auto"/>
        <w:jc w:val="both"/>
        <w:rPr>
          <w:noProof/>
          <w:sz w:val="10"/>
        </w:rPr>
      </w:pPr>
    </w:p>
    <w:p w:rsidR="004A1038" w:rsidRPr="00215B3D" w:rsidRDefault="00AD45F1" w:rsidP="005E6E8C">
      <w:pPr>
        <w:spacing w:after="0"/>
        <w:rPr>
          <w:rFonts w:ascii="Segoe UI" w:hAnsi="Segoe UI" w:cs="Segoe UI"/>
          <w:sz w:val="16"/>
        </w:rPr>
      </w:pPr>
      <w:r w:rsidRPr="00215B3D">
        <w:rPr>
          <w:rFonts w:ascii="Segoe UI" w:hAnsi="Segoe UI" w:cs="Segoe UI"/>
          <w:b/>
          <w:sz w:val="16"/>
          <w:u w:val="single"/>
        </w:rPr>
        <w:t>Source </w:t>
      </w:r>
      <w:r w:rsidR="00FB509F" w:rsidRPr="00215B3D">
        <w:rPr>
          <w:rFonts w:ascii="Segoe UI" w:hAnsi="Segoe UI" w:cs="Segoe UI"/>
          <w:sz w:val="16"/>
        </w:rPr>
        <w:t xml:space="preserve">: </w:t>
      </w:r>
      <w:r w:rsidRPr="00215B3D">
        <w:rPr>
          <w:rFonts w:ascii="Segoe UI" w:hAnsi="Segoe UI" w:cs="Segoe UI"/>
          <w:sz w:val="16"/>
        </w:rPr>
        <w:t>DGB</w:t>
      </w:r>
      <w:r w:rsidR="00D82445" w:rsidRPr="00215B3D">
        <w:rPr>
          <w:rFonts w:ascii="Segoe UI" w:hAnsi="Segoe UI" w:cs="Segoe UI"/>
          <w:sz w:val="16"/>
        </w:rPr>
        <w:t xml:space="preserve">, </w:t>
      </w:r>
      <w:r w:rsidR="00FB509F" w:rsidRPr="00215B3D">
        <w:rPr>
          <w:rFonts w:ascii="Segoe UI" w:hAnsi="Segoe UI" w:cs="Segoe UI"/>
          <w:sz w:val="20"/>
          <w:szCs w:val="20"/>
        </w:rPr>
        <w:t xml:space="preserve">sur la base des données fournies par le </w:t>
      </w:r>
      <w:proofErr w:type="spellStart"/>
      <w:r w:rsidR="00FB509F" w:rsidRPr="00215B3D">
        <w:rPr>
          <w:rFonts w:ascii="Segoe UI" w:hAnsi="Segoe UI" w:cs="Segoe UI"/>
          <w:sz w:val="20"/>
          <w:szCs w:val="20"/>
        </w:rPr>
        <w:t>SIGFiP</w:t>
      </w:r>
      <w:proofErr w:type="spellEnd"/>
      <w:r w:rsidR="00FB509F" w:rsidRPr="00215B3D">
        <w:rPr>
          <w:rFonts w:ascii="Segoe UI" w:hAnsi="Segoe UI" w:cs="Segoe UI"/>
          <w:sz w:val="20"/>
          <w:szCs w:val="20"/>
        </w:rPr>
        <w:t xml:space="preserve">, </w:t>
      </w:r>
      <w:r w:rsidR="00D82445" w:rsidRPr="00215B3D">
        <w:rPr>
          <w:rFonts w:ascii="Segoe UI" w:hAnsi="Segoe UI" w:cs="Segoe UI"/>
          <w:sz w:val="16"/>
        </w:rPr>
        <w:t>juin</w:t>
      </w:r>
      <w:r w:rsidR="00AF7ED7" w:rsidRPr="00215B3D">
        <w:rPr>
          <w:rFonts w:ascii="Segoe UI" w:hAnsi="Segoe UI" w:cs="Segoe UI"/>
          <w:sz w:val="16"/>
        </w:rPr>
        <w:t xml:space="preserve"> 2017</w:t>
      </w:r>
    </w:p>
    <w:p w:rsidR="00D75C53" w:rsidRPr="00215B3D" w:rsidRDefault="00D75C53" w:rsidP="0013433B">
      <w:pPr>
        <w:pStyle w:val="Titre2"/>
        <w:numPr>
          <w:ilvl w:val="0"/>
          <w:numId w:val="45"/>
        </w:numPr>
        <w:spacing w:before="0"/>
        <w:rPr>
          <w:rFonts w:ascii="Segoe UI" w:hAnsi="Segoe UI" w:cs="Segoe UI"/>
        </w:rPr>
      </w:pPr>
      <w:bookmarkStart w:id="32" w:name="_Toc496025010"/>
      <w:r w:rsidRPr="00215B3D">
        <w:rPr>
          <w:rFonts w:ascii="Segoe UI" w:hAnsi="Segoe UI" w:cs="Segoe UI"/>
        </w:rPr>
        <w:t>Solde budgétaire</w:t>
      </w:r>
      <w:r w:rsidR="0074747B" w:rsidRPr="00215B3D">
        <w:rPr>
          <w:rFonts w:ascii="Segoe UI" w:hAnsi="Segoe UI" w:cs="Segoe UI"/>
        </w:rPr>
        <w:t xml:space="preserve"> d’exécution</w:t>
      </w:r>
      <w:r w:rsidRPr="00215B3D">
        <w:rPr>
          <w:rFonts w:ascii="Segoe UI" w:hAnsi="Segoe UI" w:cs="Segoe UI"/>
        </w:rPr>
        <w:t xml:space="preserve"> au </w:t>
      </w:r>
      <w:r w:rsidR="00AC6A2A" w:rsidRPr="00215B3D">
        <w:rPr>
          <w:rFonts w:ascii="Segoe UI" w:hAnsi="Segoe UI" w:cs="Segoe UI"/>
        </w:rPr>
        <w:t>3</w:t>
      </w:r>
      <w:r w:rsidR="001078C5" w:rsidRPr="00215B3D">
        <w:rPr>
          <w:rFonts w:ascii="Segoe UI" w:hAnsi="Segoe UI" w:cs="Segoe UI"/>
          <w:lang w:eastAsia="x-none"/>
        </w:rPr>
        <w:t>0 juin</w:t>
      </w:r>
      <w:r w:rsidR="00515C43" w:rsidRPr="00215B3D">
        <w:rPr>
          <w:rFonts w:ascii="Segoe UI" w:hAnsi="Segoe UI" w:cs="Segoe UI"/>
        </w:rPr>
        <w:t xml:space="preserve"> </w:t>
      </w:r>
      <w:r w:rsidRPr="00215B3D">
        <w:rPr>
          <w:rFonts w:ascii="Segoe UI" w:hAnsi="Segoe UI" w:cs="Segoe UI"/>
        </w:rPr>
        <w:t>201</w:t>
      </w:r>
      <w:r w:rsidR="001078C5" w:rsidRPr="00215B3D">
        <w:rPr>
          <w:rFonts w:ascii="Segoe UI" w:hAnsi="Segoe UI" w:cs="Segoe UI"/>
          <w:lang w:eastAsia="x-none"/>
        </w:rPr>
        <w:t>7</w:t>
      </w:r>
      <w:bookmarkEnd w:id="32"/>
    </w:p>
    <w:p w:rsidR="002C11DF" w:rsidRPr="00215B3D" w:rsidRDefault="002C11DF" w:rsidP="005D4A19">
      <w:pPr>
        <w:spacing w:after="0"/>
        <w:rPr>
          <w:rFonts w:ascii="Segoe UI" w:hAnsi="Segoe UI" w:cs="Segoe UI"/>
          <w:sz w:val="16"/>
          <w:szCs w:val="16"/>
        </w:rPr>
      </w:pPr>
    </w:p>
    <w:p w:rsidR="005060AE" w:rsidRPr="006B36EE" w:rsidRDefault="00FD40C4" w:rsidP="00E422CF">
      <w:pPr>
        <w:rPr>
          <w:rFonts w:ascii="Segoe UI" w:hAnsi="Segoe UI" w:cs="Segoe UI"/>
          <w:sz w:val="24"/>
        </w:rPr>
      </w:pPr>
      <w:bookmarkStart w:id="33" w:name="_Toc426670161"/>
      <w:bookmarkStart w:id="34" w:name="_Toc435284860"/>
      <w:bookmarkStart w:id="35" w:name="_Toc435295627"/>
      <w:bookmarkStart w:id="36" w:name="_Toc442430617"/>
      <w:bookmarkStart w:id="37" w:name="_Toc451798285"/>
      <w:r w:rsidRPr="00215B3D">
        <w:rPr>
          <w:rFonts w:ascii="Segoe UI" w:hAnsi="Segoe UI" w:cs="Segoe UI"/>
          <w:sz w:val="24"/>
        </w:rPr>
        <w:t>L</w:t>
      </w:r>
      <w:r w:rsidR="0057328F" w:rsidRPr="00215B3D">
        <w:rPr>
          <w:rFonts w:ascii="Segoe UI" w:hAnsi="Segoe UI" w:cs="Segoe UI"/>
          <w:sz w:val="24"/>
        </w:rPr>
        <w:t>’exécution</w:t>
      </w:r>
      <w:r w:rsidR="00BA0A2C" w:rsidRPr="00215B3D">
        <w:rPr>
          <w:rFonts w:ascii="Segoe UI" w:hAnsi="Segoe UI" w:cs="Segoe UI"/>
          <w:sz w:val="24"/>
        </w:rPr>
        <w:t>,</w:t>
      </w:r>
      <w:r w:rsidR="0057328F" w:rsidRPr="00215B3D">
        <w:rPr>
          <w:rFonts w:ascii="Segoe UI" w:hAnsi="Segoe UI" w:cs="Segoe UI"/>
          <w:sz w:val="24"/>
        </w:rPr>
        <w:t xml:space="preserve"> </w:t>
      </w:r>
      <w:r w:rsidR="00F75B4B" w:rsidRPr="00215B3D">
        <w:rPr>
          <w:rFonts w:ascii="Segoe UI" w:hAnsi="Segoe UI" w:cs="Segoe UI"/>
          <w:sz w:val="24"/>
        </w:rPr>
        <w:t xml:space="preserve">base </w:t>
      </w:r>
      <w:r w:rsidR="00022EC7" w:rsidRPr="00215B3D">
        <w:rPr>
          <w:rFonts w:ascii="Segoe UI" w:hAnsi="Segoe UI" w:cs="Segoe UI"/>
          <w:sz w:val="24"/>
        </w:rPr>
        <w:t>ordonnancement</w:t>
      </w:r>
      <w:r w:rsidR="00BA0A2C" w:rsidRPr="00215B3D">
        <w:rPr>
          <w:rFonts w:ascii="Segoe UI" w:hAnsi="Segoe UI" w:cs="Segoe UI"/>
          <w:sz w:val="24"/>
        </w:rPr>
        <w:t>,</w:t>
      </w:r>
      <w:r w:rsidR="00F75B4B" w:rsidRPr="00215B3D">
        <w:rPr>
          <w:rFonts w:ascii="Segoe UI" w:hAnsi="Segoe UI" w:cs="Segoe UI"/>
          <w:sz w:val="24"/>
        </w:rPr>
        <w:t xml:space="preserve"> </w:t>
      </w:r>
      <w:r w:rsidR="0057328F" w:rsidRPr="00215B3D">
        <w:rPr>
          <w:rFonts w:ascii="Segoe UI" w:hAnsi="Segoe UI" w:cs="Segoe UI"/>
          <w:sz w:val="24"/>
        </w:rPr>
        <w:t>du budget de l’Etat</w:t>
      </w:r>
      <w:r w:rsidR="00D9546B" w:rsidRPr="00215B3D">
        <w:rPr>
          <w:rFonts w:ascii="Segoe UI" w:hAnsi="Segoe UI" w:cs="Segoe UI"/>
          <w:sz w:val="24"/>
        </w:rPr>
        <w:t xml:space="preserve"> </w:t>
      </w:r>
      <w:r w:rsidRPr="00215B3D">
        <w:rPr>
          <w:rFonts w:ascii="Segoe UI" w:hAnsi="Segoe UI" w:cs="Segoe UI"/>
          <w:sz w:val="24"/>
        </w:rPr>
        <w:t xml:space="preserve">à fin </w:t>
      </w:r>
      <w:r w:rsidR="005B6956" w:rsidRPr="00215B3D">
        <w:rPr>
          <w:rFonts w:ascii="Segoe UI" w:hAnsi="Segoe UI" w:cs="Segoe UI"/>
          <w:sz w:val="24"/>
        </w:rPr>
        <w:t>juin</w:t>
      </w:r>
      <w:r w:rsidR="00BA68D5" w:rsidRPr="00215B3D">
        <w:rPr>
          <w:rFonts w:ascii="Segoe UI" w:hAnsi="Segoe UI" w:cs="Segoe UI"/>
          <w:sz w:val="24"/>
        </w:rPr>
        <w:t xml:space="preserve"> </w:t>
      </w:r>
      <w:r w:rsidRPr="00215B3D">
        <w:rPr>
          <w:rFonts w:ascii="Segoe UI" w:hAnsi="Segoe UI" w:cs="Segoe UI"/>
          <w:sz w:val="24"/>
        </w:rPr>
        <w:t>201</w:t>
      </w:r>
      <w:r w:rsidR="005B6956" w:rsidRPr="00215B3D">
        <w:rPr>
          <w:rFonts w:ascii="Segoe UI" w:hAnsi="Segoe UI" w:cs="Segoe UI"/>
          <w:sz w:val="24"/>
        </w:rPr>
        <w:t>7</w:t>
      </w:r>
      <w:r w:rsidR="00BA0A2C" w:rsidRPr="00215B3D">
        <w:rPr>
          <w:rFonts w:ascii="Segoe UI" w:hAnsi="Segoe UI" w:cs="Segoe UI"/>
          <w:sz w:val="24"/>
        </w:rPr>
        <w:t>,</w:t>
      </w:r>
      <w:r w:rsidR="0057328F" w:rsidRPr="00215B3D">
        <w:rPr>
          <w:rFonts w:ascii="Segoe UI" w:hAnsi="Segoe UI" w:cs="Segoe UI"/>
          <w:sz w:val="24"/>
        </w:rPr>
        <w:t xml:space="preserve"> présente les </w:t>
      </w:r>
      <w:r w:rsidR="000B762F" w:rsidRPr="00215B3D">
        <w:rPr>
          <w:rFonts w:ascii="Segoe UI" w:hAnsi="Segoe UI" w:cs="Segoe UI"/>
          <w:sz w:val="24"/>
        </w:rPr>
        <w:t xml:space="preserve">principaux </w:t>
      </w:r>
      <w:r w:rsidR="0057328F" w:rsidRPr="00215B3D">
        <w:rPr>
          <w:rFonts w:ascii="Segoe UI" w:hAnsi="Segoe UI" w:cs="Segoe UI"/>
          <w:sz w:val="24"/>
        </w:rPr>
        <w:t xml:space="preserve">soldes budgétaires </w:t>
      </w:r>
      <w:r w:rsidRPr="00215B3D">
        <w:rPr>
          <w:rFonts w:ascii="Segoe UI" w:hAnsi="Segoe UI" w:cs="Segoe UI"/>
          <w:sz w:val="24"/>
        </w:rPr>
        <w:t>récapitul</w:t>
      </w:r>
      <w:r w:rsidR="0057328F" w:rsidRPr="00215B3D">
        <w:rPr>
          <w:rFonts w:ascii="Segoe UI" w:hAnsi="Segoe UI" w:cs="Segoe UI"/>
          <w:sz w:val="24"/>
        </w:rPr>
        <w:t>és dans le tableau</w:t>
      </w:r>
      <w:r w:rsidR="00964CAA" w:rsidRPr="00215B3D">
        <w:rPr>
          <w:rFonts w:ascii="Segoe UI" w:hAnsi="Segoe UI" w:cs="Segoe UI"/>
          <w:sz w:val="24"/>
        </w:rPr>
        <w:t xml:space="preserve"> n° </w:t>
      </w:r>
      <w:r w:rsidR="007E3BE0">
        <w:rPr>
          <w:rFonts w:ascii="Segoe UI" w:hAnsi="Segoe UI" w:cs="Segoe UI"/>
          <w:sz w:val="24"/>
        </w:rPr>
        <w:t>10</w:t>
      </w:r>
      <w:r w:rsidR="0057328F" w:rsidRPr="00215B3D">
        <w:rPr>
          <w:rFonts w:ascii="Segoe UI" w:hAnsi="Segoe UI" w:cs="Segoe UI"/>
          <w:sz w:val="24"/>
        </w:rPr>
        <w:t xml:space="preserve"> ci-après :</w:t>
      </w:r>
      <w:bookmarkEnd w:id="33"/>
      <w:bookmarkEnd w:id="34"/>
      <w:bookmarkEnd w:id="35"/>
      <w:bookmarkEnd w:id="36"/>
      <w:bookmarkEnd w:id="37"/>
    </w:p>
    <w:p w:rsidR="0057328F" w:rsidRPr="00215B3D" w:rsidRDefault="0057328F" w:rsidP="00A349CD">
      <w:pPr>
        <w:pStyle w:val="Listedestableaux"/>
        <w:spacing w:line="240" w:lineRule="auto"/>
        <w:ind w:left="0"/>
        <w:rPr>
          <w:rFonts w:ascii="Segoe UI" w:hAnsi="Segoe UI" w:cs="Segoe UI"/>
        </w:rPr>
      </w:pPr>
      <w:bookmarkStart w:id="38" w:name="_Toc495935945"/>
      <w:r w:rsidRPr="00215B3D">
        <w:rPr>
          <w:rFonts w:ascii="Segoe UI" w:hAnsi="Segoe UI" w:cs="Segoe UI"/>
          <w:u w:val="single"/>
        </w:rPr>
        <w:lastRenderedPageBreak/>
        <w:t xml:space="preserve">Tableau </w:t>
      </w:r>
      <w:r w:rsidR="007D4B67">
        <w:rPr>
          <w:rFonts w:ascii="Segoe UI" w:hAnsi="Segoe UI" w:cs="Segoe UI"/>
          <w:u w:val="single"/>
        </w:rPr>
        <w:t>9</w:t>
      </w:r>
      <w:r w:rsidR="003F7242" w:rsidRPr="00215B3D">
        <w:rPr>
          <w:rFonts w:ascii="Segoe UI" w:hAnsi="Segoe UI" w:cs="Segoe UI"/>
          <w:u w:val="single"/>
        </w:rPr>
        <w:t> :</w:t>
      </w:r>
      <w:r w:rsidRPr="00215B3D">
        <w:rPr>
          <w:rFonts w:ascii="Segoe UI" w:hAnsi="Segoe UI" w:cs="Segoe UI"/>
        </w:rPr>
        <w:t xml:space="preserve"> Présentation des soldes budgétaires</w:t>
      </w:r>
      <w:r w:rsidR="00A45C09" w:rsidRPr="00215B3D">
        <w:rPr>
          <w:rFonts w:ascii="Segoe UI" w:hAnsi="Segoe UI" w:cs="Segoe UI"/>
        </w:rPr>
        <w:t xml:space="preserve"> d’exécution</w:t>
      </w:r>
      <w:r w:rsidR="00915477" w:rsidRPr="00215B3D">
        <w:rPr>
          <w:rFonts w:ascii="Segoe UI" w:hAnsi="Segoe UI" w:cs="Segoe UI"/>
        </w:rPr>
        <w:t xml:space="preserve"> à fin juin</w:t>
      </w:r>
      <w:r w:rsidRPr="00215B3D">
        <w:rPr>
          <w:rFonts w:ascii="Segoe UI" w:hAnsi="Segoe UI" w:cs="Segoe UI"/>
        </w:rPr>
        <w:t xml:space="preserve"> 201</w:t>
      </w:r>
      <w:r w:rsidR="00915477" w:rsidRPr="00215B3D">
        <w:rPr>
          <w:rFonts w:ascii="Segoe UI" w:hAnsi="Segoe UI" w:cs="Segoe UI"/>
        </w:rPr>
        <w:t>7</w:t>
      </w:r>
      <w:bookmarkEnd w:id="38"/>
    </w:p>
    <w:tbl>
      <w:tblPr>
        <w:tblpPr w:leftFromText="141" w:rightFromText="141" w:vertAnchor="text" w:horzAnchor="margin" w:tblpXSpec="center" w:tblpY="297"/>
        <w:tblW w:w="9426" w:type="dxa"/>
        <w:tblCellMar>
          <w:left w:w="70" w:type="dxa"/>
          <w:right w:w="70" w:type="dxa"/>
        </w:tblCellMar>
        <w:tblLook w:val="04A0" w:firstRow="1" w:lastRow="0" w:firstColumn="1" w:lastColumn="0" w:noHBand="0" w:noVBand="1"/>
      </w:tblPr>
      <w:tblGrid>
        <w:gridCol w:w="4465"/>
        <w:gridCol w:w="1443"/>
        <w:gridCol w:w="1731"/>
        <w:gridCol w:w="1813"/>
      </w:tblGrid>
      <w:tr w:rsidR="00744FF6" w:rsidRPr="00215B3D" w:rsidTr="00BB7DA3">
        <w:trPr>
          <w:trHeight w:val="255"/>
        </w:trPr>
        <w:tc>
          <w:tcPr>
            <w:tcW w:w="4465" w:type="dxa"/>
            <w:tcBorders>
              <w:top w:val="nil"/>
              <w:left w:val="nil"/>
              <w:bottom w:val="nil"/>
              <w:right w:val="nil"/>
            </w:tcBorders>
            <w:noWrap/>
            <w:vAlign w:val="bottom"/>
            <w:hideMark/>
          </w:tcPr>
          <w:p w:rsidR="00744FF6" w:rsidRPr="00215B3D" w:rsidRDefault="00744FF6" w:rsidP="0059023D">
            <w:pPr>
              <w:spacing w:after="0" w:line="240" w:lineRule="auto"/>
              <w:rPr>
                <w:rFonts w:ascii="Segoe UI" w:hAnsi="Segoe UI" w:cs="Segoe UI"/>
                <w:szCs w:val="20"/>
              </w:rPr>
            </w:pPr>
          </w:p>
        </w:tc>
        <w:tc>
          <w:tcPr>
            <w:tcW w:w="3148" w:type="dxa"/>
            <w:gridSpan w:val="2"/>
            <w:tcBorders>
              <w:top w:val="nil"/>
              <w:left w:val="nil"/>
              <w:bottom w:val="nil"/>
              <w:right w:val="nil"/>
            </w:tcBorders>
            <w:noWrap/>
            <w:vAlign w:val="bottom"/>
            <w:hideMark/>
          </w:tcPr>
          <w:p w:rsidR="00744FF6" w:rsidRPr="00215B3D" w:rsidRDefault="00744FF6" w:rsidP="0059023D">
            <w:pPr>
              <w:spacing w:after="0" w:line="240" w:lineRule="auto"/>
              <w:rPr>
                <w:rFonts w:ascii="Segoe UI" w:hAnsi="Segoe UI" w:cs="Segoe UI"/>
                <w:szCs w:val="10"/>
              </w:rPr>
            </w:pPr>
            <w:r w:rsidRPr="00215B3D">
              <w:rPr>
                <w:rFonts w:ascii="Segoe UI" w:hAnsi="Segoe UI" w:cs="Segoe UI"/>
                <w:bCs/>
                <w:iCs/>
                <w:szCs w:val="20"/>
              </w:rPr>
              <w:t>En millions de FCFA</w:t>
            </w:r>
          </w:p>
        </w:tc>
        <w:tc>
          <w:tcPr>
            <w:tcW w:w="1813" w:type="dxa"/>
            <w:tcBorders>
              <w:top w:val="nil"/>
              <w:left w:val="nil"/>
              <w:bottom w:val="nil"/>
              <w:right w:val="nil"/>
            </w:tcBorders>
            <w:noWrap/>
            <w:vAlign w:val="bottom"/>
            <w:hideMark/>
          </w:tcPr>
          <w:p w:rsidR="00744FF6" w:rsidRPr="00215B3D" w:rsidRDefault="00744FF6" w:rsidP="0059023D">
            <w:pPr>
              <w:spacing w:after="0" w:line="240" w:lineRule="auto"/>
              <w:rPr>
                <w:rFonts w:ascii="Segoe UI" w:hAnsi="Segoe UI" w:cs="Segoe UI"/>
                <w:szCs w:val="20"/>
              </w:rPr>
            </w:pPr>
          </w:p>
        </w:tc>
      </w:tr>
      <w:tr w:rsidR="00744FF6" w:rsidRPr="00215B3D" w:rsidTr="00BB7DA3">
        <w:trPr>
          <w:trHeight w:val="420"/>
        </w:trPr>
        <w:tc>
          <w:tcPr>
            <w:tcW w:w="4465" w:type="dxa"/>
            <w:tcBorders>
              <w:top w:val="single" w:sz="4" w:space="0" w:color="auto"/>
              <w:left w:val="single" w:sz="4" w:space="0" w:color="auto"/>
              <w:bottom w:val="single" w:sz="4" w:space="0" w:color="auto"/>
              <w:right w:val="single" w:sz="4" w:space="0" w:color="auto"/>
            </w:tcBorders>
            <w:noWrap/>
            <w:vAlign w:val="center"/>
            <w:hideMark/>
          </w:tcPr>
          <w:p w:rsidR="00744FF6" w:rsidRPr="00215B3D" w:rsidRDefault="00744FF6" w:rsidP="0059023D">
            <w:pPr>
              <w:spacing w:after="0" w:line="240" w:lineRule="auto"/>
              <w:jc w:val="center"/>
              <w:rPr>
                <w:rFonts w:ascii="Segoe UI" w:hAnsi="Segoe UI" w:cs="Segoe UI"/>
                <w:b/>
                <w:bCs/>
                <w:szCs w:val="20"/>
              </w:rPr>
            </w:pPr>
            <w:r w:rsidRPr="00215B3D">
              <w:rPr>
                <w:rFonts w:ascii="Segoe UI" w:hAnsi="Segoe UI" w:cs="Segoe UI"/>
                <w:b/>
                <w:bCs/>
                <w:szCs w:val="20"/>
              </w:rPr>
              <w:t xml:space="preserve">Type de Budget </w:t>
            </w:r>
          </w:p>
        </w:tc>
        <w:tc>
          <w:tcPr>
            <w:tcW w:w="1417" w:type="dxa"/>
            <w:tcBorders>
              <w:top w:val="single" w:sz="4" w:space="0" w:color="auto"/>
              <w:left w:val="nil"/>
              <w:bottom w:val="single" w:sz="4" w:space="0" w:color="auto"/>
              <w:right w:val="single" w:sz="4" w:space="0" w:color="auto"/>
            </w:tcBorders>
            <w:noWrap/>
            <w:vAlign w:val="center"/>
            <w:hideMark/>
          </w:tcPr>
          <w:p w:rsidR="00744FF6" w:rsidRPr="00215B3D" w:rsidRDefault="00744FF6" w:rsidP="0059023D">
            <w:pPr>
              <w:spacing w:after="0" w:line="240" w:lineRule="auto"/>
              <w:jc w:val="center"/>
              <w:rPr>
                <w:rFonts w:ascii="Segoe UI" w:hAnsi="Segoe UI" w:cs="Segoe UI"/>
                <w:b/>
                <w:bCs/>
                <w:szCs w:val="20"/>
              </w:rPr>
            </w:pPr>
            <w:r w:rsidRPr="00215B3D">
              <w:rPr>
                <w:rFonts w:ascii="Segoe UI" w:hAnsi="Segoe UI" w:cs="Segoe UI"/>
                <w:b/>
                <w:bCs/>
                <w:szCs w:val="20"/>
              </w:rPr>
              <w:t>Recettes</w:t>
            </w:r>
          </w:p>
        </w:tc>
        <w:tc>
          <w:tcPr>
            <w:tcW w:w="1731" w:type="dxa"/>
            <w:tcBorders>
              <w:top w:val="single" w:sz="4" w:space="0" w:color="auto"/>
              <w:left w:val="nil"/>
              <w:bottom w:val="single" w:sz="4" w:space="0" w:color="auto"/>
              <w:right w:val="single" w:sz="4" w:space="0" w:color="auto"/>
            </w:tcBorders>
            <w:noWrap/>
            <w:vAlign w:val="center"/>
            <w:hideMark/>
          </w:tcPr>
          <w:p w:rsidR="00744FF6" w:rsidRPr="00215B3D" w:rsidRDefault="00744FF6" w:rsidP="0059023D">
            <w:pPr>
              <w:spacing w:after="0" w:line="240" w:lineRule="auto"/>
              <w:jc w:val="center"/>
              <w:rPr>
                <w:rFonts w:ascii="Segoe UI" w:hAnsi="Segoe UI" w:cs="Segoe UI"/>
                <w:b/>
                <w:bCs/>
                <w:szCs w:val="20"/>
              </w:rPr>
            </w:pPr>
            <w:r w:rsidRPr="00215B3D">
              <w:rPr>
                <w:rFonts w:ascii="Segoe UI" w:hAnsi="Segoe UI" w:cs="Segoe UI"/>
                <w:b/>
                <w:bCs/>
                <w:szCs w:val="20"/>
              </w:rPr>
              <w:t>Dépenses</w:t>
            </w:r>
          </w:p>
        </w:tc>
        <w:tc>
          <w:tcPr>
            <w:tcW w:w="1813" w:type="dxa"/>
            <w:tcBorders>
              <w:top w:val="single" w:sz="4" w:space="0" w:color="auto"/>
              <w:left w:val="nil"/>
              <w:bottom w:val="single" w:sz="4" w:space="0" w:color="auto"/>
              <w:right w:val="single" w:sz="4" w:space="0" w:color="auto"/>
            </w:tcBorders>
            <w:noWrap/>
            <w:vAlign w:val="center"/>
            <w:hideMark/>
          </w:tcPr>
          <w:p w:rsidR="00744FF6" w:rsidRPr="00215B3D" w:rsidRDefault="00744FF6" w:rsidP="0059023D">
            <w:pPr>
              <w:spacing w:after="0" w:line="240" w:lineRule="auto"/>
              <w:jc w:val="center"/>
              <w:rPr>
                <w:rFonts w:ascii="Segoe UI" w:hAnsi="Segoe UI" w:cs="Segoe UI"/>
                <w:b/>
                <w:bCs/>
                <w:szCs w:val="20"/>
              </w:rPr>
            </w:pPr>
            <w:r w:rsidRPr="00215B3D">
              <w:rPr>
                <w:rFonts w:ascii="Segoe UI" w:hAnsi="Segoe UI" w:cs="Segoe UI"/>
                <w:b/>
                <w:bCs/>
                <w:szCs w:val="20"/>
              </w:rPr>
              <w:t>Solde</w:t>
            </w:r>
          </w:p>
        </w:tc>
      </w:tr>
      <w:tr w:rsidR="00022EC7" w:rsidRPr="00215B3D" w:rsidTr="00BB7DA3">
        <w:trPr>
          <w:trHeight w:val="390"/>
        </w:trPr>
        <w:tc>
          <w:tcPr>
            <w:tcW w:w="4465" w:type="dxa"/>
            <w:tcBorders>
              <w:top w:val="nil"/>
              <w:left w:val="single" w:sz="4" w:space="0" w:color="auto"/>
              <w:bottom w:val="single" w:sz="4" w:space="0" w:color="auto"/>
              <w:right w:val="single" w:sz="4" w:space="0" w:color="auto"/>
            </w:tcBorders>
            <w:noWrap/>
            <w:vAlign w:val="center"/>
            <w:hideMark/>
          </w:tcPr>
          <w:p w:rsidR="00022EC7" w:rsidRPr="00215B3D" w:rsidRDefault="00022EC7" w:rsidP="00022EC7">
            <w:pPr>
              <w:spacing w:after="0" w:line="240" w:lineRule="auto"/>
              <w:jc w:val="center"/>
              <w:rPr>
                <w:rFonts w:ascii="Segoe UI" w:hAnsi="Segoe UI" w:cs="Segoe UI"/>
                <w:b/>
                <w:bCs/>
                <w:szCs w:val="20"/>
              </w:rPr>
            </w:pPr>
            <w:r w:rsidRPr="00215B3D">
              <w:rPr>
                <w:rFonts w:ascii="Segoe UI" w:hAnsi="Segoe UI" w:cs="Segoe UI"/>
                <w:b/>
                <w:bCs/>
                <w:szCs w:val="20"/>
              </w:rPr>
              <w:t>Budget Général et Comptes d’Affectation</w:t>
            </w:r>
          </w:p>
        </w:tc>
        <w:tc>
          <w:tcPr>
            <w:tcW w:w="1417" w:type="dxa"/>
            <w:tcBorders>
              <w:top w:val="nil"/>
              <w:left w:val="nil"/>
              <w:bottom w:val="single" w:sz="4" w:space="0" w:color="auto"/>
              <w:right w:val="single" w:sz="4" w:space="0" w:color="auto"/>
            </w:tcBorders>
            <w:noWrap/>
            <w:vAlign w:val="center"/>
            <w:hideMark/>
          </w:tcPr>
          <w:p w:rsidR="00022EC7" w:rsidRPr="00846FEF" w:rsidRDefault="00846FEF" w:rsidP="00846FEF">
            <w:pPr>
              <w:pStyle w:val="Paragraphedeliste"/>
              <w:numPr>
                <w:ilvl w:val="0"/>
                <w:numId w:val="41"/>
              </w:numPr>
              <w:jc w:val="right"/>
              <w:rPr>
                <w:rFonts w:ascii="Segoe UI" w:hAnsi="Segoe UI" w:cs="Segoe UI"/>
                <w:color w:val="000000"/>
              </w:rPr>
            </w:pPr>
            <w:r>
              <w:rPr>
                <w:rFonts w:ascii="Segoe UI" w:hAnsi="Segoe UI" w:cs="Segoe UI"/>
                <w:color w:val="000000"/>
              </w:rPr>
              <w:t> 503,5</w:t>
            </w:r>
          </w:p>
        </w:tc>
        <w:tc>
          <w:tcPr>
            <w:tcW w:w="1731" w:type="dxa"/>
            <w:tcBorders>
              <w:top w:val="nil"/>
              <w:left w:val="nil"/>
              <w:bottom w:val="single" w:sz="4" w:space="0" w:color="auto"/>
              <w:right w:val="single" w:sz="4" w:space="0" w:color="auto"/>
            </w:tcBorders>
            <w:noWrap/>
            <w:vAlign w:val="center"/>
            <w:hideMark/>
          </w:tcPr>
          <w:p w:rsidR="00022EC7" w:rsidRPr="00215B3D" w:rsidRDefault="00DE3D58" w:rsidP="00DE3D58">
            <w:pPr>
              <w:ind w:left="360"/>
              <w:jc w:val="right"/>
              <w:rPr>
                <w:rFonts w:ascii="Segoe UI" w:hAnsi="Segoe UI" w:cs="Segoe UI"/>
                <w:color w:val="000000"/>
              </w:rPr>
            </w:pPr>
            <w:r>
              <w:rPr>
                <w:rFonts w:ascii="Segoe UI" w:hAnsi="Segoe UI" w:cs="Segoe UI"/>
                <w:color w:val="000000"/>
              </w:rPr>
              <w:t>525 1</w:t>
            </w:r>
            <w:r w:rsidR="00846FEF">
              <w:rPr>
                <w:rFonts w:ascii="Segoe UI" w:hAnsi="Segoe UI" w:cs="Segoe UI"/>
                <w:color w:val="000000"/>
              </w:rPr>
              <w:t>57,3</w:t>
            </w:r>
          </w:p>
        </w:tc>
        <w:tc>
          <w:tcPr>
            <w:tcW w:w="1813" w:type="dxa"/>
            <w:tcBorders>
              <w:top w:val="nil"/>
              <w:left w:val="nil"/>
              <w:bottom w:val="single" w:sz="4" w:space="0" w:color="auto"/>
              <w:right w:val="single" w:sz="4" w:space="0" w:color="auto"/>
            </w:tcBorders>
            <w:noWrap/>
            <w:vAlign w:val="center"/>
            <w:hideMark/>
          </w:tcPr>
          <w:p w:rsidR="00022EC7" w:rsidRPr="00215B3D" w:rsidRDefault="004C6E01" w:rsidP="00DE3D58">
            <w:pPr>
              <w:jc w:val="center"/>
              <w:rPr>
                <w:rFonts w:ascii="Segoe UI" w:hAnsi="Segoe UI" w:cs="Segoe UI"/>
                <w:color w:val="000000"/>
              </w:rPr>
            </w:pPr>
            <w:r>
              <w:rPr>
                <w:rFonts w:ascii="Segoe UI" w:hAnsi="Segoe UI" w:cs="Segoe UI"/>
                <w:color w:val="000000"/>
              </w:rPr>
              <w:t>-</w:t>
            </w:r>
            <w:r w:rsidR="00846FEF">
              <w:rPr>
                <w:rFonts w:ascii="Segoe UI" w:hAnsi="Segoe UI" w:cs="Segoe UI"/>
                <w:color w:val="000000"/>
              </w:rPr>
              <w:t xml:space="preserve"> </w:t>
            </w:r>
            <w:r w:rsidR="00DE3D58">
              <w:rPr>
                <w:rFonts w:ascii="Segoe UI" w:hAnsi="Segoe UI" w:cs="Segoe UI"/>
                <w:color w:val="000000"/>
              </w:rPr>
              <w:t>87 653,8</w:t>
            </w:r>
          </w:p>
        </w:tc>
      </w:tr>
      <w:tr w:rsidR="00022EC7" w:rsidRPr="00215B3D" w:rsidTr="00BB7DA3">
        <w:trPr>
          <w:trHeight w:val="390"/>
        </w:trPr>
        <w:tc>
          <w:tcPr>
            <w:tcW w:w="4465" w:type="dxa"/>
            <w:tcBorders>
              <w:top w:val="nil"/>
              <w:left w:val="single" w:sz="4" w:space="0" w:color="auto"/>
              <w:bottom w:val="single" w:sz="4" w:space="0" w:color="auto"/>
              <w:right w:val="single" w:sz="4" w:space="0" w:color="auto"/>
            </w:tcBorders>
            <w:noWrap/>
            <w:vAlign w:val="center"/>
          </w:tcPr>
          <w:p w:rsidR="00022EC7" w:rsidRPr="00215B3D" w:rsidRDefault="00022EC7" w:rsidP="00022EC7">
            <w:pPr>
              <w:spacing w:after="0" w:line="240" w:lineRule="auto"/>
              <w:jc w:val="center"/>
              <w:rPr>
                <w:rFonts w:ascii="Segoe UI" w:hAnsi="Segoe UI" w:cs="Segoe UI"/>
                <w:b/>
                <w:bCs/>
                <w:szCs w:val="20"/>
              </w:rPr>
            </w:pPr>
            <w:r w:rsidRPr="00215B3D">
              <w:rPr>
                <w:rFonts w:ascii="Segoe UI" w:hAnsi="Segoe UI" w:cs="Segoe UI"/>
                <w:b/>
                <w:bCs/>
                <w:szCs w:val="20"/>
              </w:rPr>
              <w:t>FNRB</w:t>
            </w:r>
          </w:p>
        </w:tc>
        <w:tc>
          <w:tcPr>
            <w:tcW w:w="1417" w:type="dxa"/>
            <w:tcBorders>
              <w:top w:val="nil"/>
              <w:left w:val="nil"/>
              <w:bottom w:val="single" w:sz="4" w:space="0" w:color="auto"/>
              <w:right w:val="single" w:sz="4" w:space="0" w:color="auto"/>
            </w:tcBorders>
            <w:noWrap/>
            <w:vAlign w:val="center"/>
          </w:tcPr>
          <w:p w:rsidR="00022EC7" w:rsidRPr="00215B3D" w:rsidRDefault="005A53B9" w:rsidP="00022EC7">
            <w:pPr>
              <w:jc w:val="right"/>
              <w:rPr>
                <w:rFonts w:ascii="Segoe UI" w:hAnsi="Segoe UI" w:cs="Segoe UI"/>
                <w:color w:val="000000"/>
              </w:rPr>
            </w:pPr>
            <w:r w:rsidRPr="00215B3D">
              <w:rPr>
                <w:rFonts w:ascii="Segoe UI" w:hAnsi="Segoe UI" w:cs="Segoe UI"/>
                <w:color w:val="000000"/>
              </w:rPr>
              <w:t>11 144,7</w:t>
            </w:r>
          </w:p>
        </w:tc>
        <w:tc>
          <w:tcPr>
            <w:tcW w:w="1731" w:type="dxa"/>
            <w:tcBorders>
              <w:top w:val="nil"/>
              <w:left w:val="nil"/>
              <w:bottom w:val="single" w:sz="4" w:space="0" w:color="auto"/>
              <w:right w:val="single" w:sz="4" w:space="0" w:color="auto"/>
            </w:tcBorders>
            <w:noWrap/>
            <w:vAlign w:val="center"/>
          </w:tcPr>
          <w:p w:rsidR="00022EC7" w:rsidRPr="00215B3D" w:rsidRDefault="004C6E01" w:rsidP="00022EC7">
            <w:pPr>
              <w:jc w:val="right"/>
              <w:rPr>
                <w:rFonts w:ascii="Segoe UI" w:hAnsi="Segoe UI" w:cs="Segoe UI"/>
                <w:color w:val="000000"/>
              </w:rPr>
            </w:pPr>
            <w:r>
              <w:rPr>
                <w:rFonts w:ascii="Segoe UI" w:hAnsi="Segoe UI" w:cs="Segoe UI"/>
                <w:color w:val="000000"/>
              </w:rPr>
              <w:t>37 924,9</w:t>
            </w:r>
          </w:p>
        </w:tc>
        <w:tc>
          <w:tcPr>
            <w:tcW w:w="1813" w:type="dxa"/>
            <w:tcBorders>
              <w:top w:val="nil"/>
              <w:left w:val="nil"/>
              <w:bottom w:val="single" w:sz="4" w:space="0" w:color="auto"/>
              <w:right w:val="single" w:sz="4" w:space="0" w:color="auto"/>
            </w:tcBorders>
            <w:noWrap/>
            <w:vAlign w:val="center"/>
          </w:tcPr>
          <w:p w:rsidR="00022EC7" w:rsidRPr="00215B3D" w:rsidRDefault="00851B4F" w:rsidP="004C6E01">
            <w:pPr>
              <w:jc w:val="center"/>
              <w:rPr>
                <w:rFonts w:ascii="Segoe UI" w:hAnsi="Segoe UI" w:cs="Segoe UI"/>
                <w:color w:val="000000"/>
              </w:rPr>
            </w:pPr>
            <w:r w:rsidRPr="00215B3D">
              <w:rPr>
                <w:rFonts w:ascii="Segoe UI" w:hAnsi="Segoe UI" w:cs="Segoe UI"/>
                <w:color w:val="000000"/>
              </w:rPr>
              <w:t>-</w:t>
            </w:r>
            <w:r w:rsidR="004C6E01">
              <w:rPr>
                <w:rFonts w:ascii="Segoe UI" w:hAnsi="Segoe UI" w:cs="Segoe UI"/>
                <w:color w:val="000000"/>
              </w:rPr>
              <w:t xml:space="preserve"> 26 780,2</w:t>
            </w:r>
          </w:p>
        </w:tc>
      </w:tr>
      <w:tr w:rsidR="00022EC7" w:rsidRPr="00215B3D" w:rsidTr="00BB7DA3">
        <w:trPr>
          <w:trHeight w:val="385"/>
        </w:trPr>
        <w:tc>
          <w:tcPr>
            <w:tcW w:w="4465" w:type="dxa"/>
            <w:tcBorders>
              <w:top w:val="nil"/>
              <w:left w:val="single" w:sz="4" w:space="0" w:color="auto"/>
              <w:bottom w:val="single" w:sz="4" w:space="0" w:color="auto"/>
              <w:right w:val="single" w:sz="4" w:space="0" w:color="auto"/>
            </w:tcBorders>
            <w:noWrap/>
            <w:vAlign w:val="center"/>
          </w:tcPr>
          <w:p w:rsidR="00022EC7" w:rsidRPr="00215B3D" w:rsidRDefault="00022EC7" w:rsidP="00022EC7">
            <w:pPr>
              <w:spacing w:after="0" w:line="240" w:lineRule="auto"/>
              <w:jc w:val="center"/>
              <w:rPr>
                <w:rFonts w:ascii="Segoe UI" w:hAnsi="Segoe UI" w:cs="Segoe UI"/>
                <w:b/>
                <w:bCs/>
                <w:szCs w:val="20"/>
              </w:rPr>
            </w:pPr>
            <w:r w:rsidRPr="00215B3D">
              <w:rPr>
                <w:rFonts w:ascii="Segoe UI" w:hAnsi="Segoe UI" w:cs="Segoe UI"/>
                <w:b/>
                <w:bCs/>
                <w:szCs w:val="20"/>
              </w:rPr>
              <w:t>CAA</w:t>
            </w:r>
          </w:p>
        </w:tc>
        <w:tc>
          <w:tcPr>
            <w:tcW w:w="1417" w:type="dxa"/>
            <w:tcBorders>
              <w:top w:val="nil"/>
              <w:left w:val="nil"/>
              <w:bottom w:val="single" w:sz="4" w:space="0" w:color="auto"/>
              <w:right w:val="single" w:sz="4" w:space="0" w:color="auto"/>
            </w:tcBorders>
            <w:noWrap/>
            <w:vAlign w:val="center"/>
          </w:tcPr>
          <w:p w:rsidR="00022EC7" w:rsidRPr="00215B3D" w:rsidRDefault="005A53B9" w:rsidP="004C6E01">
            <w:pPr>
              <w:jc w:val="right"/>
              <w:rPr>
                <w:rFonts w:ascii="Segoe UI" w:hAnsi="Segoe UI" w:cs="Segoe UI"/>
                <w:color w:val="000000"/>
              </w:rPr>
            </w:pPr>
            <w:r w:rsidRPr="00215B3D">
              <w:rPr>
                <w:rFonts w:ascii="Segoe UI" w:hAnsi="Segoe UI" w:cs="Segoe UI"/>
                <w:color w:val="000000"/>
              </w:rPr>
              <w:t>17</w:t>
            </w:r>
            <w:r w:rsidR="004C6E01">
              <w:rPr>
                <w:rFonts w:ascii="Segoe UI" w:hAnsi="Segoe UI" w:cs="Segoe UI"/>
                <w:color w:val="000000"/>
              </w:rPr>
              <w:t> 645,3</w:t>
            </w:r>
          </w:p>
        </w:tc>
        <w:tc>
          <w:tcPr>
            <w:tcW w:w="1731" w:type="dxa"/>
            <w:tcBorders>
              <w:top w:val="nil"/>
              <w:left w:val="nil"/>
              <w:bottom w:val="single" w:sz="4" w:space="0" w:color="auto"/>
              <w:right w:val="single" w:sz="4" w:space="0" w:color="auto"/>
            </w:tcBorders>
            <w:noWrap/>
            <w:vAlign w:val="center"/>
          </w:tcPr>
          <w:p w:rsidR="00022EC7" w:rsidRPr="00091D0C" w:rsidRDefault="000575A6" w:rsidP="00022EC7">
            <w:pPr>
              <w:jc w:val="right"/>
              <w:rPr>
                <w:rFonts w:ascii="Segoe UI" w:hAnsi="Segoe UI" w:cs="Segoe UI"/>
                <w:color w:val="000000"/>
              </w:rPr>
            </w:pPr>
            <w:r w:rsidRPr="00091D0C">
              <w:rPr>
                <w:rFonts w:ascii="Segoe UI" w:hAnsi="Segoe UI" w:cs="Segoe UI"/>
                <w:color w:val="000000"/>
              </w:rPr>
              <w:t>802,7</w:t>
            </w:r>
          </w:p>
        </w:tc>
        <w:tc>
          <w:tcPr>
            <w:tcW w:w="1813" w:type="dxa"/>
            <w:tcBorders>
              <w:top w:val="nil"/>
              <w:left w:val="nil"/>
              <w:bottom w:val="single" w:sz="4" w:space="0" w:color="auto"/>
              <w:right w:val="single" w:sz="4" w:space="0" w:color="auto"/>
            </w:tcBorders>
            <w:noWrap/>
            <w:vAlign w:val="center"/>
          </w:tcPr>
          <w:p w:rsidR="00022EC7" w:rsidRPr="00215B3D" w:rsidRDefault="004C6E01" w:rsidP="004C6E01">
            <w:pPr>
              <w:jc w:val="center"/>
              <w:rPr>
                <w:rFonts w:ascii="Segoe UI" w:hAnsi="Segoe UI" w:cs="Segoe UI"/>
                <w:color w:val="000000"/>
              </w:rPr>
            </w:pPr>
            <w:r>
              <w:rPr>
                <w:rFonts w:ascii="Segoe UI" w:hAnsi="Segoe UI" w:cs="Segoe UI"/>
                <w:color w:val="000000"/>
              </w:rPr>
              <w:t>16 842,6</w:t>
            </w:r>
          </w:p>
        </w:tc>
      </w:tr>
      <w:tr w:rsidR="00022EC7" w:rsidRPr="00215B3D" w:rsidTr="007F7A85">
        <w:trPr>
          <w:trHeight w:val="322"/>
        </w:trPr>
        <w:tc>
          <w:tcPr>
            <w:tcW w:w="4465" w:type="dxa"/>
            <w:tcBorders>
              <w:top w:val="nil"/>
              <w:left w:val="single" w:sz="4" w:space="0" w:color="auto"/>
              <w:bottom w:val="single" w:sz="4" w:space="0" w:color="auto"/>
              <w:right w:val="single" w:sz="4" w:space="0" w:color="auto"/>
            </w:tcBorders>
            <w:noWrap/>
            <w:vAlign w:val="center"/>
          </w:tcPr>
          <w:p w:rsidR="00022EC7" w:rsidRPr="00215B3D" w:rsidRDefault="00022EC7" w:rsidP="00022EC7">
            <w:pPr>
              <w:spacing w:after="0" w:line="240" w:lineRule="auto"/>
              <w:jc w:val="center"/>
              <w:rPr>
                <w:rFonts w:ascii="Segoe UI" w:hAnsi="Segoe UI" w:cs="Segoe UI"/>
                <w:b/>
                <w:bCs/>
                <w:szCs w:val="20"/>
              </w:rPr>
            </w:pPr>
            <w:r w:rsidRPr="00215B3D">
              <w:rPr>
                <w:rFonts w:ascii="Segoe UI" w:hAnsi="Segoe UI" w:cs="Segoe UI"/>
                <w:b/>
                <w:bCs/>
                <w:szCs w:val="20"/>
              </w:rPr>
              <w:t>FR</w:t>
            </w:r>
          </w:p>
        </w:tc>
        <w:tc>
          <w:tcPr>
            <w:tcW w:w="1417" w:type="dxa"/>
            <w:tcBorders>
              <w:top w:val="nil"/>
              <w:left w:val="nil"/>
              <w:bottom w:val="single" w:sz="4" w:space="0" w:color="auto"/>
              <w:right w:val="single" w:sz="4" w:space="0" w:color="auto"/>
            </w:tcBorders>
            <w:noWrap/>
            <w:vAlign w:val="center"/>
          </w:tcPr>
          <w:p w:rsidR="00022EC7" w:rsidRPr="00215B3D" w:rsidRDefault="005A53B9" w:rsidP="005A53B9">
            <w:pPr>
              <w:rPr>
                <w:rFonts w:ascii="Segoe UI" w:hAnsi="Segoe UI" w:cs="Segoe UI"/>
                <w:color w:val="000000"/>
              </w:rPr>
            </w:pPr>
            <w:r w:rsidRPr="00215B3D">
              <w:rPr>
                <w:rFonts w:ascii="Segoe UI" w:hAnsi="Segoe UI" w:cs="Segoe UI"/>
                <w:color w:val="000000"/>
              </w:rPr>
              <w:t xml:space="preserve">   </w:t>
            </w:r>
            <w:r w:rsidR="0020648F" w:rsidRPr="00215B3D">
              <w:rPr>
                <w:rFonts w:ascii="Segoe UI" w:hAnsi="Segoe UI" w:cs="Segoe UI"/>
                <w:color w:val="000000"/>
              </w:rPr>
              <w:t xml:space="preserve">    </w:t>
            </w:r>
            <w:r w:rsidRPr="00215B3D">
              <w:rPr>
                <w:rFonts w:ascii="Segoe UI" w:hAnsi="Segoe UI" w:cs="Segoe UI"/>
                <w:color w:val="000000"/>
              </w:rPr>
              <w:t xml:space="preserve"> 1 956,9</w:t>
            </w:r>
          </w:p>
        </w:tc>
        <w:tc>
          <w:tcPr>
            <w:tcW w:w="1731" w:type="dxa"/>
            <w:tcBorders>
              <w:top w:val="nil"/>
              <w:left w:val="nil"/>
              <w:bottom w:val="single" w:sz="4" w:space="0" w:color="auto"/>
              <w:right w:val="single" w:sz="4" w:space="0" w:color="auto"/>
            </w:tcBorders>
            <w:noWrap/>
            <w:vAlign w:val="center"/>
          </w:tcPr>
          <w:p w:rsidR="00022EC7" w:rsidRPr="00091D0C" w:rsidRDefault="000575A6" w:rsidP="00022EC7">
            <w:pPr>
              <w:jc w:val="right"/>
              <w:rPr>
                <w:rFonts w:ascii="Segoe UI" w:hAnsi="Segoe UI" w:cs="Segoe UI"/>
                <w:color w:val="000000"/>
              </w:rPr>
            </w:pPr>
            <w:r w:rsidRPr="00091D0C">
              <w:rPr>
                <w:rFonts w:ascii="Segoe UI" w:hAnsi="Segoe UI" w:cs="Segoe UI"/>
                <w:color w:val="000000"/>
              </w:rPr>
              <w:t>1 397,5</w:t>
            </w:r>
          </w:p>
        </w:tc>
        <w:tc>
          <w:tcPr>
            <w:tcW w:w="1813" w:type="dxa"/>
            <w:tcBorders>
              <w:top w:val="nil"/>
              <w:left w:val="nil"/>
              <w:bottom w:val="single" w:sz="4" w:space="0" w:color="auto"/>
              <w:right w:val="single" w:sz="4" w:space="0" w:color="auto"/>
            </w:tcBorders>
            <w:noWrap/>
            <w:vAlign w:val="center"/>
          </w:tcPr>
          <w:p w:rsidR="00022EC7" w:rsidRPr="00215B3D" w:rsidRDefault="00846FEF" w:rsidP="004C6E01">
            <w:pPr>
              <w:jc w:val="center"/>
              <w:rPr>
                <w:rFonts w:ascii="Segoe UI" w:hAnsi="Segoe UI" w:cs="Segoe UI"/>
                <w:color w:val="000000"/>
              </w:rPr>
            </w:pPr>
            <w:r>
              <w:rPr>
                <w:rFonts w:ascii="Segoe UI" w:hAnsi="Segoe UI" w:cs="Segoe UI"/>
                <w:color w:val="000000"/>
              </w:rPr>
              <w:t xml:space="preserve">   </w:t>
            </w:r>
            <w:r w:rsidR="004C6E01">
              <w:rPr>
                <w:rFonts w:ascii="Segoe UI" w:hAnsi="Segoe UI" w:cs="Segoe UI"/>
                <w:color w:val="000000"/>
              </w:rPr>
              <w:t>5</w:t>
            </w:r>
            <w:r w:rsidR="00851B4F" w:rsidRPr="00215B3D">
              <w:rPr>
                <w:rFonts w:ascii="Segoe UI" w:hAnsi="Segoe UI" w:cs="Segoe UI"/>
                <w:color w:val="000000"/>
              </w:rPr>
              <w:t>59</w:t>
            </w:r>
            <w:r w:rsidR="004C6E01">
              <w:rPr>
                <w:rFonts w:ascii="Segoe UI" w:hAnsi="Segoe UI" w:cs="Segoe UI"/>
                <w:color w:val="000000"/>
              </w:rPr>
              <w:t>,</w:t>
            </w:r>
            <w:r w:rsidR="00851B4F" w:rsidRPr="00215B3D">
              <w:rPr>
                <w:rFonts w:ascii="Segoe UI" w:hAnsi="Segoe UI" w:cs="Segoe UI"/>
                <w:color w:val="000000"/>
              </w:rPr>
              <w:t>4</w:t>
            </w:r>
          </w:p>
        </w:tc>
      </w:tr>
      <w:tr w:rsidR="00022EC7" w:rsidRPr="00215B3D" w:rsidTr="00BB7DA3">
        <w:trPr>
          <w:trHeight w:val="375"/>
        </w:trPr>
        <w:tc>
          <w:tcPr>
            <w:tcW w:w="4465" w:type="dxa"/>
            <w:tcBorders>
              <w:top w:val="nil"/>
              <w:left w:val="single" w:sz="4" w:space="0" w:color="auto"/>
              <w:bottom w:val="single" w:sz="4" w:space="0" w:color="auto"/>
              <w:right w:val="single" w:sz="4" w:space="0" w:color="auto"/>
            </w:tcBorders>
            <w:noWrap/>
            <w:vAlign w:val="center"/>
          </w:tcPr>
          <w:p w:rsidR="00022EC7" w:rsidRPr="00215B3D" w:rsidRDefault="00022EC7" w:rsidP="00022EC7">
            <w:pPr>
              <w:spacing w:after="0" w:line="240" w:lineRule="auto"/>
              <w:jc w:val="center"/>
              <w:rPr>
                <w:rFonts w:ascii="Segoe UI" w:hAnsi="Segoe UI" w:cs="Segoe UI"/>
                <w:b/>
                <w:bCs/>
                <w:szCs w:val="20"/>
              </w:rPr>
            </w:pPr>
            <w:r w:rsidRPr="00215B3D">
              <w:rPr>
                <w:rFonts w:ascii="Segoe UI" w:hAnsi="Segoe UI" w:cs="Segoe UI"/>
                <w:b/>
                <w:bCs/>
                <w:szCs w:val="20"/>
              </w:rPr>
              <w:t>Solde global d’exécution budgétaire</w:t>
            </w:r>
          </w:p>
        </w:tc>
        <w:tc>
          <w:tcPr>
            <w:tcW w:w="1417" w:type="dxa"/>
            <w:tcBorders>
              <w:top w:val="nil"/>
              <w:left w:val="nil"/>
              <w:bottom w:val="single" w:sz="4" w:space="0" w:color="auto"/>
              <w:right w:val="single" w:sz="4" w:space="0" w:color="auto"/>
            </w:tcBorders>
            <w:noWrap/>
            <w:vAlign w:val="center"/>
          </w:tcPr>
          <w:p w:rsidR="00022EC7" w:rsidRPr="00215B3D" w:rsidRDefault="00846FEF" w:rsidP="0019334F">
            <w:pPr>
              <w:jc w:val="right"/>
              <w:rPr>
                <w:rFonts w:ascii="Segoe UI" w:hAnsi="Segoe UI" w:cs="Segoe UI"/>
                <w:color w:val="000000"/>
              </w:rPr>
            </w:pPr>
            <w:r>
              <w:rPr>
                <w:rFonts w:ascii="Segoe UI" w:hAnsi="Segoe UI" w:cs="Segoe UI"/>
                <w:color w:val="000000"/>
              </w:rPr>
              <w:t>468 250,4</w:t>
            </w:r>
          </w:p>
        </w:tc>
        <w:tc>
          <w:tcPr>
            <w:tcW w:w="1731" w:type="dxa"/>
            <w:tcBorders>
              <w:top w:val="nil"/>
              <w:left w:val="nil"/>
              <w:bottom w:val="single" w:sz="4" w:space="0" w:color="auto"/>
              <w:right w:val="single" w:sz="4" w:space="0" w:color="auto"/>
            </w:tcBorders>
            <w:noWrap/>
            <w:vAlign w:val="center"/>
          </w:tcPr>
          <w:p w:rsidR="00022EC7" w:rsidRPr="00215B3D" w:rsidRDefault="00DE3D58" w:rsidP="00DE3D58">
            <w:pPr>
              <w:jc w:val="right"/>
              <w:rPr>
                <w:rFonts w:ascii="Segoe UI" w:hAnsi="Segoe UI" w:cs="Segoe UI"/>
                <w:color w:val="000000"/>
              </w:rPr>
            </w:pPr>
            <w:r>
              <w:rPr>
                <w:rFonts w:ascii="Segoe UI" w:hAnsi="Segoe UI" w:cs="Segoe UI"/>
                <w:color w:val="000000"/>
              </w:rPr>
              <w:t>565 282,4</w:t>
            </w:r>
          </w:p>
        </w:tc>
        <w:tc>
          <w:tcPr>
            <w:tcW w:w="1813" w:type="dxa"/>
            <w:tcBorders>
              <w:top w:val="nil"/>
              <w:left w:val="nil"/>
              <w:bottom w:val="single" w:sz="4" w:space="0" w:color="auto"/>
              <w:right w:val="single" w:sz="4" w:space="0" w:color="auto"/>
            </w:tcBorders>
            <w:noWrap/>
            <w:vAlign w:val="center"/>
          </w:tcPr>
          <w:p w:rsidR="00022EC7" w:rsidRPr="00215B3D" w:rsidRDefault="004C6E01" w:rsidP="00846FEF">
            <w:pPr>
              <w:jc w:val="center"/>
              <w:rPr>
                <w:rFonts w:ascii="Segoe UI" w:hAnsi="Segoe UI" w:cs="Segoe UI"/>
                <w:color w:val="000000"/>
              </w:rPr>
            </w:pPr>
            <w:r>
              <w:rPr>
                <w:rFonts w:ascii="Segoe UI" w:hAnsi="Segoe UI" w:cs="Segoe UI"/>
                <w:color w:val="000000"/>
              </w:rPr>
              <w:t xml:space="preserve">- </w:t>
            </w:r>
            <w:r w:rsidR="00DE3D58">
              <w:rPr>
                <w:rFonts w:ascii="Segoe UI" w:hAnsi="Segoe UI" w:cs="Segoe UI"/>
                <w:color w:val="000000"/>
              </w:rPr>
              <w:t>97 032</w:t>
            </w:r>
          </w:p>
        </w:tc>
      </w:tr>
    </w:tbl>
    <w:p w:rsidR="00533871" w:rsidRPr="00215B3D" w:rsidRDefault="00533871" w:rsidP="00AD11B0">
      <w:pPr>
        <w:spacing w:after="0" w:line="240" w:lineRule="auto"/>
        <w:rPr>
          <w:rFonts w:ascii="Segoe UI" w:hAnsi="Segoe UI" w:cs="Segoe UI"/>
          <w:b/>
          <w:bCs/>
          <w:iCs/>
          <w:sz w:val="20"/>
          <w:szCs w:val="20"/>
          <w:u w:val="single"/>
        </w:rPr>
      </w:pPr>
    </w:p>
    <w:p w:rsidR="00F31B5F" w:rsidRDefault="00744FF6" w:rsidP="006B36EE">
      <w:pPr>
        <w:spacing w:after="0" w:line="240" w:lineRule="auto"/>
        <w:rPr>
          <w:rFonts w:ascii="Segoe UI" w:hAnsi="Segoe UI" w:cs="Segoe UI"/>
          <w:sz w:val="16"/>
          <w:szCs w:val="16"/>
        </w:rPr>
      </w:pPr>
      <w:r w:rsidRPr="00215B3D">
        <w:rPr>
          <w:rFonts w:ascii="Segoe UI" w:hAnsi="Segoe UI" w:cs="Segoe UI"/>
          <w:b/>
          <w:bCs/>
          <w:iCs/>
          <w:sz w:val="20"/>
          <w:szCs w:val="20"/>
          <w:u w:val="single"/>
        </w:rPr>
        <w:t>Source</w:t>
      </w:r>
      <w:r w:rsidRPr="00215B3D">
        <w:rPr>
          <w:rFonts w:ascii="Segoe UI" w:hAnsi="Segoe UI" w:cs="Segoe UI"/>
          <w:bCs/>
          <w:iCs/>
          <w:sz w:val="20"/>
          <w:szCs w:val="20"/>
        </w:rPr>
        <w:t xml:space="preserve"> : </w:t>
      </w:r>
      <w:r w:rsidR="00FB509F" w:rsidRPr="00215B3D">
        <w:rPr>
          <w:rFonts w:ascii="Segoe UI" w:hAnsi="Segoe UI" w:cs="Segoe UI"/>
          <w:sz w:val="16"/>
        </w:rPr>
        <w:t xml:space="preserve">DGB, </w:t>
      </w:r>
      <w:r w:rsidR="00FB509F" w:rsidRPr="00215B3D">
        <w:rPr>
          <w:rFonts w:ascii="Segoe UI" w:hAnsi="Segoe UI" w:cs="Segoe UI"/>
          <w:sz w:val="20"/>
          <w:szCs w:val="20"/>
        </w:rPr>
        <w:t xml:space="preserve">sur la base des données fournies par le </w:t>
      </w:r>
      <w:proofErr w:type="spellStart"/>
      <w:r w:rsidR="00FB509F" w:rsidRPr="00215B3D">
        <w:rPr>
          <w:rFonts w:ascii="Segoe UI" w:hAnsi="Segoe UI" w:cs="Segoe UI"/>
          <w:sz w:val="20"/>
          <w:szCs w:val="20"/>
        </w:rPr>
        <w:t>SIGFiP</w:t>
      </w:r>
      <w:proofErr w:type="spellEnd"/>
      <w:r w:rsidRPr="00215B3D">
        <w:rPr>
          <w:rFonts w:ascii="Segoe UI" w:hAnsi="Segoe UI" w:cs="Segoe UI"/>
          <w:bCs/>
          <w:iCs/>
          <w:sz w:val="20"/>
          <w:szCs w:val="20"/>
        </w:rPr>
        <w:t xml:space="preserve">, </w:t>
      </w:r>
      <w:r w:rsidR="00945DE1" w:rsidRPr="00215B3D">
        <w:rPr>
          <w:rFonts w:ascii="Segoe UI" w:hAnsi="Segoe UI" w:cs="Segoe UI"/>
          <w:bCs/>
          <w:iCs/>
          <w:sz w:val="20"/>
          <w:szCs w:val="20"/>
        </w:rPr>
        <w:t>juin</w:t>
      </w:r>
      <w:r w:rsidR="00F75B4B" w:rsidRPr="00215B3D">
        <w:rPr>
          <w:rFonts w:ascii="Segoe UI" w:hAnsi="Segoe UI" w:cs="Segoe UI"/>
          <w:bCs/>
          <w:iCs/>
          <w:sz w:val="20"/>
          <w:szCs w:val="20"/>
        </w:rPr>
        <w:t xml:space="preserve"> 201</w:t>
      </w:r>
      <w:r w:rsidR="00DE3D58">
        <w:rPr>
          <w:rFonts w:ascii="Segoe UI" w:hAnsi="Segoe UI" w:cs="Segoe UI"/>
          <w:bCs/>
          <w:iCs/>
          <w:sz w:val="20"/>
          <w:szCs w:val="20"/>
        </w:rPr>
        <w:t>7.</w:t>
      </w:r>
      <w:r w:rsidR="0001689D" w:rsidRPr="00215B3D">
        <w:rPr>
          <w:rFonts w:ascii="Segoe UI" w:hAnsi="Segoe UI" w:cs="Segoe UI"/>
          <w:sz w:val="16"/>
          <w:szCs w:val="16"/>
        </w:rPr>
        <w:tab/>
      </w:r>
    </w:p>
    <w:p w:rsidR="007E3BE0" w:rsidRPr="006B36EE" w:rsidRDefault="007E3BE0" w:rsidP="006B36EE">
      <w:pPr>
        <w:spacing w:after="0" w:line="240" w:lineRule="auto"/>
        <w:rPr>
          <w:rFonts w:ascii="Segoe UI" w:hAnsi="Segoe UI" w:cs="Segoe UI"/>
          <w:bCs/>
          <w:iCs/>
          <w:sz w:val="20"/>
          <w:szCs w:val="20"/>
        </w:rPr>
      </w:pPr>
    </w:p>
    <w:p w:rsidR="002C11DF" w:rsidRPr="00215B3D" w:rsidRDefault="00D75C53" w:rsidP="00DE3D58">
      <w:pPr>
        <w:pStyle w:val="Titre1"/>
        <w:numPr>
          <w:ilvl w:val="0"/>
          <w:numId w:val="1"/>
        </w:numPr>
        <w:spacing w:before="240" w:after="120"/>
        <w:rPr>
          <w:rFonts w:ascii="Segoe UI" w:hAnsi="Segoe UI" w:cs="Segoe UI"/>
        </w:rPr>
      </w:pPr>
      <w:bookmarkStart w:id="39" w:name="_Toc496025011"/>
      <w:r w:rsidRPr="00215B3D">
        <w:rPr>
          <w:rFonts w:ascii="Segoe UI" w:hAnsi="Segoe UI" w:cs="Segoe UI"/>
        </w:rPr>
        <w:t>S</w:t>
      </w:r>
      <w:r w:rsidR="00DA42B2" w:rsidRPr="00215B3D">
        <w:rPr>
          <w:rFonts w:ascii="Segoe UI" w:hAnsi="Segoe UI" w:cs="Segoe UI"/>
        </w:rPr>
        <w:t>ITU</w:t>
      </w:r>
      <w:r w:rsidRPr="00215B3D">
        <w:rPr>
          <w:rFonts w:ascii="Segoe UI" w:hAnsi="Segoe UI" w:cs="Segoe UI"/>
        </w:rPr>
        <w:t xml:space="preserve">ATION DES OPERATIONS DE TRESORERIE </w:t>
      </w:r>
      <w:r w:rsidR="00DA42B2" w:rsidRPr="00215B3D">
        <w:rPr>
          <w:rFonts w:ascii="Segoe UI" w:hAnsi="Segoe UI" w:cs="Segoe UI"/>
        </w:rPr>
        <w:t>AU 3</w:t>
      </w:r>
      <w:r w:rsidR="001078C5" w:rsidRPr="00215B3D">
        <w:rPr>
          <w:rFonts w:ascii="Segoe UI" w:hAnsi="Segoe UI" w:cs="Segoe UI"/>
          <w:lang w:eastAsia="x-none"/>
        </w:rPr>
        <w:t>0</w:t>
      </w:r>
      <w:r w:rsidR="001078C5" w:rsidRPr="00215B3D">
        <w:rPr>
          <w:rFonts w:ascii="Segoe UI" w:hAnsi="Segoe UI" w:cs="Segoe UI"/>
        </w:rPr>
        <w:t xml:space="preserve"> </w:t>
      </w:r>
      <w:r w:rsidR="001078C5" w:rsidRPr="00215B3D">
        <w:rPr>
          <w:rFonts w:ascii="Segoe UI" w:hAnsi="Segoe UI" w:cs="Segoe UI"/>
          <w:lang w:eastAsia="x-none"/>
        </w:rPr>
        <w:t>JUIN</w:t>
      </w:r>
      <w:r w:rsidR="00D9546B" w:rsidRPr="00215B3D">
        <w:rPr>
          <w:rFonts w:ascii="Segoe UI" w:hAnsi="Segoe UI" w:cs="Segoe UI"/>
        </w:rPr>
        <w:t xml:space="preserve"> </w:t>
      </w:r>
      <w:r w:rsidRPr="00215B3D">
        <w:rPr>
          <w:rFonts w:ascii="Segoe UI" w:hAnsi="Segoe UI" w:cs="Segoe UI"/>
        </w:rPr>
        <w:t>201</w:t>
      </w:r>
      <w:r w:rsidR="001078C5" w:rsidRPr="00215B3D">
        <w:rPr>
          <w:rFonts w:ascii="Segoe UI" w:hAnsi="Segoe UI" w:cs="Segoe UI"/>
          <w:lang w:eastAsia="x-none"/>
        </w:rPr>
        <w:t>7</w:t>
      </w:r>
      <w:bookmarkEnd w:id="39"/>
    </w:p>
    <w:p w:rsidR="003D508F" w:rsidRDefault="006C4B97" w:rsidP="0002245F">
      <w:pPr>
        <w:pStyle w:val="Titre2"/>
        <w:numPr>
          <w:ilvl w:val="0"/>
          <w:numId w:val="42"/>
        </w:numPr>
        <w:spacing w:before="0"/>
        <w:rPr>
          <w:rFonts w:ascii="Segoe UI" w:hAnsi="Segoe UI" w:cs="Segoe UI"/>
        </w:rPr>
      </w:pPr>
      <w:bookmarkStart w:id="40" w:name="_Toc496025012"/>
      <w:r>
        <w:rPr>
          <w:rFonts w:ascii="Segoe UI" w:hAnsi="Segoe UI" w:cs="Segoe UI"/>
        </w:rPr>
        <w:t>Mo</w:t>
      </w:r>
      <w:r w:rsidR="003D508F" w:rsidRPr="00215B3D">
        <w:rPr>
          <w:rFonts w:ascii="Segoe UI" w:hAnsi="Segoe UI" w:cs="Segoe UI"/>
        </w:rPr>
        <w:t>bilisation des res</w:t>
      </w:r>
      <w:r w:rsidR="00493AE1" w:rsidRPr="00215B3D">
        <w:rPr>
          <w:rFonts w:ascii="Segoe UI" w:hAnsi="Segoe UI" w:cs="Segoe UI"/>
        </w:rPr>
        <w:t>s</w:t>
      </w:r>
      <w:r w:rsidR="003D508F" w:rsidRPr="00215B3D">
        <w:rPr>
          <w:rFonts w:ascii="Segoe UI" w:hAnsi="Segoe UI" w:cs="Segoe UI"/>
        </w:rPr>
        <w:t>ources</w:t>
      </w:r>
      <w:r w:rsidR="00D16D74">
        <w:rPr>
          <w:rFonts w:ascii="Segoe UI" w:hAnsi="Segoe UI" w:cs="Segoe UI"/>
        </w:rPr>
        <w:t xml:space="preserve"> de financement</w:t>
      </w:r>
      <w:bookmarkEnd w:id="40"/>
    </w:p>
    <w:p w:rsidR="0002245F" w:rsidRPr="0002245F" w:rsidRDefault="0002245F" w:rsidP="0002245F">
      <w:pPr>
        <w:rPr>
          <w:sz w:val="8"/>
        </w:rPr>
      </w:pPr>
    </w:p>
    <w:p w:rsidR="00AD4799" w:rsidRPr="00215B3D" w:rsidRDefault="008E77C5" w:rsidP="00EB5D35">
      <w:pPr>
        <w:spacing w:after="0" w:line="360" w:lineRule="auto"/>
        <w:jc w:val="both"/>
        <w:rPr>
          <w:rFonts w:ascii="Segoe UI" w:hAnsi="Segoe UI" w:cs="Segoe UI"/>
          <w:sz w:val="24"/>
          <w:szCs w:val="26"/>
        </w:rPr>
      </w:pPr>
      <w:bookmarkStart w:id="41" w:name="_Toc435284863"/>
      <w:bookmarkStart w:id="42" w:name="_Toc435295630"/>
      <w:bookmarkStart w:id="43" w:name="_Toc442430620"/>
      <w:bookmarkStart w:id="44" w:name="_Toc427941531"/>
      <w:r w:rsidRPr="00215B3D">
        <w:rPr>
          <w:rFonts w:ascii="Segoe UI" w:hAnsi="Segoe UI" w:cs="Segoe UI"/>
          <w:sz w:val="24"/>
          <w:szCs w:val="26"/>
        </w:rPr>
        <w:t>Le niveau de mobilisation à</w:t>
      </w:r>
      <w:r w:rsidR="000D7B2E" w:rsidRPr="00215B3D">
        <w:rPr>
          <w:rFonts w:ascii="Segoe UI" w:hAnsi="Segoe UI" w:cs="Segoe UI"/>
          <w:sz w:val="24"/>
          <w:szCs w:val="26"/>
        </w:rPr>
        <w:t xml:space="preserve"> fin juin</w:t>
      </w:r>
      <w:r w:rsidR="00E40FC8" w:rsidRPr="00215B3D">
        <w:rPr>
          <w:rFonts w:ascii="Segoe UI" w:hAnsi="Segoe UI" w:cs="Segoe UI"/>
          <w:sz w:val="24"/>
          <w:szCs w:val="26"/>
        </w:rPr>
        <w:t xml:space="preserve"> 201</w:t>
      </w:r>
      <w:r w:rsidR="000D7B2E" w:rsidRPr="00215B3D">
        <w:rPr>
          <w:rFonts w:ascii="Segoe UI" w:hAnsi="Segoe UI" w:cs="Segoe UI"/>
          <w:sz w:val="24"/>
          <w:szCs w:val="26"/>
        </w:rPr>
        <w:t>7</w:t>
      </w:r>
      <w:r w:rsidRPr="00215B3D">
        <w:rPr>
          <w:rFonts w:ascii="Segoe UI" w:hAnsi="Segoe UI" w:cs="Segoe UI"/>
          <w:sz w:val="24"/>
          <w:szCs w:val="26"/>
        </w:rPr>
        <w:t xml:space="preserve"> des ressources de trésorerie s’établit à</w:t>
      </w:r>
      <w:r w:rsidR="00EF1126" w:rsidRPr="00215B3D">
        <w:rPr>
          <w:rFonts w:ascii="Segoe UI" w:hAnsi="Segoe UI" w:cs="Segoe UI"/>
          <w:sz w:val="24"/>
          <w:szCs w:val="26"/>
        </w:rPr>
        <w:t xml:space="preserve"> </w:t>
      </w:r>
      <w:r w:rsidR="000D7B2E" w:rsidRPr="00215B3D">
        <w:rPr>
          <w:rFonts w:ascii="Segoe UI" w:hAnsi="Segoe UI" w:cs="Segoe UI"/>
          <w:b/>
          <w:sz w:val="24"/>
          <w:szCs w:val="26"/>
        </w:rPr>
        <w:t>4</w:t>
      </w:r>
      <w:r w:rsidR="00CB3351">
        <w:rPr>
          <w:rFonts w:ascii="Segoe UI" w:hAnsi="Segoe UI" w:cs="Segoe UI"/>
          <w:b/>
          <w:sz w:val="24"/>
          <w:szCs w:val="26"/>
        </w:rPr>
        <w:t xml:space="preserve">49 537,4 </w:t>
      </w:r>
      <w:r w:rsidR="00EF1126" w:rsidRPr="00215B3D">
        <w:rPr>
          <w:rFonts w:ascii="Segoe UI" w:hAnsi="Segoe UI" w:cs="Segoe UI"/>
          <w:b/>
          <w:sz w:val="24"/>
          <w:szCs w:val="26"/>
        </w:rPr>
        <w:t>millions de FCFA</w:t>
      </w:r>
      <w:r w:rsidR="00EF1126" w:rsidRPr="00215B3D">
        <w:rPr>
          <w:rFonts w:ascii="Segoe UI" w:hAnsi="Segoe UI" w:cs="Segoe UI"/>
          <w:sz w:val="24"/>
          <w:szCs w:val="26"/>
        </w:rPr>
        <w:t xml:space="preserve"> </w:t>
      </w:r>
      <w:r w:rsidR="00E40FC8" w:rsidRPr="00215B3D">
        <w:rPr>
          <w:rFonts w:ascii="Segoe UI" w:hAnsi="Segoe UI" w:cs="Segoe UI"/>
          <w:sz w:val="24"/>
          <w:szCs w:val="26"/>
        </w:rPr>
        <w:t>sur un objectif annuel de</w:t>
      </w:r>
      <w:r w:rsidR="00BA7FC1" w:rsidRPr="00215B3D">
        <w:rPr>
          <w:rFonts w:ascii="Segoe UI" w:hAnsi="Segoe UI" w:cs="Segoe UI"/>
          <w:sz w:val="24"/>
          <w:szCs w:val="26"/>
        </w:rPr>
        <w:t xml:space="preserve"> </w:t>
      </w:r>
      <w:r w:rsidR="000D7B2E" w:rsidRPr="00215B3D">
        <w:rPr>
          <w:rFonts w:ascii="Segoe UI" w:hAnsi="Segoe UI" w:cs="Segoe UI"/>
          <w:sz w:val="24"/>
          <w:szCs w:val="26"/>
        </w:rPr>
        <w:t>1 002 861</w:t>
      </w:r>
      <w:r w:rsidR="00E40FC8" w:rsidRPr="00215B3D">
        <w:rPr>
          <w:rFonts w:ascii="Segoe UI" w:hAnsi="Segoe UI" w:cs="Segoe UI"/>
          <w:sz w:val="24"/>
          <w:szCs w:val="26"/>
        </w:rPr>
        <w:t xml:space="preserve"> millions de FCFA</w:t>
      </w:r>
      <w:r w:rsidR="00D77D10" w:rsidRPr="00215B3D">
        <w:rPr>
          <w:rFonts w:ascii="Segoe UI" w:hAnsi="Segoe UI" w:cs="Segoe UI"/>
          <w:sz w:val="24"/>
          <w:szCs w:val="26"/>
        </w:rPr>
        <w:t xml:space="preserve">. On note ainsi un niveau de mobilisation </w:t>
      </w:r>
      <w:r w:rsidR="00045582" w:rsidRPr="00215B3D">
        <w:rPr>
          <w:rFonts w:ascii="Segoe UI" w:hAnsi="Segoe UI" w:cs="Segoe UI"/>
          <w:sz w:val="24"/>
          <w:szCs w:val="26"/>
        </w:rPr>
        <w:t>à</w:t>
      </w:r>
      <w:r w:rsidR="00BA7FC1" w:rsidRPr="00215B3D">
        <w:rPr>
          <w:rFonts w:ascii="Segoe UI" w:hAnsi="Segoe UI" w:cs="Segoe UI"/>
          <w:sz w:val="24"/>
          <w:szCs w:val="26"/>
        </w:rPr>
        <w:t xml:space="preserve"> </w:t>
      </w:r>
      <w:r w:rsidR="00FA3BF7" w:rsidRPr="00215B3D">
        <w:rPr>
          <w:rFonts w:ascii="Segoe UI" w:hAnsi="Segoe UI" w:cs="Segoe UI"/>
          <w:sz w:val="24"/>
          <w:szCs w:val="26"/>
        </w:rPr>
        <w:t xml:space="preserve">hauteur de </w:t>
      </w:r>
      <w:r w:rsidR="000D7B2E" w:rsidRPr="00215B3D">
        <w:rPr>
          <w:rFonts w:ascii="Segoe UI" w:hAnsi="Segoe UI" w:cs="Segoe UI"/>
          <w:b/>
          <w:sz w:val="24"/>
          <w:szCs w:val="26"/>
        </w:rPr>
        <w:t>4</w:t>
      </w:r>
      <w:r w:rsidR="00CB3351">
        <w:rPr>
          <w:rFonts w:ascii="Segoe UI" w:hAnsi="Segoe UI" w:cs="Segoe UI"/>
          <w:b/>
          <w:sz w:val="24"/>
          <w:szCs w:val="26"/>
        </w:rPr>
        <w:t>4,8</w:t>
      </w:r>
      <w:r w:rsidR="00EF1126" w:rsidRPr="00215B3D">
        <w:rPr>
          <w:rFonts w:ascii="Segoe UI" w:hAnsi="Segoe UI" w:cs="Segoe UI"/>
          <w:b/>
          <w:sz w:val="24"/>
          <w:szCs w:val="26"/>
        </w:rPr>
        <w:t>%.</w:t>
      </w:r>
      <w:r w:rsidR="00EF1126" w:rsidRPr="00215B3D">
        <w:rPr>
          <w:rFonts w:ascii="Segoe UI" w:hAnsi="Segoe UI" w:cs="Segoe UI"/>
          <w:sz w:val="24"/>
          <w:szCs w:val="26"/>
        </w:rPr>
        <w:t xml:space="preserve"> </w:t>
      </w:r>
      <w:r w:rsidR="00806E58" w:rsidRPr="00215B3D">
        <w:rPr>
          <w:rFonts w:ascii="Segoe UI" w:hAnsi="Segoe UI" w:cs="Segoe UI"/>
          <w:sz w:val="24"/>
          <w:szCs w:val="26"/>
        </w:rPr>
        <w:t>Ce taux est fortement lié</w:t>
      </w:r>
      <w:r w:rsidR="00681021" w:rsidRPr="00215B3D">
        <w:rPr>
          <w:rFonts w:ascii="Segoe UI" w:hAnsi="Segoe UI" w:cs="Segoe UI"/>
          <w:sz w:val="24"/>
          <w:szCs w:val="26"/>
        </w:rPr>
        <w:t xml:space="preserve"> aux </w:t>
      </w:r>
      <w:r w:rsidR="001303BE" w:rsidRPr="00215B3D">
        <w:rPr>
          <w:rFonts w:ascii="Segoe UI" w:hAnsi="Segoe UI" w:cs="Segoe UI"/>
          <w:sz w:val="24"/>
          <w:szCs w:val="26"/>
        </w:rPr>
        <w:t>émissions des bons</w:t>
      </w:r>
      <w:r w:rsidR="00FA3BF7" w:rsidRPr="00215B3D">
        <w:rPr>
          <w:rFonts w:ascii="Segoe UI" w:hAnsi="Segoe UI" w:cs="Segoe UI"/>
          <w:sz w:val="24"/>
          <w:szCs w:val="26"/>
        </w:rPr>
        <w:t xml:space="preserve"> du trésor (</w:t>
      </w:r>
      <w:r w:rsidR="001303BE" w:rsidRPr="00215B3D">
        <w:rPr>
          <w:rFonts w:ascii="Segoe UI" w:hAnsi="Segoe UI" w:cs="Segoe UI"/>
          <w:sz w:val="24"/>
          <w:szCs w:val="26"/>
        </w:rPr>
        <w:t>81</w:t>
      </w:r>
      <w:r w:rsidR="00543AA0">
        <w:rPr>
          <w:rFonts w:ascii="Segoe UI" w:hAnsi="Segoe UI" w:cs="Segoe UI"/>
          <w:sz w:val="24"/>
          <w:szCs w:val="26"/>
        </w:rPr>
        <w:t xml:space="preserve">%), </w:t>
      </w:r>
      <w:r w:rsidR="00806E58" w:rsidRPr="00215B3D">
        <w:rPr>
          <w:rFonts w:ascii="Segoe UI" w:hAnsi="Segoe UI" w:cs="Segoe UI"/>
          <w:sz w:val="24"/>
          <w:szCs w:val="26"/>
        </w:rPr>
        <w:t>au</w:t>
      </w:r>
      <w:r w:rsidR="00E422CF" w:rsidRPr="00215B3D">
        <w:rPr>
          <w:rFonts w:ascii="Segoe UI" w:hAnsi="Segoe UI" w:cs="Segoe UI"/>
          <w:sz w:val="24"/>
          <w:szCs w:val="26"/>
        </w:rPr>
        <w:t>x</w:t>
      </w:r>
      <w:r w:rsidR="001303BE" w:rsidRPr="00215B3D">
        <w:rPr>
          <w:rFonts w:ascii="Segoe UI" w:hAnsi="Segoe UI" w:cs="Segoe UI"/>
          <w:sz w:val="24"/>
          <w:szCs w:val="26"/>
        </w:rPr>
        <w:t xml:space="preserve"> prêts </w:t>
      </w:r>
      <w:r w:rsidR="00D54E5C">
        <w:rPr>
          <w:rFonts w:ascii="Segoe UI" w:hAnsi="Segoe UI" w:cs="Segoe UI"/>
          <w:sz w:val="24"/>
          <w:szCs w:val="26"/>
        </w:rPr>
        <w:t xml:space="preserve">obtenus aux guichets des </w:t>
      </w:r>
      <w:r w:rsidR="001303BE" w:rsidRPr="00215B3D">
        <w:rPr>
          <w:rFonts w:ascii="Segoe UI" w:hAnsi="Segoe UI" w:cs="Segoe UI"/>
          <w:sz w:val="24"/>
          <w:szCs w:val="26"/>
        </w:rPr>
        <w:t xml:space="preserve">banques locales (86%) et aux </w:t>
      </w:r>
      <w:r w:rsidR="00AB176F" w:rsidRPr="00215B3D">
        <w:rPr>
          <w:rFonts w:ascii="Segoe UI" w:hAnsi="Segoe UI" w:cs="Segoe UI"/>
          <w:sz w:val="24"/>
          <w:szCs w:val="26"/>
        </w:rPr>
        <w:t xml:space="preserve"> </w:t>
      </w:r>
      <w:r w:rsidR="00D54E5C">
        <w:rPr>
          <w:rFonts w:ascii="Segoe UI" w:hAnsi="Segoe UI" w:cs="Segoe UI"/>
          <w:sz w:val="24"/>
          <w:szCs w:val="26"/>
        </w:rPr>
        <w:t>variations positives des dép</w:t>
      </w:r>
      <w:r w:rsidR="00AB176F" w:rsidRPr="00215B3D">
        <w:rPr>
          <w:rFonts w:ascii="Segoe UI" w:hAnsi="Segoe UI" w:cs="Segoe UI"/>
          <w:sz w:val="24"/>
          <w:szCs w:val="26"/>
        </w:rPr>
        <w:t>ôt</w:t>
      </w:r>
      <w:r w:rsidR="00E422CF" w:rsidRPr="00215B3D">
        <w:rPr>
          <w:rFonts w:ascii="Segoe UI" w:hAnsi="Segoe UI" w:cs="Segoe UI"/>
          <w:sz w:val="24"/>
          <w:szCs w:val="26"/>
        </w:rPr>
        <w:t>s</w:t>
      </w:r>
      <w:r w:rsidR="00AB176F" w:rsidRPr="00215B3D">
        <w:rPr>
          <w:rFonts w:ascii="Segoe UI" w:hAnsi="Segoe UI" w:cs="Segoe UI"/>
          <w:sz w:val="24"/>
          <w:szCs w:val="26"/>
        </w:rPr>
        <w:t xml:space="preserve"> des correspondant</w:t>
      </w:r>
      <w:r w:rsidR="00CB582E" w:rsidRPr="00215B3D">
        <w:rPr>
          <w:rFonts w:ascii="Segoe UI" w:hAnsi="Segoe UI" w:cs="Segoe UI"/>
          <w:sz w:val="24"/>
          <w:szCs w:val="26"/>
        </w:rPr>
        <w:t>s</w:t>
      </w:r>
      <w:r w:rsidR="00AB176F" w:rsidRPr="00215B3D">
        <w:rPr>
          <w:rFonts w:ascii="Segoe UI" w:hAnsi="Segoe UI" w:cs="Segoe UI"/>
          <w:sz w:val="24"/>
          <w:szCs w:val="26"/>
        </w:rPr>
        <w:t xml:space="preserve"> du trésor</w:t>
      </w:r>
      <w:r w:rsidR="00D54E5C">
        <w:rPr>
          <w:rFonts w:ascii="Segoe UI" w:hAnsi="Segoe UI" w:cs="Segoe UI"/>
          <w:sz w:val="24"/>
          <w:szCs w:val="26"/>
        </w:rPr>
        <w:t xml:space="preserve">             ( 7  256 millions </w:t>
      </w:r>
      <w:r w:rsidR="00FA3BF7" w:rsidRPr="00215B3D">
        <w:rPr>
          <w:rFonts w:ascii="Segoe UI" w:hAnsi="Segoe UI" w:cs="Segoe UI"/>
          <w:sz w:val="24"/>
          <w:szCs w:val="26"/>
        </w:rPr>
        <w:t>de FCFA</w:t>
      </w:r>
      <w:r w:rsidR="00D54E5C">
        <w:rPr>
          <w:rFonts w:ascii="Segoe UI" w:hAnsi="Segoe UI" w:cs="Segoe UI"/>
          <w:sz w:val="24"/>
          <w:szCs w:val="26"/>
        </w:rPr>
        <w:t>)</w:t>
      </w:r>
      <w:r w:rsidR="00806E58" w:rsidRPr="00215B3D">
        <w:rPr>
          <w:rFonts w:ascii="Segoe UI" w:hAnsi="Segoe UI" w:cs="Segoe UI"/>
          <w:sz w:val="24"/>
          <w:szCs w:val="26"/>
        </w:rPr>
        <w:t xml:space="preserve">. </w:t>
      </w:r>
    </w:p>
    <w:p w:rsidR="0054226A" w:rsidRDefault="00C8186D" w:rsidP="0002245F">
      <w:pPr>
        <w:rPr>
          <w:rFonts w:ascii="Segoe UI" w:hAnsi="Segoe UI" w:cs="Segoe UI"/>
          <w:sz w:val="24"/>
          <w:szCs w:val="26"/>
        </w:rPr>
      </w:pPr>
      <w:r w:rsidRPr="00215B3D">
        <w:rPr>
          <w:rFonts w:ascii="Segoe UI" w:hAnsi="Segoe UI" w:cs="Segoe UI"/>
          <w:sz w:val="24"/>
          <w:szCs w:val="26"/>
        </w:rPr>
        <w:t>Le détail sur la mobilisation des ressources de trésorerie se trouve dans le tableau ci-après</w:t>
      </w:r>
      <w:bookmarkEnd w:id="41"/>
      <w:bookmarkEnd w:id="42"/>
      <w:bookmarkEnd w:id="43"/>
      <w:r w:rsidR="00AD11B0" w:rsidRPr="00215B3D">
        <w:rPr>
          <w:rFonts w:ascii="Segoe UI" w:hAnsi="Segoe UI" w:cs="Segoe UI"/>
          <w:sz w:val="24"/>
          <w:szCs w:val="26"/>
        </w:rPr>
        <w:t> :</w:t>
      </w:r>
      <w:r w:rsidR="00FA3BF7" w:rsidRPr="00215B3D">
        <w:rPr>
          <w:rFonts w:ascii="Segoe UI" w:hAnsi="Segoe UI" w:cs="Segoe UI"/>
          <w:sz w:val="24"/>
          <w:szCs w:val="26"/>
        </w:rPr>
        <w:t xml:space="preserve"> </w:t>
      </w:r>
    </w:p>
    <w:p w:rsidR="007E3BE0" w:rsidRDefault="007E3BE0" w:rsidP="0002245F">
      <w:pPr>
        <w:rPr>
          <w:rFonts w:ascii="Segoe UI" w:hAnsi="Segoe UI" w:cs="Segoe UI"/>
          <w:sz w:val="24"/>
          <w:szCs w:val="26"/>
        </w:rPr>
      </w:pPr>
    </w:p>
    <w:p w:rsidR="007E3BE0" w:rsidRDefault="007E3BE0" w:rsidP="0002245F">
      <w:pPr>
        <w:rPr>
          <w:rFonts w:ascii="Segoe UI" w:hAnsi="Segoe UI" w:cs="Segoe UI"/>
          <w:sz w:val="24"/>
          <w:szCs w:val="26"/>
        </w:rPr>
      </w:pPr>
    </w:p>
    <w:p w:rsidR="007D4B67" w:rsidRDefault="007D4B67" w:rsidP="0002245F">
      <w:pPr>
        <w:rPr>
          <w:rFonts w:ascii="Segoe UI" w:hAnsi="Segoe UI" w:cs="Segoe UI"/>
          <w:sz w:val="24"/>
          <w:szCs w:val="26"/>
        </w:rPr>
      </w:pPr>
    </w:p>
    <w:p w:rsidR="00DF4C34" w:rsidRDefault="00DF4C34" w:rsidP="0002245F">
      <w:pPr>
        <w:rPr>
          <w:rFonts w:ascii="Segoe UI" w:hAnsi="Segoe UI" w:cs="Segoe UI"/>
          <w:sz w:val="24"/>
          <w:szCs w:val="26"/>
        </w:rPr>
      </w:pPr>
    </w:p>
    <w:p w:rsidR="00DF4C34" w:rsidRDefault="00DF4C34" w:rsidP="0002245F">
      <w:pPr>
        <w:rPr>
          <w:rFonts w:ascii="Segoe UI" w:hAnsi="Segoe UI" w:cs="Segoe UI"/>
          <w:sz w:val="24"/>
          <w:szCs w:val="26"/>
        </w:rPr>
      </w:pPr>
    </w:p>
    <w:p w:rsidR="00DF4C34" w:rsidRDefault="00DF4C34" w:rsidP="0002245F">
      <w:pPr>
        <w:rPr>
          <w:rFonts w:ascii="Segoe UI" w:hAnsi="Segoe UI" w:cs="Segoe UI"/>
          <w:sz w:val="24"/>
          <w:szCs w:val="26"/>
        </w:rPr>
      </w:pPr>
      <w:bookmarkStart w:id="45" w:name="_GoBack"/>
      <w:bookmarkEnd w:id="45"/>
    </w:p>
    <w:p w:rsidR="00F54090" w:rsidRPr="0002245F" w:rsidRDefault="00F54090" w:rsidP="00EB5D35">
      <w:pPr>
        <w:spacing w:after="0" w:line="360" w:lineRule="auto"/>
        <w:jc w:val="both"/>
        <w:rPr>
          <w:rFonts w:ascii="Segoe UI" w:hAnsi="Segoe UI" w:cs="Segoe UI"/>
          <w:sz w:val="2"/>
          <w:szCs w:val="26"/>
        </w:rPr>
      </w:pPr>
    </w:p>
    <w:p w:rsidR="003C08E6" w:rsidRPr="00215B3D" w:rsidRDefault="00C8186D" w:rsidP="003C08E6">
      <w:pPr>
        <w:pStyle w:val="Listedestableaux"/>
        <w:rPr>
          <w:rFonts w:ascii="Segoe UI" w:hAnsi="Segoe UI" w:cs="Segoe UI"/>
        </w:rPr>
      </w:pPr>
      <w:bookmarkStart w:id="46" w:name="_Toc435284864"/>
      <w:bookmarkStart w:id="47" w:name="_Toc435295631"/>
      <w:bookmarkStart w:id="48" w:name="_Toc442430621"/>
      <w:bookmarkStart w:id="49" w:name="_Toc495935946"/>
      <w:r w:rsidRPr="00215B3D">
        <w:rPr>
          <w:rFonts w:ascii="Segoe UI" w:hAnsi="Segoe UI" w:cs="Segoe UI"/>
          <w:u w:val="single"/>
        </w:rPr>
        <w:lastRenderedPageBreak/>
        <w:t xml:space="preserve">Tableau </w:t>
      </w:r>
      <w:r w:rsidRPr="00215B3D">
        <w:rPr>
          <w:rFonts w:ascii="Segoe UI" w:hAnsi="Segoe UI" w:cs="Segoe UI"/>
        </w:rPr>
        <w:t xml:space="preserve"> </w:t>
      </w:r>
      <w:r w:rsidR="007D4B67">
        <w:rPr>
          <w:rFonts w:ascii="Segoe UI" w:hAnsi="Segoe UI" w:cs="Segoe UI"/>
        </w:rPr>
        <w:t>10</w:t>
      </w:r>
      <w:r w:rsidR="00E6680E" w:rsidRPr="00215B3D">
        <w:rPr>
          <w:rFonts w:ascii="Segoe UI" w:hAnsi="Segoe UI" w:cs="Segoe UI"/>
        </w:rPr>
        <w:t> :</w:t>
      </w:r>
      <w:r w:rsidRPr="00215B3D">
        <w:rPr>
          <w:rFonts w:ascii="Segoe UI" w:hAnsi="Segoe UI" w:cs="Segoe UI"/>
        </w:rPr>
        <w:t xml:space="preserve"> Niveau de mobilisation des ressources de trésorerie par nature à fin </w:t>
      </w:r>
      <w:r w:rsidR="00945DE1" w:rsidRPr="00215B3D">
        <w:rPr>
          <w:rFonts w:ascii="Segoe UI" w:hAnsi="Segoe UI" w:cs="Segoe UI"/>
        </w:rPr>
        <w:t>juin</w:t>
      </w:r>
      <w:r w:rsidRPr="00215B3D">
        <w:rPr>
          <w:rFonts w:ascii="Segoe UI" w:hAnsi="Segoe UI" w:cs="Segoe UI"/>
        </w:rPr>
        <w:t xml:space="preserve"> 201</w:t>
      </w:r>
      <w:bookmarkEnd w:id="46"/>
      <w:bookmarkEnd w:id="47"/>
      <w:bookmarkEnd w:id="48"/>
      <w:r w:rsidR="00945DE1" w:rsidRPr="00215B3D">
        <w:rPr>
          <w:rFonts w:ascii="Segoe UI" w:hAnsi="Segoe UI" w:cs="Segoe UI"/>
        </w:rPr>
        <w:t>7</w:t>
      </w:r>
      <w:bookmarkEnd w:id="49"/>
    </w:p>
    <w:p w:rsidR="003C08E6" w:rsidRPr="00215B3D" w:rsidRDefault="003C08E6" w:rsidP="003C08E6">
      <w:pPr>
        <w:pStyle w:val="Listedestableaux"/>
        <w:spacing w:line="240" w:lineRule="auto"/>
        <w:rPr>
          <w:rFonts w:ascii="Segoe UI" w:hAnsi="Segoe UI" w:cs="Segoe UI"/>
          <w:b w:val="0"/>
        </w:rPr>
      </w:pPr>
      <w:r w:rsidRPr="00215B3D">
        <w:rPr>
          <w:rFonts w:ascii="Segoe UI" w:hAnsi="Segoe UI" w:cs="Segoe UI"/>
        </w:rPr>
        <w:t xml:space="preserve">                                                                               </w:t>
      </w:r>
      <w:r w:rsidR="00415A0B" w:rsidRPr="00215B3D">
        <w:rPr>
          <w:rFonts w:ascii="Segoe UI" w:hAnsi="Segoe UI" w:cs="Segoe UI"/>
        </w:rPr>
        <w:t xml:space="preserve">    </w:t>
      </w:r>
      <w:r w:rsidRPr="00215B3D">
        <w:rPr>
          <w:rFonts w:ascii="Segoe UI" w:hAnsi="Segoe UI" w:cs="Segoe UI"/>
        </w:rPr>
        <w:t xml:space="preserve"> </w:t>
      </w:r>
      <w:bookmarkStart w:id="50" w:name="_Toc495935947"/>
      <w:r w:rsidRPr="00215B3D">
        <w:rPr>
          <w:rFonts w:ascii="Segoe UI" w:hAnsi="Segoe UI" w:cs="Segoe UI"/>
          <w:b w:val="0"/>
        </w:rPr>
        <w:t>En millions de FCFA</w:t>
      </w:r>
      <w:bookmarkEnd w:id="50"/>
    </w:p>
    <w:tbl>
      <w:tblPr>
        <w:tblW w:w="9500" w:type="dxa"/>
        <w:tblInd w:w="55" w:type="dxa"/>
        <w:tblCellMar>
          <w:left w:w="70" w:type="dxa"/>
          <w:right w:w="70" w:type="dxa"/>
        </w:tblCellMar>
        <w:tblLook w:val="04A0" w:firstRow="1" w:lastRow="0" w:firstColumn="1" w:lastColumn="0" w:noHBand="0" w:noVBand="1"/>
      </w:tblPr>
      <w:tblGrid>
        <w:gridCol w:w="5380"/>
        <w:gridCol w:w="1336"/>
        <w:gridCol w:w="1584"/>
        <w:gridCol w:w="1200"/>
      </w:tblGrid>
      <w:tr w:rsidR="00BF5B98" w:rsidRPr="00215B3D" w:rsidTr="004162ED">
        <w:trPr>
          <w:trHeight w:val="315"/>
        </w:trPr>
        <w:tc>
          <w:tcPr>
            <w:tcW w:w="5380" w:type="dxa"/>
            <w:tcBorders>
              <w:top w:val="single" w:sz="4" w:space="0" w:color="auto"/>
              <w:left w:val="single" w:sz="4" w:space="0" w:color="auto"/>
              <w:bottom w:val="single" w:sz="4" w:space="0" w:color="auto"/>
              <w:right w:val="single" w:sz="4" w:space="0" w:color="auto"/>
            </w:tcBorders>
            <w:noWrap/>
            <w:vAlign w:val="bottom"/>
            <w:hideMark/>
          </w:tcPr>
          <w:p w:rsidR="00BF5B98" w:rsidRPr="00215B3D" w:rsidRDefault="00BF5B98" w:rsidP="004162ED">
            <w:pPr>
              <w:spacing w:after="0" w:line="240" w:lineRule="auto"/>
              <w:jc w:val="center"/>
              <w:rPr>
                <w:rFonts w:ascii="Segoe UI" w:hAnsi="Segoe UI" w:cs="Segoe UI"/>
                <w:b/>
                <w:bCs/>
              </w:rPr>
            </w:pPr>
            <w:r w:rsidRPr="00215B3D">
              <w:rPr>
                <w:rFonts w:ascii="Segoe UI" w:hAnsi="Segoe UI" w:cs="Segoe UI"/>
                <w:b/>
                <w:bCs/>
              </w:rPr>
              <w:t>Nature</w:t>
            </w:r>
          </w:p>
        </w:tc>
        <w:tc>
          <w:tcPr>
            <w:tcW w:w="1336" w:type="dxa"/>
            <w:tcBorders>
              <w:top w:val="single" w:sz="4" w:space="0" w:color="auto"/>
              <w:left w:val="nil"/>
              <w:bottom w:val="single" w:sz="4" w:space="0" w:color="auto"/>
              <w:right w:val="single" w:sz="4" w:space="0" w:color="auto"/>
            </w:tcBorders>
            <w:noWrap/>
            <w:vAlign w:val="center"/>
            <w:hideMark/>
          </w:tcPr>
          <w:p w:rsidR="00BF5B98" w:rsidRPr="00215B3D" w:rsidRDefault="00BF5B98" w:rsidP="004162ED">
            <w:pPr>
              <w:spacing w:after="0" w:line="240" w:lineRule="auto"/>
              <w:jc w:val="right"/>
              <w:rPr>
                <w:rFonts w:ascii="Segoe UI" w:hAnsi="Segoe UI" w:cs="Segoe UI"/>
                <w:b/>
                <w:bCs/>
              </w:rPr>
            </w:pPr>
            <w:r w:rsidRPr="00215B3D">
              <w:rPr>
                <w:rFonts w:ascii="Segoe UI" w:hAnsi="Segoe UI" w:cs="Segoe UI"/>
                <w:b/>
                <w:bCs/>
              </w:rPr>
              <w:t>Prévisions</w:t>
            </w:r>
          </w:p>
        </w:tc>
        <w:tc>
          <w:tcPr>
            <w:tcW w:w="1584" w:type="dxa"/>
            <w:tcBorders>
              <w:top w:val="single" w:sz="4" w:space="0" w:color="auto"/>
              <w:left w:val="nil"/>
              <w:bottom w:val="single" w:sz="4" w:space="0" w:color="auto"/>
              <w:right w:val="single" w:sz="4" w:space="0" w:color="auto"/>
            </w:tcBorders>
            <w:noWrap/>
            <w:vAlign w:val="center"/>
            <w:hideMark/>
          </w:tcPr>
          <w:p w:rsidR="00BF5B98" w:rsidRPr="00215B3D" w:rsidRDefault="00BF5B98" w:rsidP="004162ED">
            <w:pPr>
              <w:spacing w:after="0" w:line="240" w:lineRule="auto"/>
              <w:jc w:val="right"/>
              <w:rPr>
                <w:rFonts w:ascii="Segoe UI" w:hAnsi="Segoe UI" w:cs="Segoe UI"/>
                <w:b/>
                <w:bCs/>
              </w:rPr>
            </w:pPr>
            <w:r w:rsidRPr="00215B3D">
              <w:rPr>
                <w:rFonts w:ascii="Segoe UI" w:hAnsi="Segoe UI" w:cs="Segoe UI"/>
                <w:b/>
                <w:bCs/>
              </w:rPr>
              <w:t>Réalisations</w:t>
            </w:r>
          </w:p>
        </w:tc>
        <w:tc>
          <w:tcPr>
            <w:tcW w:w="1200" w:type="dxa"/>
            <w:tcBorders>
              <w:top w:val="single" w:sz="4" w:space="0" w:color="auto"/>
              <w:left w:val="nil"/>
              <w:bottom w:val="single" w:sz="4" w:space="0" w:color="auto"/>
              <w:right w:val="single" w:sz="4" w:space="0" w:color="auto"/>
            </w:tcBorders>
            <w:noWrap/>
            <w:vAlign w:val="center"/>
            <w:hideMark/>
          </w:tcPr>
          <w:p w:rsidR="00BF5B98" w:rsidRPr="00215B3D" w:rsidRDefault="00BF5B98" w:rsidP="004162ED">
            <w:pPr>
              <w:spacing w:after="0" w:line="240" w:lineRule="auto"/>
              <w:jc w:val="center"/>
              <w:rPr>
                <w:rFonts w:ascii="Segoe UI" w:hAnsi="Segoe UI" w:cs="Segoe UI"/>
                <w:b/>
                <w:bCs/>
                <w:i/>
                <w:iCs/>
              </w:rPr>
            </w:pPr>
            <w:r w:rsidRPr="00215B3D">
              <w:rPr>
                <w:rFonts w:ascii="Segoe UI" w:hAnsi="Segoe UI" w:cs="Segoe UI"/>
                <w:b/>
                <w:bCs/>
                <w:i/>
                <w:iCs/>
              </w:rPr>
              <w:t>Taux (%)</w:t>
            </w:r>
          </w:p>
        </w:tc>
      </w:tr>
      <w:tr w:rsidR="00BF5B98"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rsidR="00BF5B98" w:rsidRPr="00215B3D" w:rsidRDefault="00BF5B98" w:rsidP="004162ED">
            <w:pPr>
              <w:spacing w:after="0" w:line="240" w:lineRule="auto"/>
              <w:rPr>
                <w:rFonts w:ascii="Segoe UI" w:hAnsi="Segoe UI" w:cs="Segoe UI"/>
              </w:rPr>
            </w:pPr>
            <w:r w:rsidRPr="00215B3D">
              <w:rPr>
                <w:rFonts w:ascii="Segoe UI" w:hAnsi="Segoe UI" w:cs="Segoe UI"/>
              </w:rPr>
              <w:t>Remboursement prêts et avances</w:t>
            </w:r>
          </w:p>
        </w:tc>
        <w:tc>
          <w:tcPr>
            <w:tcW w:w="1336" w:type="dxa"/>
            <w:tcBorders>
              <w:top w:val="nil"/>
              <w:left w:val="nil"/>
              <w:bottom w:val="single" w:sz="4" w:space="0" w:color="auto"/>
              <w:right w:val="single" w:sz="4" w:space="0" w:color="auto"/>
            </w:tcBorders>
            <w:noWrap/>
            <w:vAlign w:val="center"/>
            <w:hideMark/>
          </w:tcPr>
          <w:p w:rsidR="00BF5B98" w:rsidRPr="00215B3D" w:rsidRDefault="00830D2E" w:rsidP="00830D2E">
            <w:pPr>
              <w:spacing w:after="0" w:line="240" w:lineRule="auto"/>
              <w:jc w:val="right"/>
              <w:rPr>
                <w:rFonts w:ascii="Segoe UI" w:hAnsi="Segoe UI" w:cs="Segoe UI"/>
              </w:rPr>
            </w:pPr>
            <w:r w:rsidRPr="00215B3D">
              <w:rPr>
                <w:rFonts w:ascii="Segoe UI" w:hAnsi="Segoe UI" w:cs="Segoe UI"/>
              </w:rPr>
              <w:t>947</w:t>
            </w:r>
          </w:p>
        </w:tc>
        <w:tc>
          <w:tcPr>
            <w:tcW w:w="1584" w:type="dxa"/>
            <w:tcBorders>
              <w:top w:val="nil"/>
              <w:left w:val="nil"/>
              <w:bottom w:val="single" w:sz="4" w:space="0" w:color="auto"/>
              <w:right w:val="single" w:sz="4" w:space="0" w:color="auto"/>
            </w:tcBorders>
            <w:noWrap/>
            <w:vAlign w:val="center"/>
            <w:hideMark/>
          </w:tcPr>
          <w:p w:rsidR="00BF5B98" w:rsidRPr="00215B3D" w:rsidRDefault="00830D2E" w:rsidP="00830D2E">
            <w:pPr>
              <w:spacing w:after="0" w:line="240" w:lineRule="auto"/>
              <w:jc w:val="right"/>
              <w:rPr>
                <w:rFonts w:ascii="Segoe UI" w:hAnsi="Segoe UI" w:cs="Segoe UI"/>
              </w:rPr>
            </w:pPr>
            <w:r w:rsidRPr="00215B3D">
              <w:rPr>
                <w:rFonts w:ascii="Segoe UI" w:hAnsi="Segoe UI" w:cs="Segoe UI"/>
              </w:rPr>
              <w:t>7</w:t>
            </w:r>
            <w:r w:rsidR="00BF5B98" w:rsidRPr="00215B3D">
              <w:rPr>
                <w:rFonts w:ascii="Segoe UI" w:hAnsi="Segoe UI" w:cs="Segoe UI"/>
              </w:rPr>
              <w:t>,</w:t>
            </w:r>
            <w:r w:rsidRPr="00215B3D">
              <w:rPr>
                <w:rFonts w:ascii="Segoe UI" w:hAnsi="Segoe UI" w:cs="Segoe UI"/>
              </w:rPr>
              <w:t>5</w:t>
            </w:r>
          </w:p>
        </w:tc>
        <w:tc>
          <w:tcPr>
            <w:tcW w:w="1200" w:type="dxa"/>
            <w:tcBorders>
              <w:top w:val="nil"/>
              <w:left w:val="nil"/>
              <w:bottom w:val="single" w:sz="4" w:space="0" w:color="auto"/>
              <w:right w:val="single" w:sz="4" w:space="0" w:color="auto"/>
            </w:tcBorders>
            <w:noWrap/>
            <w:vAlign w:val="center"/>
            <w:hideMark/>
          </w:tcPr>
          <w:p w:rsidR="00BF5B98" w:rsidRPr="00215B3D" w:rsidRDefault="00F02838" w:rsidP="00830D2E">
            <w:pPr>
              <w:spacing w:after="0" w:line="240" w:lineRule="auto"/>
              <w:jc w:val="center"/>
              <w:rPr>
                <w:rFonts w:ascii="Segoe UI" w:hAnsi="Segoe UI" w:cs="Segoe UI"/>
              </w:rPr>
            </w:pPr>
            <w:r w:rsidRPr="00215B3D">
              <w:rPr>
                <w:rFonts w:ascii="Segoe UI" w:hAnsi="Segoe UI" w:cs="Segoe UI"/>
              </w:rPr>
              <w:t>0</w:t>
            </w:r>
            <w:r w:rsidR="00BF5B98" w:rsidRPr="00215B3D">
              <w:rPr>
                <w:rFonts w:ascii="Segoe UI" w:hAnsi="Segoe UI" w:cs="Segoe UI"/>
              </w:rPr>
              <w:t>,</w:t>
            </w:r>
            <w:r w:rsidR="00830D2E" w:rsidRPr="00215B3D">
              <w:rPr>
                <w:rFonts w:ascii="Segoe UI" w:hAnsi="Segoe UI" w:cs="Segoe UI"/>
              </w:rPr>
              <w:t>8</w:t>
            </w:r>
          </w:p>
        </w:tc>
      </w:tr>
      <w:tr w:rsidR="00BF5B98" w:rsidRPr="00215B3D" w:rsidTr="004162ED">
        <w:trPr>
          <w:trHeight w:val="630"/>
        </w:trPr>
        <w:tc>
          <w:tcPr>
            <w:tcW w:w="5380" w:type="dxa"/>
            <w:tcBorders>
              <w:top w:val="nil"/>
              <w:left w:val="single" w:sz="4" w:space="0" w:color="auto"/>
              <w:bottom w:val="single" w:sz="4" w:space="0" w:color="auto"/>
              <w:right w:val="single" w:sz="4" w:space="0" w:color="auto"/>
            </w:tcBorders>
            <w:vAlign w:val="bottom"/>
            <w:hideMark/>
          </w:tcPr>
          <w:p w:rsidR="00BF5B98" w:rsidRPr="00215B3D" w:rsidRDefault="00BF5B98" w:rsidP="004162ED">
            <w:pPr>
              <w:spacing w:after="0" w:line="240" w:lineRule="auto"/>
              <w:rPr>
                <w:rFonts w:ascii="Segoe UI" w:hAnsi="Segoe UI" w:cs="Segoe UI"/>
              </w:rPr>
            </w:pPr>
            <w:r w:rsidRPr="00215B3D">
              <w:rPr>
                <w:rFonts w:ascii="Segoe UI" w:hAnsi="Segoe UI" w:cs="Segoe UI"/>
              </w:rPr>
              <w:t>Emission de dettes à moyen et long termes (emprunt Obligataire)</w:t>
            </w:r>
          </w:p>
        </w:tc>
        <w:tc>
          <w:tcPr>
            <w:tcW w:w="1336" w:type="dxa"/>
            <w:tcBorders>
              <w:top w:val="nil"/>
              <w:left w:val="nil"/>
              <w:bottom w:val="single" w:sz="4" w:space="0" w:color="auto"/>
              <w:right w:val="single" w:sz="4" w:space="0" w:color="auto"/>
            </w:tcBorders>
            <w:noWrap/>
            <w:vAlign w:val="center"/>
            <w:hideMark/>
          </w:tcPr>
          <w:p w:rsidR="00BF5B98" w:rsidRPr="00215B3D" w:rsidRDefault="00C50C20" w:rsidP="00CB582E">
            <w:pPr>
              <w:spacing w:after="0" w:line="240" w:lineRule="auto"/>
              <w:jc w:val="right"/>
              <w:rPr>
                <w:rFonts w:ascii="Segoe UI" w:hAnsi="Segoe UI" w:cs="Segoe UI"/>
              </w:rPr>
            </w:pPr>
            <w:r w:rsidRPr="00215B3D">
              <w:rPr>
                <w:rFonts w:ascii="Segoe UI" w:hAnsi="Segoe UI" w:cs="Segoe UI"/>
              </w:rPr>
              <w:t>285 300</w:t>
            </w:r>
          </w:p>
        </w:tc>
        <w:tc>
          <w:tcPr>
            <w:tcW w:w="1584" w:type="dxa"/>
            <w:tcBorders>
              <w:top w:val="nil"/>
              <w:left w:val="nil"/>
              <w:bottom w:val="single" w:sz="4" w:space="0" w:color="auto"/>
              <w:right w:val="single" w:sz="4" w:space="0" w:color="auto"/>
            </w:tcBorders>
            <w:noWrap/>
            <w:vAlign w:val="center"/>
            <w:hideMark/>
          </w:tcPr>
          <w:p w:rsidR="00BF5B98" w:rsidRPr="00215B3D" w:rsidRDefault="00C50C20" w:rsidP="00C50C20">
            <w:pPr>
              <w:spacing w:after="0" w:line="240" w:lineRule="auto"/>
              <w:jc w:val="right"/>
              <w:rPr>
                <w:rFonts w:ascii="Segoe UI" w:hAnsi="Segoe UI" w:cs="Segoe UI"/>
              </w:rPr>
            </w:pPr>
            <w:r w:rsidRPr="00215B3D">
              <w:rPr>
                <w:rFonts w:ascii="Segoe UI" w:hAnsi="Segoe UI" w:cs="Segoe UI"/>
              </w:rPr>
              <w:t>104 261,3</w:t>
            </w:r>
          </w:p>
        </w:tc>
        <w:tc>
          <w:tcPr>
            <w:tcW w:w="1200" w:type="dxa"/>
            <w:tcBorders>
              <w:top w:val="nil"/>
              <w:left w:val="nil"/>
              <w:bottom w:val="single" w:sz="4" w:space="0" w:color="auto"/>
              <w:right w:val="single" w:sz="4" w:space="0" w:color="auto"/>
            </w:tcBorders>
            <w:noWrap/>
            <w:vAlign w:val="center"/>
            <w:hideMark/>
          </w:tcPr>
          <w:p w:rsidR="00BF5B98" w:rsidRPr="00215B3D" w:rsidRDefault="00C50C20" w:rsidP="00C50C20">
            <w:pPr>
              <w:spacing w:after="0" w:line="240" w:lineRule="auto"/>
              <w:jc w:val="center"/>
              <w:rPr>
                <w:rFonts w:ascii="Segoe UI" w:hAnsi="Segoe UI" w:cs="Segoe UI"/>
              </w:rPr>
            </w:pPr>
            <w:r w:rsidRPr="00215B3D">
              <w:rPr>
                <w:rFonts w:ascii="Segoe UI" w:hAnsi="Segoe UI" w:cs="Segoe UI"/>
              </w:rPr>
              <w:t>36,5</w:t>
            </w:r>
          </w:p>
        </w:tc>
      </w:tr>
      <w:tr w:rsidR="00BF5B98" w:rsidRPr="00215B3D" w:rsidTr="004A1038">
        <w:trPr>
          <w:trHeight w:val="465"/>
        </w:trPr>
        <w:tc>
          <w:tcPr>
            <w:tcW w:w="5380" w:type="dxa"/>
            <w:tcBorders>
              <w:top w:val="nil"/>
              <w:left w:val="single" w:sz="4" w:space="0" w:color="auto"/>
              <w:bottom w:val="single" w:sz="4" w:space="0" w:color="auto"/>
              <w:right w:val="single" w:sz="4" w:space="0" w:color="auto"/>
            </w:tcBorders>
            <w:vAlign w:val="center"/>
          </w:tcPr>
          <w:p w:rsidR="00BF5B98" w:rsidRPr="00215B3D" w:rsidRDefault="00BF5B98" w:rsidP="004162ED">
            <w:pPr>
              <w:spacing w:after="0" w:line="240" w:lineRule="auto"/>
              <w:rPr>
                <w:rFonts w:ascii="Segoe UI" w:hAnsi="Segoe UI" w:cs="Segoe UI"/>
                <w:i/>
              </w:rPr>
            </w:pPr>
            <w:r w:rsidRPr="00215B3D">
              <w:rPr>
                <w:rFonts w:ascii="Segoe UI" w:hAnsi="Segoe UI" w:cs="Segoe UI"/>
                <w:i/>
              </w:rPr>
              <w:t xml:space="preserve">        Emprunt extérieur (prêts et dons)</w:t>
            </w:r>
          </w:p>
        </w:tc>
        <w:tc>
          <w:tcPr>
            <w:tcW w:w="1336" w:type="dxa"/>
            <w:tcBorders>
              <w:top w:val="nil"/>
              <w:left w:val="nil"/>
              <w:bottom w:val="single" w:sz="4" w:space="0" w:color="auto"/>
              <w:right w:val="single" w:sz="4" w:space="0" w:color="auto"/>
            </w:tcBorders>
            <w:noWrap/>
            <w:vAlign w:val="center"/>
          </w:tcPr>
          <w:p w:rsidR="00BF5B98" w:rsidRPr="00215B3D" w:rsidRDefault="00C50C20" w:rsidP="00CB582E">
            <w:pPr>
              <w:spacing w:after="0" w:line="240" w:lineRule="auto"/>
              <w:jc w:val="right"/>
              <w:rPr>
                <w:rFonts w:ascii="Segoe UI" w:hAnsi="Segoe UI" w:cs="Segoe UI"/>
                <w:i/>
              </w:rPr>
            </w:pPr>
            <w:r w:rsidRPr="00215B3D">
              <w:rPr>
                <w:rFonts w:ascii="Segoe UI" w:hAnsi="Segoe UI" w:cs="Segoe UI"/>
                <w:i/>
              </w:rPr>
              <w:t>210 300</w:t>
            </w:r>
          </w:p>
        </w:tc>
        <w:tc>
          <w:tcPr>
            <w:tcW w:w="1584" w:type="dxa"/>
            <w:tcBorders>
              <w:top w:val="nil"/>
              <w:left w:val="nil"/>
              <w:bottom w:val="single" w:sz="4" w:space="0" w:color="auto"/>
              <w:right w:val="single" w:sz="4" w:space="0" w:color="auto"/>
            </w:tcBorders>
            <w:noWrap/>
            <w:vAlign w:val="center"/>
          </w:tcPr>
          <w:p w:rsidR="00BF5B98" w:rsidRPr="00215B3D" w:rsidRDefault="00C50C20" w:rsidP="00F62ABD">
            <w:pPr>
              <w:spacing w:after="0" w:line="240" w:lineRule="auto"/>
              <w:jc w:val="right"/>
              <w:rPr>
                <w:rFonts w:ascii="Segoe UI" w:hAnsi="Segoe UI" w:cs="Segoe UI"/>
                <w:i/>
              </w:rPr>
            </w:pPr>
            <w:r w:rsidRPr="00215B3D">
              <w:rPr>
                <w:rFonts w:ascii="Segoe UI" w:hAnsi="Segoe UI" w:cs="Segoe UI"/>
                <w:i/>
              </w:rPr>
              <w:t>39 766,3</w:t>
            </w:r>
          </w:p>
        </w:tc>
        <w:tc>
          <w:tcPr>
            <w:tcW w:w="1200" w:type="dxa"/>
            <w:tcBorders>
              <w:top w:val="nil"/>
              <w:left w:val="nil"/>
              <w:bottom w:val="single" w:sz="4" w:space="0" w:color="auto"/>
              <w:right w:val="single" w:sz="4" w:space="0" w:color="auto"/>
            </w:tcBorders>
            <w:noWrap/>
            <w:vAlign w:val="center"/>
          </w:tcPr>
          <w:p w:rsidR="00BF5B98" w:rsidRPr="00215B3D" w:rsidRDefault="00C50C20" w:rsidP="004A729D">
            <w:pPr>
              <w:spacing w:after="0" w:line="240" w:lineRule="auto"/>
              <w:jc w:val="center"/>
              <w:rPr>
                <w:rFonts w:ascii="Segoe UI" w:hAnsi="Segoe UI" w:cs="Segoe UI"/>
                <w:i/>
              </w:rPr>
            </w:pPr>
            <w:r w:rsidRPr="00215B3D">
              <w:rPr>
                <w:rFonts w:ascii="Segoe UI" w:hAnsi="Segoe UI" w:cs="Segoe UI"/>
                <w:i/>
              </w:rPr>
              <w:t>18,9</w:t>
            </w:r>
          </w:p>
        </w:tc>
      </w:tr>
      <w:tr w:rsidR="00BF5B98" w:rsidRPr="00215B3D" w:rsidTr="004A1038">
        <w:trPr>
          <w:trHeight w:val="416"/>
        </w:trPr>
        <w:tc>
          <w:tcPr>
            <w:tcW w:w="5380" w:type="dxa"/>
            <w:tcBorders>
              <w:top w:val="nil"/>
              <w:left w:val="single" w:sz="4" w:space="0" w:color="auto"/>
              <w:bottom w:val="single" w:sz="4" w:space="0" w:color="auto"/>
              <w:right w:val="single" w:sz="4" w:space="0" w:color="auto"/>
            </w:tcBorders>
            <w:vAlign w:val="center"/>
          </w:tcPr>
          <w:p w:rsidR="00BF5B98" w:rsidRPr="00215B3D" w:rsidRDefault="00BF5B98" w:rsidP="004162ED">
            <w:pPr>
              <w:spacing w:after="0" w:line="240" w:lineRule="auto"/>
              <w:rPr>
                <w:rFonts w:ascii="Segoe UI" w:hAnsi="Segoe UI" w:cs="Segoe UI"/>
                <w:i/>
              </w:rPr>
            </w:pPr>
            <w:r w:rsidRPr="00215B3D">
              <w:rPr>
                <w:rFonts w:ascii="Segoe UI" w:hAnsi="Segoe UI" w:cs="Segoe UI"/>
                <w:i/>
              </w:rPr>
              <w:t xml:space="preserve">        Financement banques locales</w:t>
            </w:r>
          </w:p>
        </w:tc>
        <w:tc>
          <w:tcPr>
            <w:tcW w:w="1336" w:type="dxa"/>
            <w:tcBorders>
              <w:top w:val="nil"/>
              <w:left w:val="nil"/>
              <w:bottom w:val="single" w:sz="4" w:space="0" w:color="auto"/>
              <w:right w:val="single" w:sz="4" w:space="0" w:color="auto"/>
            </w:tcBorders>
            <w:noWrap/>
            <w:vAlign w:val="center"/>
          </w:tcPr>
          <w:p w:rsidR="00BF5B98" w:rsidRPr="00215B3D" w:rsidRDefault="00C50C20" w:rsidP="002A7BC0">
            <w:pPr>
              <w:spacing w:after="0" w:line="240" w:lineRule="auto"/>
              <w:jc w:val="right"/>
              <w:rPr>
                <w:rFonts w:ascii="Segoe UI" w:hAnsi="Segoe UI" w:cs="Segoe UI"/>
                <w:i/>
              </w:rPr>
            </w:pPr>
            <w:r w:rsidRPr="00215B3D">
              <w:rPr>
                <w:rFonts w:ascii="Segoe UI" w:hAnsi="Segoe UI" w:cs="Segoe UI"/>
                <w:i/>
              </w:rPr>
              <w:t>75 000</w:t>
            </w:r>
          </w:p>
        </w:tc>
        <w:tc>
          <w:tcPr>
            <w:tcW w:w="1584" w:type="dxa"/>
            <w:tcBorders>
              <w:top w:val="nil"/>
              <w:left w:val="nil"/>
              <w:bottom w:val="single" w:sz="4" w:space="0" w:color="auto"/>
              <w:right w:val="single" w:sz="4" w:space="0" w:color="auto"/>
            </w:tcBorders>
            <w:noWrap/>
            <w:vAlign w:val="center"/>
          </w:tcPr>
          <w:p w:rsidR="00BF5B98" w:rsidRPr="00215B3D" w:rsidRDefault="00C50C20" w:rsidP="00C50C20">
            <w:pPr>
              <w:spacing w:after="0" w:line="240" w:lineRule="auto"/>
              <w:jc w:val="right"/>
              <w:rPr>
                <w:rFonts w:ascii="Segoe UI" w:hAnsi="Segoe UI" w:cs="Segoe UI"/>
                <w:i/>
              </w:rPr>
            </w:pPr>
            <w:r w:rsidRPr="00215B3D">
              <w:rPr>
                <w:rFonts w:ascii="Segoe UI" w:hAnsi="Segoe UI" w:cs="Segoe UI"/>
                <w:i/>
              </w:rPr>
              <w:t>64 495,0</w:t>
            </w:r>
          </w:p>
        </w:tc>
        <w:tc>
          <w:tcPr>
            <w:tcW w:w="1200" w:type="dxa"/>
            <w:tcBorders>
              <w:top w:val="nil"/>
              <w:left w:val="nil"/>
              <w:bottom w:val="single" w:sz="4" w:space="0" w:color="auto"/>
              <w:right w:val="single" w:sz="4" w:space="0" w:color="auto"/>
            </w:tcBorders>
            <w:noWrap/>
            <w:vAlign w:val="center"/>
          </w:tcPr>
          <w:p w:rsidR="00BF5B98" w:rsidRPr="00215B3D" w:rsidRDefault="00C50C20" w:rsidP="00996B00">
            <w:pPr>
              <w:spacing w:after="0" w:line="240" w:lineRule="auto"/>
              <w:jc w:val="center"/>
              <w:rPr>
                <w:rFonts w:ascii="Segoe UI" w:hAnsi="Segoe UI" w:cs="Segoe UI"/>
                <w:i/>
              </w:rPr>
            </w:pPr>
            <w:r w:rsidRPr="00215B3D">
              <w:rPr>
                <w:rFonts w:ascii="Segoe UI" w:hAnsi="Segoe UI" w:cs="Segoe UI"/>
                <w:i/>
              </w:rPr>
              <w:t>86</w:t>
            </w:r>
          </w:p>
        </w:tc>
      </w:tr>
      <w:tr w:rsidR="00C50C20" w:rsidRPr="00215B3D" w:rsidTr="004A1038">
        <w:trPr>
          <w:trHeight w:val="416"/>
        </w:trPr>
        <w:tc>
          <w:tcPr>
            <w:tcW w:w="5380" w:type="dxa"/>
            <w:tcBorders>
              <w:top w:val="nil"/>
              <w:left w:val="single" w:sz="4" w:space="0" w:color="auto"/>
              <w:bottom w:val="single" w:sz="4" w:space="0" w:color="auto"/>
              <w:right w:val="single" w:sz="4" w:space="0" w:color="auto"/>
            </w:tcBorders>
            <w:vAlign w:val="center"/>
          </w:tcPr>
          <w:p w:rsidR="00C50C20" w:rsidRPr="00215B3D" w:rsidRDefault="00570663" w:rsidP="004162ED">
            <w:pPr>
              <w:spacing w:after="0" w:line="240" w:lineRule="auto"/>
              <w:rPr>
                <w:rFonts w:ascii="Segoe UI" w:hAnsi="Segoe UI" w:cs="Segoe UI"/>
                <w:i/>
              </w:rPr>
            </w:pPr>
            <w:r>
              <w:rPr>
                <w:rFonts w:ascii="Segoe UI" w:hAnsi="Segoe UI" w:cs="Segoe UI"/>
                <w:i/>
              </w:rPr>
              <w:t xml:space="preserve">  Tirage sur</w:t>
            </w:r>
            <w:r w:rsidR="00C50C20" w:rsidRPr="00215B3D">
              <w:rPr>
                <w:rFonts w:ascii="Segoe UI" w:hAnsi="Segoe UI" w:cs="Segoe UI"/>
                <w:i/>
              </w:rPr>
              <w:t xml:space="preserve"> FMI</w:t>
            </w:r>
          </w:p>
        </w:tc>
        <w:tc>
          <w:tcPr>
            <w:tcW w:w="1336" w:type="dxa"/>
            <w:tcBorders>
              <w:top w:val="nil"/>
              <w:left w:val="nil"/>
              <w:bottom w:val="single" w:sz="4" w:space="0" w:color="auto"/>
              <w:right w:val="single" w:sz="4" w:space="0" w:color="auto"/>
            </w:tcBorders>
            <w:noWrap/>
            <w:vAlign w:val="center"/>
          </w:tcPr>
          <w:p w:rsidR="00C50C20" w:rsidRPr="00215B3D" w:rsidRDefault="00C50C20" w:rsidP="002A7BC0">
            <w:pPr>
              <w:spacing w:after="0" w:line="240" w:lineRule="auto"/>
              <w:jc w:val="right"/>
              <w:rPr>
                <w:rFonts w:ascii="Segoe UI" w:hAnsi="Segoe UI" w:cs="Segoe UI"/>
                <w:i/>
              </w:rPr>
            </w:pPr>
            <w:r w:rsidRPr="00215B3D">
              <w:rPr>
                <w:rFonts w:ascii="Segoe UI" w:hAnsi="Segoe UI" w:cs="Segoe UI"/>
                <w:i/>
              </w:rPr>
              <w:t>-</w:t>
            </w:r>
          </w:p>
        </w:tc>
        <w:tc>
          <w:tcPr>
            <w:tcW w:w="1584" w:type="dxa"/>
            <w:tcBorders>
              <w:top w:val="nil"/>
              <w:left w:val="nil"/>
              <w:bottom w:val="single" w:sz="4" w:space="0" w:color="auto"/>
              <w:right w:val="single" w:sz="4" w:space="0" w:color="auto"/>
            </w:tcBorders>
            <w:noWrap/>
            <w:vAlign w:val="center"/>
          </w:tcPr>
          <w:p w:rsidR="00C50C20" w:rsidRPr="00215B3D" w:rsidRDefault="00C50C20" w:rsidP="00C50C20">
            <w:pPr>
              <w:spacing w:after="0" w:line="240" w:lineRule="auto"/>
              <w:jc w:val="right"/>
              <w:rPr>
                <w:rFonts w:ascii="Segoe UI" w:hAnsi="Segoe UI" w:cs="Segoe UI"/>
                <w:i/>
              </w:rPr>
            </w:pPr>
            <w:r w:rsidRPr="00215B3D">
              <w:rPr>
                <w:rFonts w:ascii="Segoe UI" w:hAnsi="Segoe UI" w:cs="Segoe UI"/>
                <w:i/>
              </w:rPr>
              <w:t>13 302 ,6</w:t>
            </w:r>
          </w:p>
        </w:tc>
        <w:tc>
          <w:tcPr>
            <w:tcW w:w="1200" w:type="dxa"/>
            <w:tcBorders>
              <w:top w:val="nil"/>
              <w:left w:val="nil"/>
              <w:bottom w:val="single" w:sz="4" w:space="0" w:color="auto"/>
              <w:right w:val="single" w:sz="4" w:space="0" w:color="auto"/>
            </w:tcBorders>
            <w:noWrap/>
            <w:vAlign w:val="center"/>
          </w:tcPr>
          <w:p w:rsidR="00C50C20" w:rsidRPr="00215B3D" w:rsidRDefault="00C50C20" w:rsidP="00996B00">
            <w:pPr>
              <w:spacing w:after="0" w:line="240" w:lineRule="auto"/>
              <w:jc w:val="center"/>
              <w:rPr>
                <w:rFonts w:ascii="Segoe UI" w:hAnsi="Segoe UI" w:cs="Segoe UI"/>
                <w:i/>
              </w:rPr>
            </w:pPr>
            <w:r w:rsidRPr="00215B3D">
              <w:rPr>
                <w:rFonts w:ascii="Segoe UI" w:hAnsi="Segoe UI" w:cs="Segoe UI"/>
                <w:i/>
              </w:rPr>
              <w:t>-</w:t>
            </w:r>
          </w:p>
        </w:tc>
      </w:tr>
      <w:tr w:rsidR="00BF5B98"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rsidR="00BF5B98" w:rsidRPr="00215B3D" w:rsidRDefault="00BF5B98" w:rsidP="004162ED">
            <w:pPr>
              <w:spacing w:after="0" w:line="240" w:lineRule="auto"/>
              <w:rPr>
                <w:rFonts w:ascii="Segoe UI" w:hAnsi="Segoe UI" w:cs="Segoe UI"/>
              </w:rPr>
            </w:pPr>
            <w:r w:rsidRPr="00215B3D">
              <w:rPr>
                <w:rFonts w:ascii="Segoe UI" w:hAnsi="Segoe UI" w:cs="Segoe UI"/>
              </w:rPr>
              <w:t>Autres ressources de trésorerie</w:t>
            </w:r>
          </w:p>
        </w:tc>
        <w:tc>
          <w:tcPr>
            <w:tcW w:w="1336" w:type="dxa"/>
            <w:tcBorders>
              <w:top w:val="nil"/>
              <w:left w:val="nil"/>
              <w:bottom w:val="single" w:sz="4" w:space="0" w:color="auto"/>
              <w:right w:val="single" w:sz="4" w:space="0" w:color="auto"/>
            </w:tcBorders>
            <w:noWrap/>
            <w:vAlign w:val="center"/>
            <w:hideMark/>
          </w:tcPr>
          <w:p w:rsidR="00BF5B98" w:rsidRPr="00215B3D" w:rsidRDefault="00C50C20" w:rsidP="00456FC1">
            <w:pPr>
              <w:spacing w:after="0" w:line="240" w:lineRule="auto"/>
              <w:jc w:val="right"/>
              <w:rPr>
                <w:rFonts w:ascii="Segoe UI" w:hAnsi="Segoe UI" w:cs="Segoe UI"/>
              </w:rPr>
            </w:pPr>
            <w:r w:rsidRPr="00215B3D">
              <w:rPr>
                <w:rFonts w:ascii="Segoe UI" w:hAnsi="Segoe UI" w:cs="Segoe UI"/>
              </w:rPr>
              <w:t>716 614</w:t>
            </w:r>
          </w:p>
        </w:tc>
        <w:tc>
          <w:tcPr>
            <w:tcW w:w="1584" w:type="dxa"/>
            <w:tcBorders>
              <w:top w:val="nil"/>
              <w:left w:val="nil"/>
              <w:bottom w:val="single" w:sz="4" w:space="0" w:color="auto"/>
              <w:right w:val="single" w:sz="4" w:space="0" w:color="auto"/>
            </w:tcBorders>
            <w:noWrap/>
            <w:vAlign w:val="center"/>
            <w:hideMark/>
          </w:tcPr>
          <w:p w:rsidR="00BF5B98" w:rsidRPr="00215B3D" w:rsidRDefault="00570663" w:rsidP="00C50C20">
            <w:pPr>
              <w:spacing w:after="0" w:line="240" w:lineRule="auto"/>
              <w:jc w:val="right"/>
              <w:rPr>
                <w:rFonts w:ascii="Segoe UI" w:hAnsi="Segoe UI" w:cs="Segoe UI"/>
              </w:rPr>
            </w:pPr>
            <w:r>
              <w:rPr>
                <w:rFonts w:ascii="Segoe UI" w:hAnsi="Segoe UI" w:cs="Segoe UI"/>
              </w:rPr>
              <w:t>324 710</w:t>
            </w:r>
          </w:p>
        </w:tc>
        <w:tc>
          <w:tcPr>
            <w:tcW w:w="1200" w:type="dxa"/>
            <w:tcBorders>
              <w:top w:val="nil"/>
              <w:left w:val="nil"/>
              <w:bottom w:val="single" w:sz="4" w:space="0" w:color="auto"/>
              <w:right w:val="single" w:sz="4" w:space="0" w:color="auto"/>
            </w:tcBorders>
            <w:noWrap/>
            <w:vAlign w:val="center"/>
            <w:hideMark/>
          </w:tcPr>
          <w:p w:rsidR="00BF5B98" w:rsidRPr="00215B3D" w:rsidRDefault="00570663" w:rsidP="00F02838">
            <w:pPr>
              <w:spacing w:after="0" w:line="240" w:lineRule="auto"/>
              <w:jc w:val="center"/>
              <w:rPr>
                <w:rFonts w:ascii="Segoe UI" w:hAnsi="Segoe UI" w:cs="Segoe UI"/>
              </w:rPr>
            </w:pPr>
            <w:r>
              <w:rPr>
                <w:rFonts w:ascii="Segoe UI" w:hAnsi="Segoe UI" w:cs="Segoe UI"/>
              </w:rPr>
              <w:t>45,3</w:t>
            </w:r>
          </w:p>
        </w:tc>
      </w:tr>
      <w:tr w:rsidR="00BF5B98"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tcPr>
          <w:p w:rsidR="00BF5B98" w:rsidRPr="00215B3D" w:rsidRDefault="00BF5B98" w:rsidP="004162ED">
            <w:pPr>
              <w:spacing w:after="0" w:line="240" w:lineRule="auto"/>
              <w:rPr>
                <w:rFonts w:ascii="Segoe UI" w:hAnsi="Segoe UI" w:cs="Segoe UI"/>
                <w:i/>
              </w:rPr>
            </w:pPr>
            <w:r w:rsidRPr="00215B3D">
              <w:rPr>
                <w:rFonts w:ascii="Segoe UI" w:hAnsi="Segoe UI" w:cs="Segoe UI"/>
                <w:i/>
              </w:rPr>
              <w:t xml:space="preserve">        Obligations du trésor</w:t>
            </w:r>
          </w:p>
        </w:tc>
        <w:tc>
          <w:tcPr>
            <w:tcW w:w="1336" w:type="dxa"/>
            <w:tcBorders>
              <w:top w:val="nil"/>
              <w:left w:val="nil"/>
              <w:bottom w:val="single" w:sz="4" w:space="0" w:color="auto"/>
              <w:right w:val="single" w:sz="4" w:space="0" w:color="auto"/>
            </w:tcBorders>
            <w:noWrap/>
            <w:vAlign w:val="center"/>
          </w:tcPr>
          <w:p w:rsidR="00BF5B98" w:rsidRPr="00215B3D" w:rsidRDefault="00A02AB0" w:rsidP="004A729D">
            <w:pPr>
              <w:spacing w:after="0" w:line="240" w:lineRule="auto"/>
              <w:jc w:val="right"/>
              <w:rPr>
                <w:rFonts w:ascii="Segoe UI" w:hAnsi="Segoe UI" w:cs="Segoe UI"/>
                <w:i/>
              </w:rPr>
            </w:pPr>
            <w:r w:rsidRPr="00215B3D">
              <w:rPr>
                <w:rFonts w:ascii="Segoe UI" w:hAnsi="Segoe UI" w:cs="Segoe UI"/>
                <w:i/>
              </w:rPr>
              <w:t>542 314</w:t>
            </w:r>
          </w:p>
        </w:tc>
        <w:tc>
          <w:tcPr>
            <w:tcW w:w="1584" w:type="dxa"/>
            <w:tcBorders>
              <w:top w:val="nil"/>
              <w:left w:val="nil"/>
              <w:bottom w:val="single" w:sz="4" w:space="0" w:color="auto"/>
              <w:right w:val="single" w:sz="4" w:space="0" w:color="auto"/>
            </w:tcBorders>
            <w:noWrap/>
            <w:vAlign w:val="center"/>
          </w:tcPr>
          <w:p w:rsidR="00BF5B98" w:rsidRPr="00215B3D" w:rsidRDefault="00570663" w:rsidP="00A02AB0">
            <w:pPr>
              <w:spacing w:after="0" w:line="240" w:lineRule="auto"/>
              <w:jc w:val="right"/>
              <w:rPr>
                <w:rFonts w:ascii="Segoe UI" w:hAnsi="Segoe UI" w:cs="Segoe UI"/>
                <w:i/>
              </w:rPr>
            </w:pPr>
            <w:r>
              <w:rPr>
                <w:rFonts w:ascii="Segoe UI" w:hAnsi="Segoe UI" w:cs="Segoe UI"/>
                <w:i/>
              </w:rPr>
              <w:t>183 530</w:t>
            </w:r>
          </w:p>
        </w:tc>
        <w:tc>
          <w:tcPr>
            <w:tcW w:w="1200" w:type="dxa"/>
            <w:tcBorders>
              <w:top w:val="nil"/>
              <w:left w:val="nil"/>
              <w:bottom w:val="single" w:sz="4" w:space="0" w:color="auto"/>
              <w:right w:val="single" w:sz="4" w:space="0" w:color="auto"/>
            </w:tcBorders>
            <w:noWrap/>
            <w:vAlign w:val="center"/>
          </w:tcPr>
          <w:p w:rsidR="00BF5B98" w:rsidRPr="00215B3D" w:rsidRDefault="00A02AB0" w:rsidP="00570663">
            <w:pPr>
              <w:spacing w:after="0" w:line="240" w:lineRule="auto"/>
              <w:jc w:val="center"/>
              <w:rPr>
                <w:rFonts w:ascii="Segoe UI" w:hAnsi="Segoe UI" w:cs="Segoe UI"/>
                <w:i/>
              </w:rPr>
            </w:pPr>
            <w:r w:rsidRPr="00215B3D">
              <w:rPr>
                <w:rFonts w:ascii="Segoe UI" w:hAnsi="Segoe UI" w:cs="Segoe UI"/>
                <w:i/>
              </w:rPr>
              <w:t>33,</w:t>
            </w:r>
            <w:r w:rsidR="00570663">
              <w:rPr>
                <w:rFonts w:ascii="Segoe UI" w:hAnsi="Segoe UI" w:cs="Segoe UI"/>
                <w:i/>
              </w:rPr>
              <w:t>8</w:t>
            </w:r>
          </w:p>
        </w:tc>
      </w:tr>
      <w:tr w:rsidR="00BF5B98"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tcPr>
          <w:p w:rsidR="00BF5B98" w:rsidRPr="00215B3D" w:rsidRDefault="00BF5B98" w:rsidP="004162ED">
            <w:pPr>
              <w:spacing w:after="0" w:line="240" w:lineRule="auto"/>
              <w:rPr>
                <w:rFonts w:ascii="Segoe UI" w:hAnsi="Segoe UI" w:cs="Segoe UI"/>
                <w:i/>
              </w:rPr>
            </w:pPr>
            <w:r w:rsidRPr="00215B3D">
              <w:rPr>
                <w:rFonts w:ascii="Segoe UI" w:hAnsi="Segoe UI" w:cs="Segoe UI"/>
                <w:i/>
              </w:rPr>
              <w:t xml:space="preserve">        Bons du trésor</w:t>
            </w:r>
          </w:p>
        </w:tc>
        <w:tc>
          <w:tcPr>
            <w:tcW w:w="1336" w:type="dxa"/>
            <w:tcBorders>
              <w:top w:val="nil"/>
              <w:left w:val="nil"/>
              <w:bottom w:val="single" w:sz="4" w:space="0" w:color="auto"/>
              <w:right w:val="single" w:sz="4" w:space="0" w:color="auto"/>
            </w:tcBorders>
            <w:noWrap/>
            <w:vAlign w:val="center"/>
          </w:tcPr>
          <w:p w:rsidR="00BF5B98" w:rsidRPr="00215B3D" w:rsidRDefault="00A02AB0" w:rsidP="004162ED">
            <w:pPr>
              <w:spacing w:after="0" w:line="240" w:lineRule="auto"/>
              <w:jc w:val="right"/>
              <w:rPr>
                <w:rFonts w:ascii="Segoe UI" w:hAnsi="Segoe UI" w:cs="Segoe UI"/>
                <w:i/>
              </w:rPr>
            </w:pPr>
            <w:r w:rsidRPr="00215B3D">
              <w:rPr>
                <w:rFonts w:ascii="Segoe UI" w:hAnsi="Segoe UI" w:cs="Segoe UI"/>
                <w:i/>
              </w:rPr>
              <w:t>174 300</w:t>
            </w:r>
          </w:p>
        </w:tc>
        <w:tc>
          <w:tcPr>
            <w:tcW w:w="1584" w:type="dxa"/>
            <w:tcBorders>
              <w:top w:val="nil"/>
              <w:left w:val="nil"/>
              <w:bottom w:val="single" w:sz="4" w:space="0" w:color="auto"/>
              <w:right w:val="single" w:sz="4" w:space="0" w:color="auto"/>
            </w:tcBorders>
            <w:noWrap/>
            <w:vAlign w:val="center"/>
          </w:tcPr>
          <w:p w:rsidR="00BF5B98" w:rsidRPr="00215B3D" w:rsidRDefault="00570663" w:rsidP="00A02AB0">
            <w:pPr>
              <w:spacing w:after="0" w:line="240" w:lineRule="auto"/>
              <w:jc w:val="right"/>
              <w:rPr>
                <w:rFonts w:ascii="Segoe UI" w:hAnsi="Segoe UI" w:cs="Segoe UI"/>
                <w:i/>
              </w:rPr>
            </w:pPr>
            <w:r>
              <w:rPr>
                <w:rFonts w:ascii="Segoe UI" w:hAnsi="Segoe UI" w:cs="Segoe UI"/>
                <w:i/>
              </w:rPr>
              <w:t>141 180</w:t>
            </w:r>
          </w:p>
        </w:tc>
        <w:tc>
          <w:tcPr>
            <w:tcW w:w="1200" w:type="dxa"/>
            <w:tcBorders>
              <w:top w:val="nil"/>
              <w:left w:val="nil"/>
              <w:bottom w:val="single" w:sz="4" w:space="0" w:color="auto"/>
              <w:right w:val="single" w:sz="4" w:space="0" w:color="auto"/>
            </w:tcBorders>
            <w:noWrap/>
            <w:vAlign w:val="center"/>
          </w:tcPr>
          <w:p w:rsidR="00BF5B98" w:rsidRPr="00215B3D" w:rsidRDefault="00A02AB0" w:rsidP="00A02AB0">
            <w:pPr>
              <w:spacing w:after="0" w:line="240" w:lineRule="auto"/>
              <w:jc w:val="center"/>
              <w:rPr>
                <w:rFonts w:ascii="Segoe UI" w:hAnsi="Segoe UI" w:cs="Segoe UI"/>
                <w:i/>
              </w:rPr>
            </w:pPr>
            <w:r w:rsidRPr="00215B3D">
              <w:rPr>
                <w:rFonts w:ascii="Segoe UI" w:hAnsi="Segoe UI" w:cs="Segoe UI"/>
                <w:i/>
              </w:rPr>
              <w:t>81</w:t>
            </w:r>
          </w:p>
        </w:tc>
      </w:tr>
      <w:tr w:rsidR="00977432"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tcPr>
          <w:p w:rsidR="00977432" w:rsidRPr="00215B3D" w:rsidRDefault="00977432" w:rsidP="004162ED">
            <w:pPr>
              <w:spacing w:after="0" w:line="240" w:lineRule="auto"/>
              <w:rPr>
                <w:rFonts w:ascii="Segoe UI" w:hAnsi="Segoe UI" w:cs="Segoe UI"/>
                <w:i/>
              </w:rPr>
            </w:pPr>
            <w:r>
              <w:rPr>
                <w:rFonts w:ascii="Segoe UI" w:hAnsi="Segoe UI" w:cs="Segoe UI"/>
                <w:i/>
              </w:rPr>
              <w:t>Variation des dépôts des correspondants du trésor</w:t>
            </w:r>
          </w:p>
        </w:tc>
        <w:tc>
          <w:tcPr>
            <w:tcW w:w="1336" w:type="dxa"/>
            <w:tcBorders>
              <w:top w:val="nil"/>
              <w:left w:val="nil"/>
              <w:bottom w:val="single" w:sz="4" w:space="0" w:color="auto"/>
              <w:right w:val="single" w:sz="4" w:space="0" w:color="auto"/>
            </w:tcBorders>
            <w:noWrap/>
            <w:vAlign w:val="center"/>
          </w:tcPr>
          <w:p w:rsidR="00977432" w:rsidRPr="00215B3D" w:rsidRDefault="00977432" w:rsidP="004162ED">
            <w:pPr>
              <w:spacing w:after="0" w:line="240" w:lineRule="auto"/>
              <w:jc w:val="right"/>
              <w:rPr>
                <w:rFonts w:ascii="Segoe UI" w:hAnsi="Segoe UI" w:cs="Segoe UI"/>
                <w:i/>
              </w:rPr>
            </w:pPr>
          </w:p>
        </w:tc>
        <w:tc>
          <w:tcPr>
            <w:tcW w:w="1584" w:type="dxa"/>
            <w:tcBorders>
              <w:top w:val="nil"/>
              <w:left w:val="nil"/>
              <w:bottom w:val="single" w:sz="4" w:space="0" w:color="auto"/>
              <w:right w:val="single" w:sz="4" w:space="0" w:color="auto"/>
            </w:tcBorders>
            <w:noWrap/>
            <w:vAlign w:val="center"/>
          </w:tcPr>
          <w:p w:rsidR="00977432" w:rsidRDefault="00977432" w:rsidP="00A02AB0">
            <w:pPr>
              <w:spacing w:after="0" w:line="240" w:lineRule="auto"/>
              <w:jc w:val="right"/>
              <w:rPr>
                <w:rFonts w:ascii="Segoe UI" w:hAnsi="Segoe UI" w:cs="Segoe UI"/>
                <w:i/>
              </w:rPr>
            </w:pPr>
            <w:r>
              <w:rPr>
                <w:rFonts w:ascii="Segoe UI" w:hAnsi="Segoe UI" w:cs="Segoe UI"/>
                <w:i/>
              </w:rPr>
              <w:t>7 256</w:t>
            </w:r>
          </w:p>
        </w:tc>
        <w:tc>
          <w:tcPr>
            <w:tcW w:w="1200" w:type="dxa"/>
            <w:tcBorders>
              <w:top w:val="nil"/>
              <w:left w:val="nil"/>
              <w:bottom w:val="single" w:sz="4" w:space="0" w:color="auto"/>
              <w:right w:val="single" w:sz="4" w:space="0" w:color="auto"/>
            </w:tcBorders>
            <w:noWrap/>
            <w:vAlign w:val="center"/>
          </w:tcPr>
          <w:p w:rsidR="00977432" w:rsidRPr="00215B3D" w:rsidRDefault="00977432" w:rsidP="00A02AB0">
            <w:pPr>
              <w:spacing w:after="0" w:line="240" w:lineRule="auto"/>
              <w:jc w:val="center"/>
              <w:rPr>
                <w:rFonts w:ascii="Segoe UI" w:hAnsi="Segoe UI" w:cs="Segoe UI"/>
                <w:i/>
              </w:rPr>
            </w:pPr>
            <w:r>
              <w:rPr>
                <w:rFonts w:ascii="Segoe UI" w:hAnsi="Segoe UI" w:cs="Segoe UI"/>
                <w:i/>
              </w:rPr>
              <w:t>-</w:t>
            </w:r>
          </w:p>
        </w:tc>
      </w:tr>
      <w:tr w:rsidR="00BF5B98" w:rsidRPr="00215B3D"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rsidR="00BF5B98" w:rsidRPr="00215B3D" w:rsidRDefault="00BF5B98" w:rsidP="004162ED">
            <w:pPr>
              <w:spacing w:after="0" w:line="240" w:lineRule="auto"/>
              <w:rPr>
                <w:rFonts w:ascii="Segoe UI" w:hAnsi="Segoe UI" w:cs="Segoe UI"/>
              </w:rPr>
            </w:pPr>
            <w:r w:rsidRPr="00215B3D">
              <w:rPr>
                <w:rFonts w:ascii="Segoe UI" w:hAnsi="Segoe UI" w:cs="Segoe UI"/>
              </w:rPr>
              <w:t>Produits des cessions d'actifs</w:t>
            </w:r>
          </w:p>
        </w:tc>
        <w:tc>
          <w:tcPr>
            <w:tcW w:w="1336" w:type="dxa"/>
            <w:tcBorders>
              <w:top w:val="nil"/>
              <w:left w:val="nil"/>
              <w:bottom w:val="single" w:sz="4" w:space="0" w:color="auto"/>
              <w:right w:val="single" w:sz="4" w:space="0" w:color="auto"/>
            </w:tcBorders>
            <w:noWrap/>
            <w:vAlign w:val="center"/>
            <w:hideMark/>
          </w:tcPr>
          <w:p w:rsidR="00BF5B98" w:rsidRPr="00215B3D" w:rsidRDefault="004956EC" w:rsidP="00456FC1">
            <w:pPr>
              <w:spacing w:after="0" w:line="240" w:lineRule="auto"/>
              <w:jc w:val="right"/>
              <w:rPr>
                <w:rFonts w:ascii="Segoe UI" w:hAnsi="Segoe UI" w:cs="Segoe UI"/>
              </w:rPr>
            </w:pPr>
            <w:r w:rsidRPr="00215B3D">
              <w:rPr>
                <w:rFonts w:ascii="Segoe UI" w:hAnsi="Segoe UI" w:cs="Segoe UI"/>
              </w:rPr>
              <w:t>0</w:t>
            </w:r>
          </w:p>
        </w:tc>
        <w:tc>
          <w:tcPr>
            <w:tcW w:w="1584" w:type="dxa"/>
            <w:tcBorders>
              <w:top w:val="nil"/>
              <w:left w:val="nil"/>
              <w:bottom w:val="single" w:sz="4" w:space="0" w:color="auto"/>
              <w:right w:val="single" w:sz="4" w:space="0" w:color="auto"/>
            </w:tcBorders>
            <w:noWrap/>
            <w:vAlign w:val="center"/>
            <w:hideMark/>
          </w:tcPr>
          <w:p w:rsidR="00BF5B98" w:rsidRPr="00215B3D" w:rsidRDefault="00BF5B98" w:rsidP="004162ED">
            <w:pPr>
              <w:spacing w:after="0" w:line="240" w:lineRule="auto"/>
              <w:jc w:val="right"/>
              <w:rPr>
                <w:rFonts w:ascii="Segoe UI" w:hAnsi="Segoe UI" w:cs="Segoe UI"/>
              </w:rPr>
            </w:pPr>
            <w:r w:rsidRPr="00215B3D">
              <w:rPr>
                <w:rFonts w:ascii="Segoe UI" w:hAnsi="Segoe UI" w:cs="Segoe UI"/>
              </w:rPr>
              <w:t>0,0</w:t>
            </w:r>
          </w:p>
        </w:tc>
        <w:tc>
          <w:tcPr>
            <w:tcW w:w="1200" w:type="dxa"/>
            <w:tcBorders>
              <w:top w:val="nil"/>
              <w:left w:val="nil"/>
              <w:bottom w:val="single" w:sz="4" w:space="0" w:color="auto"/>
              <w:right w:val="single" w:sz="4" w:space="0" w:color="auto"/>
            </w:tcBorders>
            <w:noWrap/>
            <w:vAlign w:val="center"/>
            <w:hideMark/>
          </w:tcPr>
          <w:p w:rsidR="00BF5B98" w:rsidRPr="00215B3D" w:rsidRDefault="00BF5B98" w:rsidP="004162ED">
            <w:pPr>
              <w:spacing w:after="0" w:line="240" w:lineRule="auto"/>
              <w:jc w:val="center"/>
              <w:rPr>
                <w:rFonts w:ascii="Segoe UI" w:hAnsi="Segoe UI" w:cs="Segoe UI"/>
              </w:rPr>
            </w:pPr>
            <w:r w:rsidRPr="00215B3D">
              <w:rPr>
                <w:rFonts w:ascii="Segoe UI" w:hAnsi="Segoe UI" w:cs="Segoe UI"/>
              </w:rPr>
              <w:t>0,0</w:t>
            </w:r>
          </w:p>
        </w:tc>
      </w:tr>
      <w:tr w:rsidR="00BF5B98" w:rsidRPr="00215B3D" w:rsidTr="004A1038">
        <w:trPr>
          <w:trHeight w:val="80"/>
        </w:trPr>
        <w:tc>
          <w:tcPr>
            <w:tcW w:w="5380" w:type="dxa"/>
            <w:tcBorders>
              <w:top w:val="nil"/>
              <w:left w:val="single" w:sz="4" w:space="0" w:color="auto"/>
              <w:bottom w:val="single" w:sz="4" w:space="0" w:color="auto"/>
              <w:right w:val="single" w:sz="4" w:space="0" w:color="auto"/>
            </w:tcBorders>
            <w:noWrap/>
            <w:vAlign w:val="bottom"/>
            <w:hideMark/>
          </w:tcPr>
          <w:p w:rsidR="00BF5B98" w:rsidRPr="00215B3D" w:rsidRDefault="00BF5B98" w:rsidP="004162ED">
            <w:pPr>
              <w:spacing w:after="0" w:line="240" w:lineRule="auto"/>
              <w:jc w:val="center"/>
              <w:rPr>
                <w:rFonts w:ascii="Segoe UI" w:hAnsi="Segoe UI" w:cs="Segoe UI"/>
                <w:b/>
                <w:bCs/>
              </w:rPr>
            </w:pPr>
            <w:r w:rsidRPr="00215B3D">
              <w:rPr>
                <w:rFonts w:ascii="Segoe UI" w:hAnsi="Segoe UI" w:cs="Segoe UI"/>
                <w:b/>
                <w:bCs/>
              </w:rPr>
              <w:t>Total</w:t>
            </w:r>
          </w:p>
        </w:tc>
        <w:tc>
          <w:tcPr>
            <w:tcW w:w="1336" w:type="dxa"/>
            <w:tcBorders>
              <w:top w:val="nil"/>
              <w:left w:val="nil"/>
              <w:bottom w:val="single" w:sz="4" w:space="0" w:color="auto"/>
              <w:right w:val="single" w:sz="4" w:space="0" w:color="auto"/>
            </w:tcBorders>
            <w:noWrap/>
            <w:vAlign w:val="bottom"/>
            <w:hideMark/>
          </w:tcPr>
          <w:p w:rsidR="00BF5B98" w:rsidRPr="00215B3D" w:rsidRDefault="00FD5071" w:rsidP="004A729D">
            <w:pPr>
              <w:spacing w:after="0" w:line="240" w:lineRule="auto"/>
              <w:jc w:val="right"/>
              <w:rPr>
                <w:rFonts w:ascii="Segoe UI" w:hAnsi="Segoe UI" w:cs="Segoe UI"/>
                <w:b/>
                <w:bCs/>
              </w:rPr>
            </w:pPr>
            <w:r w:rsidRPr="00215B3D">
              <w:rPr>
                <w:rFonts w:ascii="Segoe UI" w:hAnsi="Segoe UI" w:cs="Segoe UI"/>
                <w:b/>
                <w:bCs/>
              </w:rPr>
              <w:t>1 002 861</w:t>
            </w:r>
          </w:p>
        </w:tc>
        <w:tc>
          <w:tcPr>
            <w:tcW w:w="1584" w:type="dxa"/>
            <w:tcBorders>
              <w:top w:val="nil"/>
              <w:left w:val="nil"/>
              <w:bottom w:val="single" w:sz="4" w:space="0" w:color="auto"/>
              <w:right w:val="single" w:sz="4" w:space="0" w:color="auto"/>
            </w:tcBorders>
            <w:noWrap/>
            <w:vAlign w:val="bottom"/>
            <w:hideMark/>
          </w:tcPr>
          <w:p w:rsidR="00BF5B98" w:rsidRPr="00215B3D" w:rsidRDefault="00162638" w:rsidP="004A729D">
            <w:pPr>
              <w:spacing w:after="0" w:line="240" w:lineRule="auto"/>
              <w:jc w:val="right"/>
              <w:rPr>
                <w:rFonts w:ascii="Segoe UI" w:hAnsi="Segoe UI" w:cs="Segoe UI"/>
                <w:b/>
                <w:bCs/>
              </w:rPr>
            </w:pPr>
            <w:r>
              <w:rPr>
                <w:rFonts w:ascii="Segoe UI" w:hAnsi="Segoe UI" w:cs="Segoe UI"/>
                <w:b/>
                <w:bCs/>
              </w:rPr>
              <w:t>449 537,4</w:t>
            </w:r>
          </w:p>
        </w:tc>
        <w:tc>
          <w:tcPr>
            <w:tcW w:w="1200" w:type="dxa"/>
            <w:tcBorders>
              <w:top w:val="nil"/>
              <w:left w:val="nil"/>
              <w:bottom w:val="single" w:sz="4" w:space="0" w:color="auto"/>
              <w:right w:val="single" w:sz="4" w:space="0" w:color="auto"/>
            </w:tcBorders>
            <w:noWrap/>
            <w:vAlign w:val="center"/>
            <w:hideMark/>
          </w:tcPr>
          <w:p w:rsidR="00BF5B98" w:rsidRPr="00215B3D" w:rsidRDefault="00162638" w:rsidP="00FD5071">
            <w:pPr>
              <w:spacing w:after="0" w:line="240" w:lineRule="auto"/>
              <w:jc w:val="center"/>
              <w:rPr>
                <w:rFonts w:ascii="Segoe UI" w:hAnsi="Segoe UI" w:cs="Segoe UI"/>
                <w:b/>
                <w:bCs/>
              </w:rPr>
            </w:pPr>
            <w:r>
              <w:rPr>
                <w:rFonts w:ascii="Segoe UI" w:hAnsi="Segoe UI" w:cs="Segoe UI"/>
                <w:b/>
                <w:bCs/>
              </w:rPr>
              <w:t>44,8</w:t>
            </w:r>
          </w:p>
        </w:tc>
      </w:tr>
    </w:tbl>
    <w:p w:rsidR="006B4827" w:rsidRPr="00215B3D" w:rsidRDefault="006B4827" w:rsidP="00BF5B98">
      <w:pPr>
        <w:spacing w:after="0" w:line="360" w:lineRule="auto"/>
        <w:ind w:left="357" w:firstLine="708"/>
        <w:rPr>
          <w:rFonts w:ascii="Segoe UI" w:hAnsi="Segoe UI" w:cs="Segoe UI"/>
          <w:b/>
          <w:bCs/>
          <w:iCs/>
          <w:sz w:val="10"/>
          <w:szCs w:val="20"/>
          <w:u w:val="single"/>
        </w:rPr>
      </w:pPr>
    </w:p>
    <w:p w:rsidR="00BF5B98" w:rsidRPr="00215B3D" w:rsidRDefault="00BF5B98" w:rsidP="00BF5B98">
      <w:pPr>
        <w:spacing w:after="0" w:line="360" w:lineRule="auto"/>
        <w:ind w:left="357" w:firstLine="708"/>
        <w:rPr>
          <w:rFonts w:ascii="Segoe UI" w:hAnsi="Segoe UI" w:cs="Segoe UI"/>
          <w:bCs/>
          <w:iCs/>
          <w:sz w:val="20"/>
          <w:szCs w:val="20"/>
        </w:rPr>
      </w:pPr>
      <w:r w:rsidRPr="00215B3D">
        <w:rPr>
          <w:rFonts w:ascii="Segoe UI" w:hAnsi="Segoe UI" w:cs="Segoe UI"/>
          <w:b/>
          <w:bCs/>
          <w:iCs/>
          <w:sz w:val="20"/>
          <w:szCs w:val="20"/>
          <w:u w:val="single"/>
        </w:rPr>
        <w:t>Source</w:t>
      </w:r>
      <w:r w:rsidRPr="00215B3D">
        <w:rPr>
          <w:rFonts w:ascii="Segoe UI" w:hAnsi="Segoe UI" w:cs="Segoe UI"/>
          <w:bCs/>
          <w:iCs/>
          <w:sz w:val="20"/>
          <w:szCs w:val="20"/>
        </w:rPr>
        <w:t xml:space="preserve"> : </w:t>
      </w:r>
      <w:r w:rsidR="00FB509F" w:rsidRPr="00215B3D">
        <w:rPr>
          <w:rFonts w:ascii="Segoe UI" w:hAnsi="Segoe UI" w:cs="Segoe UI"/>
          <w:sz w:val="16"/>
        </w:rPr>
        <w:t>DGB, sur la base des données fournies par la D</w:t>
      </w:r>
      <w:r w:rsidRPr="00215B3D">
        <w:rPr>
          <w:rFonts w:ascii="Segoe UI" w:hAnsi="Segoe UI" w:cs="Segoe UI"/>
          <w:sz w:val="16"/>
        </w:rPr>
        <w:t xml:space="preserve">GTCP, </w:t>
      </w:r>
      <w:r w:rsidR="00F6349A" w:rsidRPr="00215B3D">
        <w:rPr>
          <w:rFonts w:ascii="Segoe UI" w:hAnsi="Segoe UI" w:cs="Segoe UI"/>
          <w:sz w:val="16"/>
        </w:rPr>
        <w:t>juin</w:t>
      </w:r>
      <w:r w:rsidR="00B4322C" w:rsidRPr="00215B3D">
        <w:rPr>
          <w:rFonts w:ascii="Segoe UI" w:hAnsi="Segoe UI" w:cs="Segoe UI"/>
          <w:sz w:val="16"/>
        </w:rPr>
        <w:t xml:space="preserve"> 2017</w:t>
      </w:r>
    </w:p>
    <w:bookmarkEnd w:id="44"/>
    <w:p w:rsidR="003D508F" w:rsidRPr="008253BA" w:rsidRDefault="003D508F" w:rsidP="007D5EA9">
      <w:pPr>
        <w:keepNext/>
        <w:spacing w:after="0" w:line="360" w:lineRule="auto"/>
        <w:ind w:right="68"/>
        <w:jc w:val="both"/>
        <w:outlineLvl w:val="2"/>
        <w:rPr>
          <w:rFonts w:ascii="Segoe UI" w:hAnsi="Segoe UI" w:cs="Segoe UI"/>
          <w:sz w:val="10"/>
          <w:szCs w:val="16"/>
        </w:rPr>
      </w:pPr>
    </w:p>
    <w:p w:rsidR="007C4DCE" w:rsidRPr="00215B3D" w:rsidRDefault="00CE580F" w:rsidP="0002245F">
      <w:pPr>
        <w:pStyle w:val="Titre2"/>
        <w:numPr>
          <w:ilvl w:val="0"/>
          <w:numId w:val="42"/>
        </w:numPr>
        <w:spacing w:before="0"/>
        <w:rPr>
          <w:rFonts w:ascii="Segoe UI" w:hAnsi="Segoe UI" w:cs="Segoe UI"/>
        </w:rPr>
      </w:pPr>
      <w:bookmarkStart w:id="51" w:name="_Toc496025013"/>
      <w:r>
        <w:rPr>
          <w:rFonts w:ascii="Segoe UI" w:hAnsi="Segoe UI" w:cs="Segoe UI"/>
        </w:rPr>
        <w:t>E</w:t>
      </w:r>
      <w:r w:rsidR="0074747B" w:rsidRPr="00215B3D">
        <w:rPr>
          <w:rFonts w:ascii="Segoe UI" w:hAnsi="Segoe UI" w:cs="Segoe UI"/>
        </w:rPr>
        <w:t>xécution d</w:t>
      </w:r>
      <w:r w:rsidR="00493AE1" w:rsidRPr="00215B3D">
        <w:rPr>
          <w:rFonts w:ascii="Segoe UI" w:hAnsi="Segoe UI" w:cs="Segoe UI"/>
        </w:rPr>
        <w:t>es charges de Trésorerie</w:t>
      </w:r>
      <w:bookmarkEnd w:id="51"/>
    </w:p>
    <w:p w:rsidR="006B4827" w:rsidRPr="00215B3D" w:rsidRDefault="006B4827" w:rsidP="0002245F">
      <w:pPr>
        <w:pStyle w:val="Paragraphedeliste"/>
        <w:keepNext/>
        <w:spacing w:after="0" w:line="360" w:lineRule="auto"/>
        <w:ind w:right="68"/>
        <w:jc w:val="both"/>
        <w:rPr>
          <w:rFonts w:ascii="Segoe UI" w:hAnsi="Segoe UI" w:cs="Segoe UI"/>
          <w:sz w:val="8"/>
          <w:szCs w:val="26"/>
        </w:rPr>
      </w:pPr>
    </w:p>
    <w:p w:rsidR="00C80ADF" w:rsidRPr="00215B3D" w:rsidRDefault="00CA50FD" w:rsidP="000C178C">
      <w:pPr>
        <w:spacing w:after="0" w:line="360" w:lineRule="auto"/>
        <w:jc w:val="both"/>
        <w:rPr>
          <w:rFonts w:ascii="Segoe UI" w:hAnsi="Segoe UI" w:cs="Segoe UI"/>
          <w:sz w:val="24"/>
          <w:szCs w:val="26"/>
        </w:rPr>
      </w:pPr>
      <w:bookmarkStart w:id="52" w:name="_Toc427941534"/>
      <w:bookmarkStart w:id="53" w:name="_Toc435284868"/>
      <w:bookmarkStart w:id="54" w:name="_Toc435295634"/>
      <w:bookmarkStart w:id="55" w:name="_Toc442430624"/>
      <w:r w:rsidRPr="00215B3D">
        <w:rPr>
          <w:rFonts w:ascii="Segoe UI" w:hAnsi="Segoe UI" w:cs="Segoe UI"/>
          <w:sz w:val="24"/>
          <w:szCs w:val="26"/>
        </w:rPr>
        <w:t>L</w:t>
      </w:r>
      <w:r w:rsidR="00493AE1" w:rsidRPr="00215B3D">
        <w:rPr>
          <w:rFonts w:ascii="Segoe UI" w:hAnsi="Segoe UI" w:cs="Segoe UI"/>
          <w:sz w:val="24"/>
          <w:szCs w:val="26"/>
        </w:rPr>
        <w:t xml:space="preserve">es charges de trésorerie sont ressorties à </w:t>
      </w:r>
      <w:r w:rsidR="00543AA0">
        <w:rPr>
          <w:rFonts w:ascii="Segoe UI" w:hAnsi="Segoe UI" w:cs="Segoe UI"/>
          <w:b/>
          <w:bCs/>
        </w:rPr>
        <w:t>20</w:t>
      </w:r>
      <w:r w:rsidR="00162638">
        <w:rPr>
          <w:rFonts w:ascii="Segoe UI" w:hAnsi="Segoe UI" w:cs="Segoe UI"/>
          <w:b/>
          <w:bCs/>
        </w:rPr>
        <w:t>5 206,2</w:t>
      </w:r>
      <w:r w:rsidR="00946ED6" w:rsidRPr="00215B3D">
        <w:rPr>
          <w:rFonts w:ascii="Segoe UI" w:hAnsi="Segoe UI" w:cs="Segoe UI"/>
          <w:b/>
          <w:bCs/>
        </w:rPr>
        <w:t xml:space="preserve"> </w:t>
      </w:r>
      <w:r w:rsidR="00493AE1" w:rsidRPr="00215B3D">
        <w:rPr>
          <w:rFonts w:ascii="Segoe UI" w:hAnsi="Segoe UI" w:cs="Segoe UI"/>
          <w:sz w:val="24"/>
          <w:szCs w:val="26"/>
        </w:rPr>
        <w:t xml:space="preserve">millions de FCFA sur une </w:t>
      </w:r>
      <w:r w:rsidR="008A7868" w:rsidRPr="00215B3D">
        <w:rPr>
          <w:rFonts w:ascii="Segoe UI" w:hAnsi="Segoe UI" w:cs="Segoe UI"/>
          <w:sz w:val="24"/>
          <w:szCs w:val="26"/>
        </w:rPr>
        <w:t>prévis</w:t>
      </w:r>
      <w:r w:rsidR="00D43A6A" w:rsidRPr="00215B3D">
        <w:rPr>
          <w:rFonts w:ascii="Segoe UI" w:hAnsi="Segoe UI" w:cs="Segoe UI"/>
          <w:sz w:val="24"/>
          <w:szCs w:val="26"/>
        </w:rPr>
        <w:t>ion annuelle</w:t>
      </w:r>
      <w:r w:rsidR="00684907" w:rsidRPr="00215B3D">
        <w:rPr>
          <w:rFonts w:ascii="Segoe UI" w:hAnsi="Segoe UI" w:cs="Segoe UI"/>
          <w:sz w:val="24"/>
          <w:szCs w:val="26"/>
        </w:rPr>
        <w:t xml:space="preserve"> </w:t>
      </w:r>
      <w:r w:rsidR="00D43A6A" w:rsidRPr="00215B3D">
        <w:rPr>
          <w:rFonts w:ascii="Segoe UI" w:hAnsi="Segoe UI" w:cs="Segoe UI"/>
          <w:sz w:val="24"/>
          <w:szCs w:val="26"/>
        </w:rPr>
        <w:t xml:space="preserve">de </w:t>
      </w:r>
      <w:r w:rsidR="00946ED6" w:rsidRPr="00215B3D">
        <w:rPr>
          <w:rFonts w:ascii="Segoe UI" w:hAnsi="Segoe UI" w:cs="Segoe UI"/>
          <w:sz w:val="24"/>
          <w:szCs w:val="26"/>
        </w:rPr>
        <w:t>312 600</w:t>
      </w:r>
      <w:r w:rsidR="00493AE1" w:rsidRPr="00215B3D">
        <w:rPr>
          <w:rFonts w:ascii="Segoe UI" w:hAnsi="Segoe UI" w:cs="Segoe UI"/>
          <w:sz w:val="24"/>
          <w:szCs w:val="26"/>
        </w:rPr>
        <w:t xml:space="preserve"> millions de FCFA correspondant à un taux d’en</w:t>
      </w:r>
      <w:r w:rsidR="008A7868" w:rsidRPr="00215B3D">
        <w:rPr>
          <w:rFonts w:ascii="Segoe UI" w:hAnsi="Segoe UI" w:cs="Segoe UI"/>
          <w:sz w:val="24"/>
          <w:szCs w:val="26"/>
        </w:rPr>
        <w:t>gagement</w:t>
      </w:r>
      <w:r w:rsidR="00493AE1" w:rsidRPr="00215B3D">
        <w:rPr>
          <w:rFonts w:ascii="Segoe UI" w:hAnsi="Segoe UI" w:cs="Segoe UI"/>
          <w:sz w:val="24"/>
          <w:szCs w:val="26"/>
        </w:rPr>
        <w:t xml:space="preserve"> d</w:t>
      </w:r>
      <w:r w:rsidR="00A34929" w:rsidRPr="00215B3D">
        <w:rPr>
          <w:rFonts w:ascii="Segoe UI" w:hAnsi="Segoe UI" w:cs="Segoe UI"/>
          <w:sz w:val="24"/>
          <w:szCs w:val="26"/>
        </w:rPr>
        <w:t xml:space="preserve">e </w:t>
      </w:r>
      <w:r w:rsidR="005956D4">
        <w:rPr>
          <w:rFonts w:ascii="Segoe UI" w:hAnsi="Segoe UI" w:cs="Segoe UI"/>
          <w:b/>
          <w:sz w:val="24"/>
          <w:szCs w:val="26"/>
        </w:rPr>
        <w:t>65,6</w:t>
      </w:r>
      <w:r w:rsidR="00493AE1" w:rsidRPr="00215B3D">
        <w:rPr>
          <w:rFonts w:ascii="Segoe UI" w:hAnsi="Segoe UI" w:cs="Segoe UI"/>
          <w:b/>
          <w:sz w:val="24"/>
          <w:szCs w:val="26"/>
        </w:rPr>
        <w:t>%.</w:t>
      </w:r>
      <w:r w:rsidR="00493AE1" w:rsidRPr="00215B3D">
        <w:rPr>
          <w:rFonts w:ascii="Segoe UI" w:hAnsi="Segoe UI" w:cs="Segoe UI"/>
          <w:sz w:val="24"/>
          <w:szCs w:val="26"/>
        </w:rPr>
        <w:t xml:space="preserve"> Les charges </w:t>
      </w:r>
      <w:r w:rsidR="00C80ADF" w:rsidRPr="00215B3D">
        <w:rPr>
          <w:rFonts w:ascii="Segoe UI" w:hAnsi="Segoe UI" w:cs="Segoe UI"/>
          <w:sz w:val="24"/>
          <w:szCs w:val="26"/>
        </w:rPr>
        <w:t xml:space="preserve">de trésorerie </w:t>
      </w:r>
      <w:r w:rsidR="00A34929" w:rsidRPr="00215B3D">
        <w:rPr>
          <w:rFonts w:ascii="Segoe UI" w:hAnsi="Segoe UI" w:cs="Segoe UI"/>
          <w:sz w:val="24"/>
          <w:szCs w:val="26"/>
        </w:rPr>
        <w:t xml:space="preserve">assurées </w:t>
      </w:r>
      <w:r w:rsidR="00684907" w:rsidRPr="00215B3D">
        <w:rPr>
          <w:rFonts w:ascii="Segoe UI" w:hAnsi="Segoe UI" w:cs="Segoe UI"/>
          <w:sz w:val="24"/>
          <w:szCs w:val="26"/>
        </w:rPr>
        <w:t xml:space="preserve">à fin </w:t>
      </w:r>
      <w:r w:rsidR="00946ED6" w:rsidRPr="00215B3D">
        <w:rPr>
          <w:rFonts w:ascii="Segoe UI" w:hAnsi="Segoe UI" w:cs="Segoe UI"/>
          <w:sz w:val="24"/>
          <w:szCs w:val="26"/>
        </w:rPr>
        <w:t>juin 2017</w:t>
      </w:r>
      <w:r w:rsidR="00684907" w:rsidRPr="00215B3D">
        <w:rPr>
          <w:rFonts w:ascii="Segoe UI" w:hAnsi="Segoe UI" w:cs="Segoe UI"/>
          <w:sz w:val="24"/>
          <w:szCs w:val="26"/>
        </w:rPr>
        <w:t xml:space="preserve"> </w:t>
      </w:r>
      <w:r w:rsidR="00D43A6A" w:rsidRPr="00215B3D">
        <w:rPr>
          <w:rFonts w:ascii="Segoe UI" w:hAnsi="Segoe UI" w:cs="Segoe UI"/>
          <w:sz w:val="24"/>
          <w:szCs w:val="26"/>
        </w:rPr>
        <w:t>sont</w:t>
      </w:r>
      <w:r w:rsidR="00A34929" w:rsidRPr="00215B3D">
        <w:rPr>
          <w:rFonts w:ascii="Segoe UI" w:hAnsi="Segoe UI" w:cs="Segoe UI"/>
          <w:sz w:val="24"/>
          <w:szCs w:val="26"/>
        </w:rPr>
        <w:t xml:space="preserve"> : </w:t>
      </w:r>
      <w:r w:rsidR="00355E6F" w:rsidRPr="00215B3D">
        <w:rPr>
          <w:rFonts w:ascii="Segoe UI" w:hAnsi="Segoe UI" w:cs="Segoe UI"/>
          <w:sz w:val="24"/>
          <w:szCs w:val="26"/>
        </w:rPr>
        <w:t xml:space="preserve">(i) l’amortissement des tirages FMI </w:t>
      </w:r>
      <w:r w:rsidR="00E422CF" w:rsidRPr="00215B3D">
        <w:rPr>
          <w:rFonts w:ascii="Segoe UI" w:hAnsi="Segoe UI" w:cs="Segoe UI"/>
          <w:sz w:val="24"/>
          <w:szCs w:val="26"/>
        </w:rPr>
        <w:t>à hauteur</w:t>
      </w:r>
      <w:r w:rsidR="00355E6F" w:rsidRPr="00215B3D">
        <w:rPr>
          <w:rFonts w:ascii="Segoe UI" w:hAnsi="Segoe UI" w:cs="Segoe UI"/>
          <w:sz w:val="24"/>
          <w:szCs w:val="26"/>
        </w:rPr>
        <w:t xml:space="preserve"> de </w:t>
      </w:r>
      <w:r w:rsidR="00946ED6" w:rsidRPr="00215B3D">
        <w:rPr>
          <w:rFonts w:ascii="Segoe UI" w:hAnsi="Segoe UI" w:cs="Segoe UI"/>
          <w:sz w:val="24"/>
          <w:szCs w:val="26"/>
        </w:rPr>
        <w:t>42,1</w:t>
      </w:r>
      <w:r w:rsidR="00355E6F" w:rsidRPr="00215B3D">
        <w:rPr>
          <w:rFonts w:ascii="Segoe UI" w:hAnsi="Segoe UI" w:cs="Segoe UI"/>
          <w:sz w:val="24"/>
          <w:szCs w:val="26"/>
        </w:rPr>
        <w:t>%</w:t>
      </w:r>
      <w:r w:rsidR="00C80ADF" w:rsidRPr="00215B3D">
        <w:rPr>
          <w:rFonts w:ascii="Segoe UI" w:hAnsi="Segoe UI" w:cs="Segoe UI"/>
          <w:sz w:val="24"/>
          <w:szCs w:val="26"/>
        </w:rPr>
        <w:t>,</w:t>
      </w:r>
      <w:r w:rsidR="00355E6F" w:rsidRPr="00215B3D">
        <w:rPr>
          <w:rFonts w:ascii="Segoe UI" w:hAnsi="Segoe UI" w:cs="Segoe UI"/>
          <w:sz w:val="24"/>
          <w:szCs w:val="26"/>
        </w:rPr>
        <w:t xml:space="preserve"> (ii)</w:t>
      </w:r>
      <w:r w:rsidR="00BA7FC1" w:rsidRPr="00215B3D">
        <w:rPr>
          <w:rFonts w:ascii="Segoe UI" w:hAnsi="Segoe UI" w:cs="Segoe UI"/>
          <w:sz w:val="24"/>
          <w:szCs w:val="26"/>
        </w:rPr>
        <w:t xml:space="preserve"> </w:t>
      </w:r>
      <w:r w:rsidR="00E422CF" w:rsidRPr="00215B3D">
        <w:rPr>
          <w:rFonts w:ascii="Segoe UI" w:hAnsi="Segoe UI" w:cs="Segoe UI"/>
          <w:sz w:val="24"/>
          <w:szCs w:val="26"/>
        </w:rPr>
        <w:t xml:space="preserve">la couverture à </w:t>
      </w:r>
      <w:r w:rsidR="00946ED6" w:rsidRPr="00215B3D">
        <w:rPr>
          <w:rFonts w:ascii="Segoe UI" w:hAnsi="Segoe UI" w:cs="Segoe UI"/>
          <w:sz w:val="24"/>
          <w:szCs w:val="26"/>
        </w:rPr>
        <w:t>87,2</w:t>
      </w:r>
      <w:r w:rsidR="00E422CF" w:rsidRPr="00215B3D">
        <w:rPr>
          <w:rFonts w:ascii="Segoe UI" w:hAnsi="Segoe UI" w:cs="Segoe UI"/>
          <w:sz w:val="24"/>
          <w:szCs w:val="26"/>
        </w:rPr>
        <w:t xml:space="preserve">% des prévisions d’amortissement des </w:t>
      </w:r>
      <w:r w:rsidR="008A7868" w:rsidRPr="00215B3D">
        <w:rPr>
          <w:rFonts w:ascii="Segoe UI" w:hAnsi="Segoe UI" w:cs="Segoe UI"/>
          <w:sz w:val="24"/>
          <w:szCs w:val="26"/>
        </w:rPr>
        <w:t>bons du T</w:t>
      </w:r>
      <w:r w:rsidR="00493AE1" w:rsidRPr="00215B3D">
        <w:rPr>
          <w:rFonts w:ascii="Segoe UI" w:hAnsi="Segoe UI" w:cs="Segoe UI"/>
          <w:sz w:val="24"/>
          <w:szCs w:val="26"/>
        </w:rPr>
        <w:t>résor</w:t>
      </w:r>
      <w:r w:rsidR="00E422CF" w:rsidRPr="00215B3D">
        <w:rPr>
          <w:rFonts w:ascii="Segoe UI" w:hAnsi="Segoe UI" w:cs="Segoe UI"/>
          <w:sz w:val="24"/>
          <w:szCs w:val="26"/>
        </w:rPr>
        <w:t> ;</w:t>
      </w:r>
      <w:r w:rsidR="0097659B" w:rsidRPr="00215B3D">
        <w:rPr>
          <w:rFonts w:ascii="Segoe UI" w:hAnsi="Segoe UI" w:cs="Segoe UI"/>
          <w:sz w:val="24"/>
          <w:szCs w:val="26"/>
        </w:rPr>
        <w:t xml:space="preserve"> (</w:t>
      </w:r>
      <w:r w:rsidR="003C20FE" w:rsidRPr="00215B3D">
        <w:rPr>
          <w:rFonts w:ascii="Segoe UI" w:hAnsi="Segoe UI" w:cs="Segoe UI"/>
          <w:sz w:val="24"/>
          <w:szCs w:val="26"/>
        </w:rPr>
        <w:t>i</w:t>
      </w:r>
      <w:r w:rsidR="00345567">
        <w:rPr>
          <w:rFonts w:ascii="Segoe UI" w:hAnsi="Segoe UI" w:cs="Segoe UI"/>
          <w:sz w:val="24"/>
          <w:szCs w:val="26"/>
        </w:rPr>
        <w:t>ii</w:t>
      </w:r>
      <w:r w:rsidR="0097659B" w:rsidRPr="00215B3D">
        <w:rPr>
          <w:rFonts w:ascii="Segoe UI" w:hAnsi="Segoe UI" w:cs="Segoe UI"/>
          <w:sz w:val="24"/>
          <w:szCs w:val="26"/>
        </w:rPr>
        <w:t xml:space="preserve">) </w:t>
      </w:r>
      <w:r w:rsidR="00854A77" w:rsidRPr="00215B3D">
        <w:rPr>
          <w:rFonts w:ascii="Segoe UI" w:hAnsi="Segoe UI" w:cs="Segoe UI"/>
          <w:sz w:val="24"/>
          <w:szCs w:val="26"/>
        </w:rPr>
        <w:t xml:space="preserve">le paiement des </w:t>
      </w:r>
      <w:r w:rsidR="0097659B" w:rsidRPr="00215B3D">
        <w:rPr>
          <w:rFonts w:ascii="Segoe UI" w:hAnsi="Segoe UI" w:cs="Segoe UI"/>
          <w:sz w:val="24"/>
          <w:szCs w:val="26"/>
        </w:rPr>
        <w:t xml:space="preserve">indemnités de vacation des enseignants </w:t>
      </w:r>
      <w:r w:rsidR="00132C2D" w:rsidRPr="00215B3D">
        <w:rPr>
          <w:rFonts w:ascii="Segoe UI" w:hAnsi="Segoe UI" w:cs="Segoe UI"/>
          <w:sz w:val="24"/>
          <w:szCs w:val="26"/>
        </w:rPr>
        <w:t xml:space="preserve">à hauteur de </w:t>
      </w:r>
      <w:r w:rsidR="00E651F3" w:rsidRPr="00215B3D">
        <w:rPr>
          <w:rFonts w:ascii="Segoe UI" w:hAnsi="Segoe UI" w:cs="Segoe UI"/>
          <w:sz w:val="24"/>
          <w:szCs w:val="26"/>
        </w:rPr>
        <w:t>43,5</w:t>
      </w:r>
      <w:r w:rsidR="00132C2D" w:rsidRPr="00215B3D">
        <w:rPr>
          <w:rFonts w:ascii="Segoe UI" w:hAnsi="Segoe UI" w:cs="Segoe UI"/>
          <w:sz w:val="24"/>
          <w:szCs w:val="26"/>
        </w:rPr>
        <w:t>%,</w:t>
      </w:r>
      <w:r w:rsidR="0097659B" w:rsidRPr="00215B3D">
        <w:rPr>
          <w:rFonts w:ascii="Segoe UI" w:hAnsi="Segoe UI" w:cs="Segoe UI"/>
          <w:sz w:val="24"/>
          <w:szCs w:val="26"/>
        </w:rPr>
        <w:t xml:space="preserve"> (</w:t>
      </w:r>
      <w:r w:rsidR="00345567">
        <w:rPr>
          <w:rFonts w:ascii="Segoe UI" w:hAnsi="Segoe UI" w:cs="Segoe UI"/>
          <w:sz w:val="24"/>
          <w:szCs w:val="26"/>
        </w:rPr>
        <w:t>i</w:t>
      </w:r>
      <w:r w:rsidR="0097659B" w:rsidRPr="00215B3D">
        <w:rPr>
          <w:rFonts w:ascii="Segoe UI" w:hAnsi="Segoe UI" w:cs="Segoe UI"/>
          <w:sz w:val="24"/>
          <w:szCs w:val="26"/>
        </w:rPr>
        <w:t xml:space="preserve">v) </w:t>
      </w:r>
      <w:r w:rsidR="00E651F3" w:rsidRPr="00215B3D">
        <w:rPr>
          <w:rFonts w:ascii="Segoe UI" w:hAnsi="Segoe UI" w:cs="Segoe UI"/>
          <w:sz w:val="24"/>
          <w:szCs w:val="26"/>
        </w:rPr>
        <w:t>la couverture</w:t>
      </w:r>
      <w:r w:rsidR="00854A77" w:rsidRPr="00215B3D">
        <w:rPr>
          <w:rFonts w:ascii="Segoe UI" w:hAnsi="Segoe UI" w:cs="Segoe UI"/>
          <w:sz w:val="24"/>
          <w:szCs w:val="26"/>
        </w:rPr>
        <w:t xml:space="preserve"> de </w:t>
      </w:r>
      <w:r w:rsidR="00AD73EC" w:rsidRPr="00215B3D">
        <w:rPr>
          <w:rFonts w:ascii="Segoe UI" w:hAnsi="Segoe UI" w:cs="Segoe UI"/>
          <w:sz w:val="24"/>
          <w:szCs w:val="26"/>
        </w:rPr>
        <w:t>l’</w:t>
      </w:r>
      <w:r w:rsidR="0097659B" w:rsidRPr="00215B3D">
        <w:rPr>
          <w:rFonts w:ascii="Segoe UI" w:hAnsi="Segoe UI" w:cs="Segoe UI"/>
          <w:sz w:val="24"/>
          <w:szCs w:val="26"/>
        </w:rPr>
        <w:t>amortissement</w:t>
      </w:r>
      <w:r w:rsidR="00854A77" w:rsidRPr="00215B3D">
        <w:rPr>
          <w:rFonts w:ascii="Segoe UI" w:hAnsi="Segoe UI" w:cs="Segoe UI"/>
          <w:sz w:val="24"/>
          <w:szCs w:val="26"/>
        </w:rPr>
        <w:t xml:space="preserve"> des</w:t>
      </w:r>
      <w:r w:rsidR="0097659B" w:rsidRPr="00215B3D">
        <w:rPr>
          <w:rFonts w:ascii="Segoe UI" w:hAnsi="Segoe UI" w:cs="Segoe UI"/>
          <w:sz w:val="24"/>
          <w:szCs w:val="26"/>
        </w:rPr>
        <w:t xml:space="preserve"> dettes banques locales</w:t>
      </w:r>
      <w:r w:rsidR="00132C2D" w:rsidRPr="00215B3D">
        <w:rPr>
          <w:rFonts w:ascii="Segoe UI" w:hAnsi="Segoe UI" w:cs="Segoe UI"/>
          <w:sz w:val="24"/>
          <w:szCs w:val="26"/>
        </w:rPr>
        <w:t xml:space="preserve"> </w:t>
      </w:r>
      <w:r w:rsidR="00854A77" w:rsidRPr="00215B3D">
        <w:rPr>
          <w:rFonts w:ascii="Segoe UI" w:hAnsi="Segoe UI" w:cs="Segoe UI"/>
          <w:sz w:val="24"/>
          <w:szCs w:val="26"/>
        </w:rPr>
        <w:t>à hauteur</w:t>
      </w:r>
      <w:r w:rsidR="00132C2D" w:rsidRPr="00215B3D">
        <w:rPr>
          <w:rFonts w:ascii="Segoe UI" w:hAnsi="Segoe UI" w:cs="Segoe UI"/>
          <w:sz w:val="24"/>
          <w:szCs w:val="26"/>
        </w:rPr>
        <w:t xml:space="preserve"> de </w:t>
      </w:r>
      <w:r w:rsidR="00E651F3" w:rsidRPr="00215B3D">
        <w:rPr>
          <w:rFonts w:ascii="Segoe UI" w:hAnsi="Segoe UI" w:cs="Segoe UI"/>
          <w:sz w:val="24"/>
          <w:szCs w:val="26"/>
        </w:rPr>
        <w:t>28,8</w:t>
      </w:r>
      <w:r w:rsidR="00132C2D" w:rsidRPr="00215B3D">
        <w:rPr>
          <w:rFonts w:ascii="Segoe UI" w:hAnsi="Segoe UI" w:cs="Segoe UI"/>
          <w:sz w:val="24"/>
          <w:szCs w:val="26"/>
        </w:rPr>
        <w:t>%</w:t>
      </w:r>
      <w:r w:rsidR="00345567">
        <w:rPr>
          <w:rFonts w:ascii="Segoe UI" w:hAnsi="Segoe UI" w:cs="Segoe UI"/>
          <w:sz w:val="24"/>
          <w:szCs w:val="26"/>
        </w:rPr>
        <w:t> ; (v</w:t>
      </w:r>
      <w:r w:rsidR="00E651F3" w:rsidRPr="00215B3D">
        <w:rPr>
          <w:rFonts w:ascii="Segoe UI" w:hAnsi="Segoe UI" w:cs="Segoe UI"/>
          <w:sz w:val="24"/>
          <w:szCs w:val="26"/>
        </w:rPr>
        <w:t>) la couverture à 102,9% de l’amortissement des emprunts extérieurs</w:t>
      </w:r>
      <w:r w:rsidR="001303BE" w:rsidRPr="00215B3D">
        <w:rPr>
          <w:rFonts w:ascii="Segoe UI" w:hAnsi="Segoe UI" w:cs="Segoe UI"/>
          <w:sz w:val="24"/>
          <w:szCs w:val="26"/>
        </w:rPr>
        <w:t xml:space="preserve"> et </w:t>
      </w:r>
      <w:r w:rsidR="00132C2D" w:rsidRPr="00215B3D">
        <w:rPr>
          <w:rFonts w:ascii="Segoe UI" w:hAnsi="Segoe UI" w:cs="Segoe UI"/>
          <w:sz w:val="24"/>
          <w:szCs w:val="26"/>
        </w:rPr>
        <w:t xml:space="preserve">(vi) </w:t>
      </w:r>
      <w:r w:rsidR="00854A77" w:rsidRPr="00215B3D">
        <w:rPr>
          <w:rFonts w:ascii="Segoe UI" w:hAnsi="Segoe UI" w:cs="Segoe UI"/>
          <w:sz w:val="24"/>
          <w:szCs w:val="26"/>
        </w:rPr>
        <w:t>l</w:t>
      </w:r>
      <w:r w:rsidR="005956D4">
        <w:rPr>
          <w:rFonts w:ascii="Segoe UI" w:hAnsi="Segoe UI" w:cs="Segoe UI"/>
          <w:sz w:val="24"/>
          <w:szCs w:val="26"/>
        </w:rPr>
        <w:t>a variation des instances de paiement (124,9</w:t>
      </w:r>
      <w:r w:rsidR="00FB509F" w:rsidRPr="00215B3D">
        <w:rPr>
          <w:rFonts w:ascii="Segoe UI" w:hAnsi="Segoe UI" w:cs="Segoe UI"/>
          <w:sz w:val="24"/>
          <w:szCs w:val="26"/>
        </w:rPr>
        <w:t>%).</w:t>
      </w:r>
    </w:p>
    <w:p w:rsidR="00352C5E" w:rsidRDefault="00681A1C" w:rsidP="00225E6F">
      <w:pPr>
        <w:jc w:val="both"/>
        <w:rPr>
          <w:rFonts w:ascii="Segoe UI" w:hAnsi="Segoe UI" w:cs="Segoe UI"/>
          <w:sz w:val="24"/>
        </w:rPr>
      </w:pPr>
      <w:bookmarkStart w:id="56" w:name="_Toc451798289"/>
      <w:r w:rsidRPr="00215B3D">
        <w:rPr>
          <w:rFonts w:ascii="Segoe UI" w:hAnsi="Segoe UI" w:cs="Segoe UI"/>
          <w:sz w:val="24"/>
        </w:rPr>
        <w:t>L</w:t>
      </w:r>
      <w:r w:rsidR="00C80ADF" w:rsidRPr="00215B3D">
        <w:rPr>
          <w:rFonts w:ascii="Segoe UI" w:hAnsi="Segoe UI" w:cs="Segoe UI"/>
          <w:sz w:val="24"/>
        </w:rPr>
        <w:t>’exécution des</w:t>
      </w:r>
      <w:r w:rsidR="00BA7FC1" w:rsidRPr="00215B3D">
        <w:rPr>
          <w:rFonts w:ascii="Segoe UI" w:hAnsi="Segoe UI" w:cs="Segoe UI"/>
          <w:sz w:val="24"/>
        </w:rPr>
        <w:t xml:space="preserve"> </w:t>
      </w:r>
      <w:r w:rsidR="00C80ADF" w:rsidRPr="00215B3D">
        <w:rPr>
          <w:rFonts w:ascii="Segoe UI" w:hAnsi="Segoe UI" w:cs="Segoe UI"/>
          <w:sz w:val="24"/>
        </w:rPr>
        <w:t xml:space="preserve">charges de trésorerie se trouve </w:t>
      </w:r>
      <w:bookmarkEnd w:id="52"/>
      <w:r w:rsidR="00C80ADF" w:rsidRPr="00215B3D">
        <w:rPr>
          <w:rFonts w:ascii="Segoe UI" w:hAnsi="Segoe UI" w:cs="Segoe UI"/>
          <w:sz w:val="24"/>
        </w:rPr>
        <w:t>récapitulé</w:t>
      </w:r>
      <w:r w:rsidRPr="00215B3D">
        <w:rPr>
          <w:rFonts w:ascii="Segoe UI" w:hAnsi="Segoe UI" w:cs="Segoe UI"/>
          <w:sz w:val="24"/>
        </w:rPr>
        <w:t>e</w:t>
      </w:r>
      <w:r w:rsidR="00C80ADF" w:rsidRPr="00215B3D">
        <w:rPr>
          <w:rFonts w:ascii="Segoe UI" w:hAnsi="Segoe UI" w:cs="Segoe UI"/>
          <w:sz w:val="24"/>
        </w:rPr>
        <w:t xml:space="preserve"> dans le</w:t>
      </w:r>
      <w:r w:rsidR="00355E6F" w:rsidRPr="00215B3D">
        <w:rPr>
          <w:rFonts w:ascii="Segoe UI" w:hAnsi="Segoe UI" w:cs="Segoe UI"/>
          <w:sz w:val="24"/>
        </w:rPr>
        <w:t xml:space="preserve"> tableau ci-après</w:t>
      </w:r>
      <w:r w:rsidR="00854A77" w:rsidRPr="00215B3D">
        <w:rPr>
          <w:rFonts w:ascii="Segoe UI" w:hAnsi="Segoe UI" w:cs="Segoe UI"/>
          <w:sz w:val="24"/>
        </w:rPr>
        <w:t> </w:t>
      </w:r>
      <w:r w:rsidR="00355E6F" w:rsidRPr="00215B3D">
        <w:rPr>
          <w:rFonts w:ascii="Segoe UI" w:hAnsi="Segoe UI" w:cs="Segoe UI"/>
          <w:sz w:val="24"/>
        </w:rPr>
        <w:t>:</w:t>
      </w:r>
      <w:bookmarkStart w:id="57" w:name="_Toc435284869"/>
      <w:bookmarkStart w:id="58" w:name="_Toc435295635"/>
      <w:bookmarkEnd w:id="53"/>
      <w:bookmarkEnd w:id="54"/>
      <w:bookmarkEnd w:id="55"/>
      <w:bookmarkEnd w:id="56"/>
    </w:p>
    <w:p w:rsidR="007E3BE0" w:rsidRDefault="007E3BE0" w:rsidP="00225E6F">
      <w:pPr>
        <w:jc w:val="both"/>
        <w:rPr>
          <w:rFonts w:ascii="Segoe UI" w:hAnsi="Segoe UI" w:cs="Segoe UI"/>
          <w:sz w:val="24"/>
        </w:rPr>
      </w:pPr>
    </w:p>
    <w:p w:rsidR="007E3BE0" w:rsidRDefault="007E3BE0" w:rsidP="00225E6F">
      <w:pPr>
        <w:jc w:val="both"/>
        <w:rPr>
          <w:rFonts w:ascii="Segoe UI" w:hAnsi="Segoe UI" w:cs="Segoe UI"/>
          <w:sz w:val="24"/>
        </w:rPr>
      </w:pPr>
    </w:p>
    <w:p w:rsidR="007E3BE0" w:rsidRPr="00215B3D" w:rsidRDefault="007E3BE0" w:rsidP="00225E6F">
      <w:pPr>
        <w:jc w:val="both"/>
        <w:rPr>
          <w:rFonts w:ascii="Segoe UI" w:hAnsi="Segoe UI" w:cs="Segoe UI"/>
          <w:sz w:val="24"/>
        </w:rPr>
      </w:pPr>
    </w:p>
    <w:p w:rsidR="00355E6F" w:rsidRPr="00215B3D" w:rsidRDefault="00355E6F" w:rsidP="00143CF5">
      <w:pPr>
        <w:pStyle w:val="Listedestableaux"/>
        <w:rPr>
          <w:rFonts w:ascii="Segoe UI" w:hAnsi="Segoe UI" w:cs="Segoe UI"/>
        </w:rPr>
      </w:pPr>
      <w:bookmarkStart w:id="59" w:name="_Toc495935948"/>
      <w:r w:rsidRPr="00215B3D">
        <w:rPr>
          <w:rFonts w:ascii="Segoe UI" w:hAnsi="Segoe UI" w:cs="Segoe UI"/>
          <w:u w:val="single"/>
        </w:rPr>
        <w:lastRenderedPageBreak/>
        <w:t xml:space="preserve">Tableau  </w:t>
      </w:r>
      <w:r w:rsidR="007E3BE0">
        <w:rPr>
          <w:rFonts w:ascii="Segoe UI" w:hAnsi="Segoe UI" w:cs="Segoe UI"/>
          <w:u w:val="single"/>
        </w:rPr>
        <w:t>1</w:t>
      </w:r>
      <w:r w:rsidR="007D4B67">
        <w:rPr>
          <w:rFonts w:ascii="Segoe UI" w:hAnsi="Segoe UI" w:cs="Segoe UI"/>
          <w:u w:val="single"/>
        </w:rPr>
        <w:t>1</w:t>
      </w:r>
      <w:r w:rsidR="00854A77" w:rsidRPr="00215B3D">
        <w:rPr>
          <w:rFonts w:ascii="Segoe UI" w:hAnsi="Segoe UI" w:cs="Segoe UI"/>
          <w:u w:val="single"/>
        </w:rPr>
        <w:t> </w:t>
      </w:r>
      <w:r w:rsidR="00E6680E" w:rsidRPr="00215B3D">
        <w:rPr>
          <w:rFonts w:ascii="Segoe UI" w:hAnsi="Segoe UI" w:cs="Segoe UI"/>
          <w:u w:val="single"/>
        </w:rPr>
        <w:t>:</w:t>
      </w:r>
      <w:r w:rsidRPr="00215B3D">
        <w:rPr>
          <w:rFonts w:ascii="Segoe UI" w:hAnsi="Segoe UI" w:cs="Segoe UI"/>
        </w:rPr>
        <w:t xml:space="preserve"> Niveau d’exécution des </w:t>
      </w:r>
      <w:r w:rsidR="001B1451" w:rsidRPr="00215B3D">
        <w:rPr>
          <w:rFonts w:ascii="Segoe UI" w:hAnsi="Segoe UI" w:cs="Segoe UI"/>
        </w:rPr>
        <w:t>charg</w:t>
      </w:r>
      <w:r w:rsidRPr="00215B3D">
        <w:rPr>
          <w:rFonts w:ascii="Segoe UI" w:hAnsi="Segoe UI" w:cs="Segoe UI"/>
        </w:rPr>
        <w:t xml:space="preserve">es de trésorerie par nature à fin </w:t>
      </w:r>
      <w:r w:rsidR="00945DE1" w:rsidRPr="00215B3D">
        <w:rPr>
          <w:rFonts w:ascii="Segoe UI" w:hAnsi="Segoe UI" w:cs="Segoe UI"/>
        </w:rPr>
        <w:t>juin</w:t>
      </w:r>
      <w:r w:rsidRPr="00215B3D">
        <w:rPr>
          <w:rFonts w:ascii="Segoe UI" w:hAnsi="Segoe UI" w:cs="Segoe UI"/>
        </w:rPr>
        <w:t xml:space="preserve"> 201</w:t>
      </w:r>
      <w:bookmarkEnd w:id="57"/>
      <w:bookmarkEnd w:id="58"/>
      <w:r w:rsidR="00945DE1" w:rsidRPr="00215B3D">
        <w:rPr>
          <w:rFonts w:ascii="Segoe UI" w:hAnsi="Segoe UI" w:cs="Segoe UI"/>
        </w:rPr>
        <w:t>7</w:t>
      </w:r>
      <w:bookmarkEnd w:id="59"/>
    </w:p>
    <w:tbl>
      <w:tblPr>
        <w:tblW w:w="9500" w:type="dxa"/>
        <w:tblInd w:w="55" w:type="dxa"/>
        <w:tblCellMar>
          <w:left w:w="70" w:type="dxa"/>
          <w:right w:w="70" w:type="dxa"/>
        </w:tblCellMar>
        <w:tblLook w:val="04A0" w:firstRow="1" w:lastRow="0" w:firstColumn="1" w:lastColumn="0" w:noHBand="0" w:noVBand="1"/>
      </w:tblPr>
      <w:tblGrid>
        <w:gridCol w:w="5380"/>
        <w:gridCol w:w="1336"/>
        <w:gridCol w:w="1584"/>
        <w:gridCol w:w="1200"/>
      </w:tblGrid>
      <w:tr w:rsidR="009F74A6" w:rsidRPr="00215B3D" w:rsidTr="009F74A6">
        <w:trPr>
          <w:trHeight w:val="300"/>
        </w:trPr>
        <w:tc>
          <w:tcPr>
            <w:tcW w:w="5380" w:type="dxa"/>
            <w:tcBorders>
              <w:top w:val="nil"/>
              <w:left w:val="nil"/>
              <w:bottom w:val="nil"/>
              <w:right w:val="nil"/>
            </w:tcBorders>
            <w:noWrap/>
            <w:vAlign w:val="bottom"/>
            <w:hideMark/>
          </w:tcPr>
          <w:p w:rsidR="009F74A6" w:rsidRPr="00215B3D" w:rsidRDefault="009F74A6" w:rsidP="009F74A6">
            <w:pPr>
              <w:spacing w:after="0" w:line="240" w:lineRule="auto"/>
              <w:rPr>
                <w:rFonts w:ascii="Segoe UI" w:hAnsi="Segoe UI" w:cs="Segoe UI"/>
                <w:sz w:val="10"/>
              </w:rPr>
            </w:pPr>
          </w:p>
        </w:tc>
        <w:tc>
          <w:tcPr>
            <w:tcW w:w="2920" w:type="dxa"/>
            <w:gridSpan w:val="2"/>
            <w:tcBorders>
              <w:top w:val="nil"/>
              <w:left w:val="nil"/>
              <w:bottom w:val="nil"/>
              <w:right w:val="nil"/>
            </w:tcBorders>
            <w:noWrap/>
            <w:vAlign w:val="bottom"/>
            <w:hideMark/>
          </w:tcPr>
          <w:p w:rsidR="009F74A6" w:rsidRPr="00215B3D" w:rsidRDefault="00C828BE" w:rsidP="009F74A6">
            <w:pPr>
              <w:spacing w:after="0" w:line="240" w:lineRule="auto"/>
              <w:rPr>
                <w:rFonts w:ascii="Segoe UI" w:hAnsi="Segoe UI" w:cs="Segoe UI"/>
              </w:rPr>
            </w:pPr>
            <w:r w:rsidRPr="00215B3D">
              <w:rPr>
                <w:rFonts w:ascii="Segoe UI" w:hAnsi="Segoe UI" w:cs="Segoe UI"/>
              </w:rPr>
              <w:t xml:space="preserve">              </w:t>
            </w:r>
            <w:r w:rsidR="009F74A6" w:rsidRPr="00215B3D">
              <w:rPr>
                <w:rFonts w:ascii="Segoe UI" w:hAnsi="Segoe UI" w:cs="Segoe UI"/>
              </w:rPr>
              <w:t>En millions de FCFA</w:t>
            </w:r>
          </w:p>
        </w:tc>
        <w:tc>
          <w:tcPr>
            <w:tcW w:w="1200" w:type="dxa"/>
            <w:tcBorders>
              <w:top w:val="nil"/>
              <w:left w:val="nil"/>
              <w:bottom w:val="nil"/>
              <w:right w:val="nil"/>
            </w:tcBorders>
            <w:noWrap/>
            <w:vAlign w:val="bottom"/>
            <w:hideMark/>
          </w:tcPr>
          <w:p w:rsidR="009F74A6" w:rsidRPr="00215B3D" w:rsidRDefault="009F74A6" w:rsidP="009F74A6">
            <w:pPr>
              <w:spacing w:after="0" w:line="240" w:lineRule="auto"/>
              <w:rPr>
                <w:rFonts w:ascii="Segoe UI" w:hAnsi="Segoe UI" w:cs="Segoe UI"/>
              </w:rPr>
            </w:pPr>
          </w:p>
        </w:tc>
      </w:tr>
      <w:tr w:rsidR="009F74A6" w:rsidRPr="00215B3D" w:rsidTr="009F74A6">
        <w:trPr>
          <w:trHeight w:val="315"/>
        </w:trPr>
        <w:tc>
          <w:tcPr>
            <w:tcW w:w="5380" w:type="dxa"/>
            <w:tcBorders>
              <w:top w:val="single" w:sz="4" w:space="0" w:color="auto"/>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jc w:val="center"/>
              <w:rPr>
                <w:rFonts w:ascii="Segoe UI" w:hAnsi="Segoe UI" w:cs="Segoe UI"/>
                <w:b/>
                <w:bCs/>
              </w:rPr>
            </w:pPr>
            <w:r w:rsidRPr="00215B3D">
              <w:rPr>
                <w:rFonts w:ascii="Segoe UI" w:hAnsi="Segoe UI" w:cs="Segoe UI"/>
                <w:b/>
                <w:bCs/>
              </w:rPr>
              <w:t>Nature</w:t>
            </w:r>
          </w:p>
        </w:tc>
        <w:tc>
          <w:tcPr>
            <w:tcW w:w="1336" w:type="dxa"/>
            <w:tcBorders>
              <w:top w:val="single" w:sz="4" w:space="0" w:color="auto"/>
              <w:left w:val="nil"/>
              <w:bottom w:val="single" w:sz="4" w:space="0" w:color="auto"/>
              <w:right w:val="single" w:sz="4" w:space="0" w:color="auto"/>
            </w:tcBorders>
            <w:noWrap/>
            <w:vAlign w:val="center"/>
            <w:hideMark/>
          </w:tcPr>
          <w:p w:rsidR="009F74A6" w:rsidRPr="00215B3D" w:rsidRDefault="009F74A6" w:rsidP="009F74A6">
            <w:pPr>
              <w:spacing w:after="0" w:line="240" w:lineRule="auto"/>
              <w:jc w:val="right"/>
              <w:rPr>
                <w:rFonts w:ascii="Segoe UI" w:hAnsi="Segoe UI" w:cs="Segoe UI"/>
                <w:b/>
                <w:bCs/>
              </w:rPr>
            </w:pPr>
            <w:r w:rsidRPr="00215B3D">
              <w:rPr>
                <w:rFonts w:ascii="Segoe UI" w:hAnsi="Segoe UI" w:cs="Segoe UI"/>
                <w:b/>
                <w:bCs/>
              </w:rPr>
              <w:t>Prévisions</w:t>
            </w:r>
          </w:p>
        </w:tc>
        <w:tc>
          <w:tcPr>
            <w:tcW w:w="1584" w:type="dxa"/>
            <w:tcBorders>
              <w:top w:val="single" w:sz="4" w:space="0" w:color="auto"/>
              <w:left w:val="nil"/>
              <w:bottom w:val="single" w:sz="4" w:space="0" w:color="auto"/>
              <w:right w:val="single" w:sz="4" w:space="0" w:color="auto"/>
            </w:tcBorders>
            <w:noWrap/>
            <w:vAlign w:val="center"/>
            <w:hideMark/>
          </w:tcPr>
          <w:p w:rsidR="009F74A6" w:rsidRPr="00215B3D" w:rsidRDefault="009F74A6" w:rsidP="009F74A6">
            <w:pPr>
              <w:spacing w:after="0" w:line="240" w:lineRule="auto"/>
              <w:jc w:val="right"/>
              <w:rPr>
                <w:rFonts w:ascii="Segoe UI" w:hAnsi="Segoe UI" w:cs="Segoe UI"/>
                <w:b/>
                <w:bCs/>
              </w:rPr>
            </w:pPr>
            <w:r w:rsidRPr="00215B3D">
              <w:rPr>
                <w:rFonts w:ascii="Segoe UI" w:hAnsi="Segoe UI" w:cs="Segoe UI"/>
                <w:b/>
                <w:bCs/>
              </w:rPr>
              <w:t>Réalisations</w:t>
            </w:r>
          </w:p>
        </w:tc>
        <w:tc>
          <w:tcPr>
            <w:tcW w:w="1200" w:type="dxa"/>
            <w:tcBorders>
              <w:top w:val="single" w:sz="4" w:space="0" w:color="auto"/>
              <w:left w:val="nil"/>
              <w:bottom w:val="single" w:sz="4" w:space="0" w:color="auto"/>
              <w:right w:val="single" w:sz="4" w:space="0" w:color="auto"/>
            </w:tcBorders>
            <w:noWrap/>
            <w:vAlign w:val="center"/>
            <w:hideMark/>
          </w:tcPr>
          <w:p w:rsidR="009F74A6" w:rsidRPr="00215B3D" w:rsidRDefault="009F74A6" w:rsidP="009F74A6">
            <w:pPr>
              <w:spacing w:after="0" w:line="240" w:lineRule="auto"/>
              <w:jc w:val="center"/>
              <w:rPr>
                <w:rFonts w:ascii="Segoe UI" w:hAnsi="Segoe UI" w:cs="Segoe UI"/>
                <w:b/>
                <w:bCs/>
                <w:i/>
                <w:iCs/>
              </w:rPr>
            </w:pPr>
            <w:r w:rsidRPr="00215B3D">
              <w:rPr>
                <w:rFonts w:ascii="Segoe UI" w:hAnsi="Segoe UI" w:cs="Segoe UI"/>
                <w:b/>
                <w:bCs/>
                <w:i/>
                <w:iCs/>
              </w:rPr>
              <w:t>Taux (%)</w:t>
            </w:r>
          </w:p>
        </w:tc>
      </w:tr>
      <w:tr w:rsidR="009F74A6"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rPr>
                <w:rFonts w:ascii="Segoe UI" w:hAnsi="Segoe UI" w:cs="Segoe UI"/>
              </w:rPr>
            </w:pPr>
            <w:r w:rsidRPr="00215B3D">
              <w:rPr>
                <w:rFonts w:ascii="Segoe UI" w:hAnsi="Segoe UI" w:cs="Segoe UI"/>
              </w:rPr>
              <w:t>Prêts et avances</w:t>
            </w:r>
          </w:p>
        </w:tc>
        <w:tc>
          <w:tcPr>
            <w:tcW w:w="1336" w:type="dxa"/>
            <w:tcBorders>
              <w:top w:val="nil"/>
              <w:left w:val="nil"/>
              <w:bottom w:val="single" w:sz="4" w:space="0" w:color="auto"/>
              <w:right w:val="single" w:sz="4" w:space="0" w:color="auto"/>
            </w:tcBorders>
            <w:noWrap/>
            <w:vAlign w:val="center"/>
            <w:hideMark/>
          </w:tcPr>
          <w:p w:rsidR="009F74A6" w:rsidRPr="00215B3D" w:rsidRDefault="00D65A7B" w:rsidP="00D65A7B">
            <w:pPr>
              <w:spacing w:after="0" w:line="240" w:lineRule="auto"/>
              <w:jc w:val="right"/>
              <w:rPr>
                <w:rFonts w:ascii="Segoe UI" w:hAnsi="Segoe UI" w:cs="Segoe UI"/>
              </w:rPr>
            </w:pPr>
            <w:r w:rsidRPr="00215B3D">
              <w:rPr>
                <w:rFonts w:ascii="Segoe UI" w:hAnsi="Segoe UI" w:cs="Segoe UI"/>
              </w:rPr>
              <w:t>3 200</w:t>
            </w:r>
          </w:p>
        </w:tc>
        <w:tc>
          <w:tcPr>
            <w:tcW w:w="1584" w:type="dxa"/>
            <w:tcBorders>
              <w:top w:val="nil"/>
              <w:left w:val="nil"/>
              <w:bottom w:val="single" w:sz="4" w:space="0" w:color="auto"/>
              <w:right w:val="single" w:sz="4" w:space="0" w:color="auto"/>
            </w:tcBorders>
            <w:noWrap/>
            <w:vAlign w:val="center"/>
            <w:hideMark/>
          </w:tcPr>
          <w:p w:rsidR="009F74A6" w:rsidRPr="00215B3D" w:rsidRDefault="00D65A7B" w:rsidP="00D65A7B">
            <w:pPr>
              <w:spacing w:after="0" w:line="240" w:lineRule="auto"/>
              <w:jc w:val="right"/>
              <w:rPr>
                <w:rFonts w:ascii="Segoe UI" w:hAnsi="Segoe UI" w:cs="Segoe UI"/>
              </w:rPr>
            </w:pPr>
            <w:r w:rsidRPr="00215B3D">
              <w:rPr>
                <w:rFonts w:ascii="Segoe UI" w:hAnsi="Segoe UI" w:cs="Segoe UI"/>
              </w:rPr>
              <w:t>18,</w:t>
            </w:r>
            <w:r w:rsidR="00681A1C" w:rsidRPr="00215B3D">
              <w:rPr>
                <w:rFonts w:ascii="Segoe UI" w:hAnsi="Segoe UI" w:cs="Segoe UI"/>
              </w:rPr>
              <w:t>0</w:t>
            </w:r>
            <w:r w:rsidR="009F74A6" w:rsidRPr="00215B3D">
              <w:rPr>
                <w:rFonts w:ascii="Segoe UI" w:hAnsi="Segoe UI" w:cs="Segoe UI"/>
              </w:rPr>
              <w:t> </w:t>
            </w:r>
          </w:p>
        </w:tc>
        <w:tc>
          <w:tcPr>
            <w:tcW w:w="1200" w:type="dxa"/>
            <w:tcBorders>
              <w:top w:val="nil"/>
              <w:left w:val="nil"/>
              <w:bottom w:val="single" w:sz="4" w:space="0" w:color="auto"/>
              <w:right w:val="single" w:sz="4" w:space="0" w:color="auto"/>
            </w:tcBorders>
            <w:noWrap/>
            <w:vAlign w:val="center"/>
            <w:hideMark/>
          </w:tcPr>
          <w:p w:rsidR="009F74A6" w:rsidRPr="00215B3D" w:rsidRDefault="000132BA" w:rsidP="00532DAD">
            <w:pPr>
              <w:spacing w:after="0" w:line="240" w:lineRule="auto"/>
              <w:jc w:val="center"/>
              <w:rPr>
                <w:rFonts w:ascii="Segoe UI" w:hAnsi="Segoe UI" w:cs="Segoe UI"/>
              </w:rPr>
            </w:pPr>
            <w:r w:rsidRPr="00215B3D">
              <w:rPr>
                <w:rFonts w:ascii="Segoe UI" w:hAnsi="Segoe UI" w:cs="Segoe UI"/>
              </w:rPr>
              <w:t>0</w:t>
            </w:r>
          </w:p>
        </w:tc>
      </w:tr>
      <w:tr w:rsidR="009F74A6"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rPr>
                <w:rFonts w:ascii="Segoe UI" w:hAnsi="Segoe UI" w:cs="Segoe UI"/>
              </w:rPr>
            </w:pPr>
            <w:r w:rsidRPr="00215B3D">
              <w:rPr>
                <w:rFonts w:ascii="Segoe UI" w:hAnsi="Segoe UI" w:cs="Segoe UI"/>
              </w:rPr>
              <w:t>Amortissement emprunts obligataires</w:t>
            </w:r>
          </w:p>
        </w:tc>
        <w:tc>
          <w:tcPr>
            <w:tcW w:w="1336" w:type="dxa"/>
            <w:tcBorders>
              <w:top w:val="nil"/>
              <w:left w:val="nil"/>
              <w:bottom w:val="single" w:sz="4" w:space="0" w:color="auto"/>
              <w:right w:val="single" w:sz="4" w:space="0" w:color="auto"/>
            </w:tcBorders>
            <w:noWrap/>
            <w:vAlign w:val="center"/>
            <w:hideMark/>
          </w:tcPr>
          <w:p w:rsidR="009F74A6" w:rsidRPr="00215B3D" w:rsidRDefault="00D65A7B" w:rsidP="00681A1C">
            <w:pPr>
              <w:spacing w:after="0" w:line="240" w:lineRule="auto"/>
              <w:jc w:val="right"/>
              <w:rPr>
                <w:rFonts w:ascii="Segoe UI" w:hAnsi="Segoe UI" w:cs="Segoe UI"/>
              </w:rPr>
            </w:pPr>
            <w:r w:rsidRPr="00215B3D">
              <w:rPr>
                <w:rFonts w:ascii="Segoe UI" w:hAnsi="Segoe UI" w:cs="Segoe UI"/>
              </w:rPr>
              <w:t>48 600</w:t>
            </w:r>
          </w:p>
        </w:tc>
        <w:tc>
          <w:tcPr>
            <w:tcW w:w="1584" w:type="dxa"/>
            <w:tcBorders>
              <w:top w:val="nil"/>
              <w:left w:val="nil"/>
              <w:bottom w:val="single" w:sz="4" w:space="0" w:color="auto"/>
              <w:right w:val="single" w:sz="4" w:space="0" w:color="auto"/>
            </w:tcBorders>
            <w:noWrap/>
            <w:vAlign w:val="center"/>
            <w:hideMark/>
          </w:tcPr>
          <w:p w:rsidR="009F74A6" w:rsidRPr="00215B3D" w:rsidRDefault="00345567" w:rsidP="00D65A7B">
            <w:pPr>
              <w:spacing w:after="0" w:line="240" w:lineRule="auto"/>
              <w:jc w:val="right"/>
              <w:rPr>
                <w:rFonts w:ascii="Segoe UI" w:hAnsi="Segoe UI" w:cs="Segoe UI"/>
              </w:rPr>
            </w:pPr>
            <w:r>
              <w:rPr>
                <w:rFonts w:ascii="Segoe UI" w:hAnsi="Segoe UI" w:cs="Segoe UI"/>
              </w:rPr>
              <w:t>0</w:t>
            </w:r>
          </w:p>
        </w:tc>
        <w:tc>
          <w:tcPr>
            <w:tcW w:w="1200" w:type="dxa"/>
            <w:tcBorders>
              <w:top w:val="nil"/>
              <w:left w:val="nil"/>
              <w:bottom w:val="single" w:sz="4" w:space="0" w:color="auto"/>
              <w:right w:val="single" w:sz="4" w:space="0" w:color="auto"/>
            </w:tcBorders>
            <w:noWrap/>
            <w:vAlign w:val="center"/>
            <w:hideMark/>
          </w:tcPr>
          <w:p w:rsidR="009F74A6" w:rsidRPr="00215B3D" w:rsidRDefault="00345567" w:rsidP="00D65A7B">
            <w:pPr>
              <w:spacing w:after="0" w:line="240" w:lineRule="auto"/>
              <w:jc w:val="center"/>
              <w:rPr>
                <w:rFonts w:ascii="Segoe UI" w:hAnsi="Segoe UI" w:cs="Segoe UI"/>
              </w:rPr>
            </w:pPr>
            <w:r>
              <w:rPr>
                <w:rFonts w:ascii="Segoe UI" w:hAnsi="Segoe UI" w:cs="Segoe UI"/>
              </w:rPr>
              <w:t>0</w:t>
            </w:r>
          </w:p>
        </w:tc>
      </w:tr>
      <w:tr w:rsidR="009F74A6"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rPr>
                <w:rFonts w:ascii="Segoe UI" w:hAnsi="Segoe UI" w:cs="Segoe UI"/>
              </w:rPr>
            </w:pPr>
            <w:r w:rsidRPr="00215B3D">
              <w:rPr>
                <w:rFonts w:ascii="Segoe UI" w:hAnsi="Segoe UI" w:cs="Segoe UI"/>
              </w:rPr>
              <w:t>Amortissement tirages FMI</w:t>
            </w:r>
          </w:p>
        </w:tc>
        <w:tc>
          <w:tcPr>
            <w:tcW w:w="1336" w:type="dxa"/>
            <w:tcBorders>
              <w:top w:val="nil"/>
              <w:left w:val="nil"/>
              <w:bottom w:val="single" w:sz="4" w:space="0" w:color="auto"/>
              <w:right w:val="single" w:sz="4" w:space="0" w:color="auto"/>
            </w:tcBorders>
            <w:noWrap/>
            <w:vAlign w:val="center"/>
            <w:hideMark/>
          </w:tcPr>
          <w:p w:rsidR="009F74A6" w:rsidRPr="00215B3D" w:rsidRDefault="00D65A7B" w:rsidP="00681A1C">
            <w:pPr>
              <w:spacing w:after="0" w:line="240" w:lineRule="auto"/>
              <w:jc w:val="right"/>
              <w:rPr>
                <w:rFonts w:ascii="Segoe UI" w:hAnsi="Segoe UI" w:cs="Segoe UI"/>
              </w:rPr>
            </w:pPr>
            <w:r w:rsidRPr="00215B3D">
              <w:rPr>
                <w:rFonts w:ascii="Segoe UI" w:hAnsi="Segoe UI" w:cs="Segoe UI"/>
              </w:rPr>
              <w:t>9 600</w:t>
            </w:r>
          </w:p>
        </w:tc>
        <w:tc>
          <w:tcPr>
            <w:tcW w:w="1584" w:type="dxa"/>
            <w:tcBorders>
              <w:top w:val="nil"/>
              <w:left w:val="nil"/>
              <w:bottom w:val="single" w:sz="4" w:space="0" w:color="auto"/>
              <w:right w:val="single" w:sz="4" w:space="0" w:color="auto"/>
            </w:tcBorders>
            <w:noWrap/>
            <w:vAlign w:val="center"/>
            <w:hideMark/>
          </w:tcPr>
          <w:p w:rsidR="009F74A6" w:rsidRPr="00215B3D" w:rsidRDefault="00D65A7B" w:rsidP="00D65A7B">
            <w:pPr>
              <w:spacing w:after="0" w:line="240" w:lineRule="auto"/>
              <w:jc w:val="right"/>
              <w:rPr>
                <w:rFonts w:ascii="Segoe UI" w:hAnsi="Segoe UI" w:cs="Segoe UI"/>
              </w:rPr>
            </w:pPr>
            <w:r w:rsidRPr="00215B3D">
              <w:rPr>
                <w:rFonts w:ascii="Segoe UI" w:hAnsi="Segoe UI" w:cs="Segoe UI"/>
              </w:rPr>
              <w:t>4 037,4</w:t>
            </w:r>
          </w:p>
        </w:tc>
        <w:tc>
          <w:tcPr>
            <w:tcW w:w="1200" w:type="dxa"/>
            <w:tcBorders>
              <w:top w:val="nil"/>
              <w:left w:val="nil"/>
              <w:bottom w:val="single" w:sz="4" w:space="0" w:color="auto"/>
              <w:right w:val="single" w:sz="4" w:space="0" w:color="auto"/>
            </w:tcBorders>
            <w:noWrap/>
            <w:vAlign w:val="center"/>
            <w:hideMark/>
          </w:tcPr>
          <w:p w:rsidR="009F74A6" w:rsidRPr="00215B3D" w:rsidRDefault="00D65A7B" w:rsidP="00D65A7B">
            <w:pPr>
              <w:spacing w:after="0" w:line="240" w:lineRule="auto"/>
              <w:jc w:val="center"/>
              <w:rPr>
                <w:rFonts w:ascii="Segoe UI" w:hAnsi="Segoe UI" w:cs="Segoe UI"/>
              </w:rPr>
            </w:pPr>
            <w:r w:rsidRPr="00215B3D">
              <w:rPr>
                <w:rFonts w:ascii="Segoe UI" w:hAnsi="Segoe UI" w:cs="Segoe UI"/>
              </w:rPr>
              <w:t>42,1</w:t>
            </w:r>
          </w:p>
        </w:tc>
      </w:tr>
      <w:tr w:rsidR="009F74A6"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rPr>
                <w:rFonts w:ascii="Segoe UI" w:hAnsi="Segoe UI" w:cs="Segoe UI"/>
              </w:rPr>
            </w:pPr>
            <w:r w:rsidRPr="00215B3D">
              <w:rPr>
                <w:rFonts w:ascii="Segoe UI" w:hAnsi="Segoe UI" w:cs="Segoe UI"/>
              </w:rPr>
              <w:t>Amortissement emprunts extérieurs</w:t>
            </w:r>
          </w:p>
        </w:tc>
        <w:tc>
          <w:tcPr>
            <w:tcW w:w="1336" w:type="dxa"/>
            <w:tcBorders>
              <w:top w:val="nil"/>
              <w:left w:val="nil"/>
              <w:bottom w:val="single" w:sz="4" w:space="0" w:color="auto"/>
              <w:right w:val="single" w:sz="4" w:space="0" w:color="auto"/>
            </w:tcBorders>
            <w:noWrap/>
            <w:vAlign w:val="center"/>
            <w:hideMark/>
          </w:tcPr>
          <w:p w:rsidR="009F74A6" w:rsidRPr="00215B3D" w:rsidRDefault="00D65A7B" w:rsidP="00681A1C">
            <w:pPr>
              <w:spacing w:after="0" w:line="240" w:lineRule="auto"/>
              <w:jc w:val="right"/>
              <w:rPr>
                <w:rFonts w:ascii="Segoe UI" w:hAnsi="Segoe UI" w:cs="Segoe UI"/>
              </w:rPr>
            </w:pPr>
            <w:r w:rsidRPr="00215B3D">
              <w:rPr>
                <w:rFonts w:ascii="Segoe UI" w:hAnsi="Segoe UI" w:cs="Segoe UI"/>
              </w:rPr>
              <w:t>31 600</w:t>
            </w:r>
          </w:p>
        </w:tc>
        <w:tc>
          <w:tcPr>
            <w:tcW w:w="1584" w:type="dxa"/>
            <w:tcBorders>
              <w:top w:val="nil"/>
              <w:left w:val="nil"/>
              <w:bottom w:val="single" w:sz="4" w:space="0" w:color="auto"/>
              <w:right w:val="single" w:sz="4" w:space="0" w:color="auto"/>
            </w:tcBorders>
            <w:noWrap/>
            <w:vAlign w:val="center"/>
            <w:hideMark/>
          </w:tcPr>
          <w:p w:rsidR="009F74A6" w:rsidRPr="00215B3D" w:rsidRDefault="008A4E15" w:rsidP="00B716A6">
            <w:pPr>
              <w:spacing w:after="0" w:line="240" w:lineRule="auto"/>
              <w:jc w:val="right"/>
              <w:rPr>
                <w:rFonts w:ascii="Segoe UI" w:hAnsi="Segoe UI" w:cs="Segoe UI"/>
              </w:rPr>
            </w:pPr>
            <w:r w:rsidRPr="00215B3D">
              <w:rPr>
                <w:rFonts w:ascii="Segoe UI" w:hAnsi="Segoe UI" w:cs="Segoe UI"/>
              </w:rPr>
              <w:t>32 511,4</w:t>
            </w:r>
            <w:r w:rsidR="009F74A6" w:rsidRPr="00215B3D">
              <w:rPr>
                <w:rFonts w:ascii="Segoe UI" w:hAnsi="Segoe UI" w:cs="Segoe UI"/>
              </w:rPr>
              <w:t> </w:t>
            </w:r>
          </w:p>
        </w:tc>
        <w:tc>
          <w:tcPr>
            <w:tcW w:w="1200" w:type="dxa"/>
            <w:tcBorders>
              <w:top w:val="nil"/>
              <w:left w:val="nil"/>
              <w:bottom w:val="single" w:sz="4" w:space="0" w:color="auto"/>
              <w:right w:val="single" w:sz="4" w:space="0" w:color="auto"/>
            </w:tcBorders>
            <w:noWrap/>
            <w:vAlign w:val="center"/>
            <w:hideMark/>
          </w:tcPr>
          <w:p w:rsidR="009F74A6" w:rsidRPr="00215B3D" w:rsidRDefault="00FC0BA7" w:rsidP="009E11F3">
            <w:pPr>
              <w:spacing w:after="0" w:line="240" w:lineRule="auto"/>
              <w:jc w:val="center"/>
              <w:rPr>
                <w:rFonts w:ascii="Segoe UI" w:hAnsi="Segoe UI" w:cs="Segoe UI"/>
              </w:rPr>
            </w:pPr>
            <w:r w:rsidRPr="00215B3D">
              <w:rPr>
                <w:rFonts w:ascii="Segoe UI" w:hAnsi="Segoe UI" w:cs="Segoe UI"/>
              </w:rPr>
              <w:t>102,9</w:t>
            </w:r>
          </w:p>
        </w:tc>
      </w:tr>
      <w:tr w:rsidR="009F74A6"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hideMark/>
          </w:tcPr>
          <w:p w:rsidR="009F74A6" w:rsidRPr="00215B3D" w:rsidRDefault="009F74A6" w:rsidP="009F74A6">
            <w:pPr>
              <w:spacing w:after="0" w:line="240" w:lineRule="auto"/>
              <w:rPr>
                <w:rFonts w:ascii="Segoe UI" w:hAnsi="Segoe UI" w:cs="Segoe UI"/>
              </w:rPr>
            </w:pPr>
            <w:r w:rsidRPr="00215B3D">
              <w:rPr>
                <w:rFonts w:ascii="Segoe UI" w:hAnsi="Segoe UI" w:cs="Segoe UI"/>
              </w:rPr>
              <w:t>Amortissement Bons du Trésor</w:t>
            </w:r>
          </w:p>
        </w:tc>
        <w:tc>
          <w:tcPr>
            <w:tcW w:w="1336" w:type="dxa"/>
            <w:tcBorders>
              <w:top w:val="nil"/>
              <w:left w:val="nil"/>
              <w:bottom w:val="single" w:sz="4" w:space="0" w:color="auto"/>
              <w:right w:val="single" w:sz="4" w:space="0" w:color="auto"/>
            </w:tcBorders>
            <w:noWrap/>
            <w:vAlign w:val="center"/>
            <w:hideMark/>
          </w:tcPr>
          <w:p w:rsidR="009F74A6" w:rsidRPr="00215B3D" w:rsidRDefault="00D65A7B" w:rsidP="00681A1C">
            <w:pPr>
              <w:spacing w:after="0" w:line="240" w:lineRule="auto"/>
              <w:jc w:val="right"/>
              <w:rPr>
                <w:rFonts w:ascii="Segoe UI" w:hAnsi="Segoe UI" w:cs="Segoe UI"/>
              </w:rPr>
            </w:pPr>
            <w:r w:rsidRPr="00215B3D">
              <w:rPr>
                <w:rFonts w:ascii="Segoe UI" w:hAnsi="Segoe UI" w:cs="Segoe UI"/>
              </w:rPr>
              <w:t>162 000</w:t>
            </w:r>
          </w:p>
        </w:tc>
        <w:tc>
          <w:tcPr>
            <w:tcW w:w="1584" w:type="dxa"/>
            <w:tcBorders>
              <w:top w:val="nil"/>
              <w:left w:val="nil"/>
              <w:bottom w:val="single" w:sz="4" w:space="0" w:color="auto"/>
              <w:right w:val="single" w:sz="4" w:space="0" w:color="auto"/>
            </w:tcBorders>
            <w:noWrap/>
            <w:vAlign w:val="center"/>
            <w:hideMark/>
          </w:tcPr>
          <w:p w:rsidR="009F74A6" w:rsidRPr="00215B3D" w:rsidRDefault="00D65A7B" w:rsidP="00D65A7B">
            <w:pPr>
              <w:spacing w:after="0" w:line="240" w:lineRule="auto"/>
              <w:jc w:val="right"/>
              <w:rPr>
                <w:rFonts w:ascii="Segoe UI" w:hAnsi="Segoe UI" w:cs="Segoe UI"/>
              </w:rPr>
            </w:pPr>
            <w:r w:rsidRPr="00215B3D">
              <w:rPr>
                <w:rFonts w:ascii="Segoe UI" w:hAnsi="Segoe UI" w:cs="Segoe UI"/>
              </w:rPr>
              <w:t>141 250,0</w:t>
            </w:r>
          </w:p>
        </w:tc>
        <w:tc>
          <w:tcPr>
            <w:tcW w:w="1200" w:type="dxa"/>
            <w:tcBorders>
              <w:top w:val="nil"/>
              <w:left w:val="nil"/>
              <w:bottom w:val="single" w:sz="4" w:space="0" w:color="auto"/>
              <w:right w:val="single" w:sz="4" w:space="0" w:color="auto"/>
            </w:tcBorders>
            <w:noWrap/>
            <w:vAlign w:val="center"/>
            <w:hideMark/>
          </w:tcPr>
          <w:p w:rsidR="009F74A6" w:rsidRPr="00215B3D" w:rsidRDefault="00D65A7B" w:rsidP="003B2150">
            <w:pPr>
              <w:spacing w:after="0" w:line="240" w:lineRule="auto"/>
              <w:jc w:val="center"/>
              <w:rPr>
                <w:rFonts w:ascii="Segoe UI" w:hAnsi="Segoe UI" w:cs="Segoe UI"/>
              </w:rPr>
            </w:pPr>
            <w:r w:rsidRPr="00215B3D">
              <w:rPr>
                <w:rFonts w:ascii="Segoe UI" w:hAnsi="Segoe UI" w:cs="Segoe UI"/>
              </w:rPr>
              <w:t>87,2</w:t>
            </w:r>
          </w:p>
        </w:tc>
      </w:tr>
      <w:tr w:rsidR="00AF6FBD" w:rsidRPr="00215B3D" w:rsidTr="009F74A6">
        <w:trPr>
          <w:trHeight w:val="315"/>
        </w:trPr>
        <w:tc>
          <w:tcPr>
            <w:tcW w:w="5380" w:type="dxa"/>
            <w:tcBorders>
              <w:top w:val="nil"/>
              <w:left w:val="single" w:sz="4" w:space="0" w:color="auto"/>
              <w:bottom w:val="single" w:sz="4" w:space="0" w:color="auto"/>
              <w:right w:val="single" w:sz="4" w:space="0" w:color="auto"/>
            </w:tcBorders>
            <w:noWrap/>
            <w:vAlign w:val="bottom"/>
          </w:tcPr>
          <w:p w:rsidR="00AF6FBD" w:rsidRPr="00215B3D" w:rsidRDefault="00AF6FBD" w:rsidP="009F74A6">
            <w:pPr>
              <w:spacing w:after="0" w:line="240" w:lineRule="auto"/>
              <w:rPr>
                <w:rFonts w:ascii="Segoe UI" w:hAnsi="Segoe UI" w:cs="Segoe UI"/>
              </w:rPr>
            </w:pPr>
            <w:r w:rsidRPr="00215B3D">
              <w:rPr>
                <w:rFonts w:ascii="Segoe UI" w:hAnsi="Segoe UI" w:cs="Segoe UI"/>
              </w:rPr>
              <w:t>Indemnités de vacation</w:t>
            </w:r>
            <w:r w:rsidR="00990DBE" w:rsidRPr="00215B3D">
              <w:rPr>
                <w:rFonts w:ascii="Segoe UI" w:hAnsi="Segoe UI" w:cs="Segoe UI"/>
              </w:rPr>
              <w:t xml:space="preserve"> des enseignants</w:t>
            </w:r>
          </w:p>
        </w:tc>
        <w:tc>
          <w:tcPr>
            <w:tcW w:w="1336" w:type="dxa"/>
            <w:tcBorders>
              <w:top w:val="nil"/>
              <w:left w:val="nil"/>
              <w:bottom w:val="single" w:sz="4" w:space="0" w:color="auto"/>
              <w:right w:val="single" w:sz="4" w:space="0" w:color="auto"/>
            </w:tcBorders>
            <w:noWrap/>
            <w:vAlign w:val="center"/>
          </w:tcPr>
          <w:p w:rsidR="00AF6FBD" w:rsidRPr="00215B3D" w:rsidRDefault="0036333F" w:rsidP="00681A1C">
            <w:pPr>
              <w:spacing w:after="0" w:line="240" w:lineRule="auto"/>
              <w:jc w:val="right"/>
              <w:rPr>
                <w:rFonts w:ascii="Segoe UI" w:hAnsi="Segoe UI" w:cs="Segoe UI"/>
              </w:rPr>
            </w:pPr>
            <w:r w:rsidRPr="00215B3D">
              <w:rPr>
                <w:rFonts w:ascii="Segoe UI" w:hAnsi="Segoe UI" w:cs="Segoe UI"/>
              </w:rPr>
              <w:t>8</w:t>
            </w:r>
            <w:r w:rsidR="00AF6FBD" w:rsidRPr="00215B3D">
              <w:rPr>
                <w:rFonts w:ascii="Segoe UI" w:hAnsi="Segoe UI" w:cs="Segoe UI"/>
              </w:rPr>
              <w:t xml:space="preserve"> 000</w:t>
            </w:r>
          </w:p>
        </w:tc>
        <w:tc>
          <w:tcPr>
            <w:tcW w:w="1584" w:type="dxa"/>
            <w:tcBorders>
              <w:top w:val="nil"/>
              <w:left w:val="nil"/>
              <w:bottom w:val="single" w:sz="4" w:space="0" w:color="auto"/>
              <w:right w:val="single" w:sz="4" w:space="0" w:color="auto"/>
            </w:tcBorders>
            <w:noWrap/>
            <w:vAlign w:val="center"/>
          </w:tcPr>
          <w:p w:rsidR="00AF6FBD" w:rsidRPr="00215B3D" w:rsidRDefault="0036333F" w:rsidP="0036333F">
            <w:pPr>
              <w:spacing w:after="0" w:line="240" w:lineRule="auto"/>
              <w:jc w:val="right"/>
              <w:rPr>
                <w:rFonts w:ascii="Segoe UI" w:hAnsi="Segoe UI" w:cs="Segoe UI"/>
              </w:rPr>
            </w:pPr>
            <w:r w:rsidRPr="00215B3D">
              <w:rPr>
                <w:rFonts w:ascii="Segoe UI" w:hAnsi="Segoe UI" w:cs="Segoe UI"/>
              </w:rPr>
              <w:t>3 480</w:t>
            </w:r>
            <w:r w:rsidR="004347BC" w:rsidRPr="00215B3D">
              <w:rPr>
                <w:rFonts w:ascii="Segoe UI" w:hAnsi="Segoe UI" w:cs="Segoe UI"/>
              </w:rPr>
              <w:t>,</w:t>
            </w:r>
            <w:r w:rsidRPr="00215B3D">
              <w:rPr>
                <w:rFonts w:ascii="Segoe UI" w:hAnsi="Segoe UI" w:cs="Segoe UI"/>
              </w:rPr>
              <w:t>0</w:t>
            </w:r>
          </w:p>
        </w:tc>
        <w:tc>
          <w:tcPr>
            <w:tcW w:w="1200" w:type="dxa"/>
            <w:tcBorders>
              <w:top w:val="nil"/>
              <w:left w:val="nil"/>
              <w:bottom w:val="single" w:sz="4" w:space="0" w:color="auto"/>
              <w:right w:val="single" w:sz="4" w:space="0" w:color="auto"/>
            </w:tcBorders>
            <w:noWrap/>
            <w:vAlign w:val="center"/>
          </w:tcPr>
          <w:p w:rsidR="00AF6FBD" w:rsidRPr="00215B3D" w:rsidRDefault="0036333F" w:rsidP="0036333F">
            <w:pPr>
              <w:spacing w:after="0" w:line="240" w:lineRule="auto"/>
              <w:jc w:val="center"/>
              <w:rPr>
                <w:rFonts w:ascii="Segoe UI" w:hAnsi="Segoe UI" w:cs="Segoe UI"/>
              </w:rPr>
            </w:pPr>
            <w:r w:rsidRPr="00215B3D">
              <w:rPr>
                <w:rFonts w:ascii="Segoe UI" w:hAnsi="Segoe UI" w:cs="Segoe UI"/>
              </w:rPr>
              <w:t>43,5</w:t>
            </w:r>
          </w:p>
        </w:tc>
      </w:tr>
      <w:tr w:rsidR="00681A1C" w:rsidRPr="00215B3D" w:rsidTr="003B629E">
        <w:trPr>
          <w:trHeight w:val="370"/>
        </w:trPr>
        <w:tc>
          <w:tcPr>
            <w:tcW w:w="5380" w:type="dxa"/>
            <w:tcBorders>
              <w:top w:val="nil"/>
              <w:left w:val="single" w:sz="4" w:space="0" w:color="auto"/>
              <w:bottom w:val="single" w:sz="4" w:space="0" w:color="auto"/>
              <w:right w:val="single" w:sz="4" w:space="0" w:color="auto"/>
            </w:tcBorders>
            <w:noWrap/>
            <w:vAlign w:val="center"/>
          </w:tcPr>
          <w:p w:rsidR="00681A1C" w:rsidRPr="00215B3D" w:rsidRDefault="00681A1C" w:rsidP="00681A1C">
            <w:pPr>
              <w:spacing w:after="0" w:line="240" w:lineRule="auto"/>
              <w:rPr>
                <w:rFonts w:ascii="Segoe UI" w:hAnsi="Segoe UI" w:cs="Segoe UI"/>
                <w:bCs/>
              </w:rPr>
            </w:pPr>
            <w:r w:rsidRPr="00215B3D">
              <w:rPr>
                <w:rFonts w:ascii="Segoe UI" w:hAnsi="Segoe UI" w:cs="Segoe UI"/>
                <w:bCs/>
              </w:rPr>
              <w:t>Amortissement dettes banques locales</w:t>
            </w:r>
          </w:p>
        </w:tc>
        <w:tc>
          <w:tcPr>
            <w:tcW w:w="1336" w:type="dxa"/>
            <w:tcBorders>
              <w:top w:val="nil"/>
              <w:left w:val="nil"/>
              <w:bottom w:val="single" w:sz="4" w:space="0" w:color="auto"/>
              <w:right w:val="single" w:sz="4" w:space="0" w:color="auto"/>
            </w:tcBorders>
            <w:noWrap/>
            <w:vAlign w:val="center"/>
          </w:tcPr>
          <w:p w:rsidR="00681A1C" w:rsidRPr="00215B3D" w:rsidRDefault="0036333F" w:rsidP="00681A1C">
            <w:pPr>
              <w:spacing w:after="0" w:line="240" w:lineRule="auto"/>
              <w:jc w:val="right"/>
              <w:rPr>
                <w:rFonts w:ascii="Segoe UI" w:hAnsi="Segoe UI" w:cs="Segoe UI"/>
                <w:bCs/>
              </w:rPr>
            </w:pPr>
            <w:r w:rsidRPr="00215B3D">
              <w:rPr>
                <w:rFonts w:ascii="Segoe UI" w:hAnsi="Segoe UI" w:cs="Segoe UI"/>
                <w:bCs/>
              </w:rPr>
              <w:t>39 600</w:t>
            </w:r>
          </w:p>
        </w:tc>
        <w:tc>
          <w:tcPr>
            <w:tcW w:w="1584" w:type="dxa"/>
            <w:tcBorders>
              <w:top w:val="nil"/>
              <w:left w:val="nil"/>
              <w:bottom w:val="single" w:sz="4" w:space="0" w:color="auto"/>
              <w:right w:val="single" w:sz="4" w:space="0" w:color="auto"/>
            </w:tcBorders>
            <w:noWrap/>
            <w:vAlign w:val="center"/>
          </w:tcPr>
          <w:p w:rsidR="00681A1C" w:rsidRPr="00215B3D" w:rsidRDefault="008A4E15" w:rsidP="00990DBE">
            <w:pPr>
              <w:spacing w:after="0" w:line="240" w:lineRule="auto"/>
              <w:jc w:val="right"/>
              <w:rPr>
                <w:rFonts w:ascii="Segoe UI" w:hAnsi="Segoe UI" w:cs="Segoe UI"/>
                <w:bCs/>
              </w:rPr>
            </w:pPr>
            <w:r w:rsidRPr="00215B3D">
              <w:rPr>
                <w:rFonts w:ascii="Segoe UI" w:hAnsi="Segoe UI" w:cs="Segoe UI"/>
                <w:bCs/>
              </w:rPr>
              <w:t>11 422,4</w:t>
            </w:r>
          </w:p>
        </w:tc>
        <w:tc>
          <w:tcPr>
            <w:tcW w:w="1200" w:type="dxa"/>
            <w:tcBorders>
              <w:top w:val="nil"/>
              <w:left w:val="nil"/>
              <w:bottom w:val="single" w:sz="4" w:space="0" w:color="auto"/>
              <w:right w:val="single" w:sz="4" w:space="0" w:color="auto"/>
            </w:tcBorders>
            <w:noWrap/>
            <w:vAlign w:val="center"/>
          </w:tcPr>
          <w:p w:rsidR="00681A1C" w:rsidRPr="00215B3D" w:rsidRDefault="00FC0BA7" w:rsidP="00BE5EDD">
            <w:pPr>
              <w:spacing w:after="0" w:line="240" w:lineRule="auto"/>
              <w:jc w:val="center"/>
              <w:rPr>
                <w:rFonts w:ascii="Segoe UI" w:hAnsi="Segoe UI" w:cs="Segoe UI"/>
                <w:bCs/>
              </w:rPr>
            </w:pPr>
            <w:r w:rsidRPr="00215B3D">
              <w:rPr>
                <w:rFonts w:ascii="Segoe UI" w:hAnsi="Segoe UI" w:cs="Segoe UI"/>
                <w:bCs/>
              </w:rPr>
              <w:t>28,8</w:t>
            </w:r>
          </w:p>
        </w:tc>
      </w:tr>
      <w:tr w:rsidR="00CE4A3E" w:rsidRPr="00215B3D" w:rsidTr="003B629E">
        <w:trPr>
          <w:trHeight w:val="370"/>
        </w:trPr>
        <w:tc>
          <w:tcPr>
            <w:tcW w:w="5380" w:type="dxa"/>
            <w:tcBorders>
              <w:top w:val="nil"/>
              <w:left w:val="single" w:sz="4" w:space="0" w:color="auto"/>
              <w:bottom w:val="single" w:sz="4" w:space="0" w:color="auto"/>
              <w:right w:val="single" w:sz="4" w:space="0" w:color="auto"/>
            </w:tcBorders>
            <w:noWrap/>
            <w:vAlign w:val="center"/>
          </w:tcPr>
          <w:p w:rsidR="00CE4A3E" w:rsidRPr="00215B3D" w:rsidRDefault="00CE4A3E" w:rsidP="00681A1C">
            <w:pPr>
              <w:spacing w:after="0" w:line="240" w:lineRule="auto"/>
              <w:rPr>
                <w:rFonts w:ascii="Segoe UI" w:hAnsi="Segoe UI" w:cs="Segoe UI"/>
                <w:bCs/>
              </w:rPr>
            </w:pPr>
            <w:r>
              <w:rPr>
                <w:rFonts w:ascii="Segoe UI" w:hAnsi="Segoe UI" w:cs="Segoe UI"/>
                <w:bCs/>
              </w:rPr>
              <w:t>Variation des instances de paiement</w:t>
            </w:r>
          </w:p>
        </w:tc>
        <w:tc>
          <w:tcPr>
            <w:tcW w:w="1336" w:type="dxa"/>
            <w:tcBorders>
              <w:top w:val="nil"/>
              <w:left w:val="nil"/>
              <w:bottom w:val="single" w:sz="4" w:space="0" w:color="auto"/>
              <w:right w:val="single" w:sz="4" w:space="0" w:color="auto"/>
            </w:tcBorders>
            <w:noWrap/>
            <w:vAlign w:val="center"/>
          </w:tcPr>
          <w:p w:rsidR="00CE4A3E" w:rsidRPr="00215B3D" w:rsidRDefault="00CE4A3E" w:rsidP="00681A1C">
            <w:pPr>
              <w:spacing w:after="0" w:line="240" w:lineRule="auto"/>
              <w:jc w:val="right"/>
              <w:rPr>
                <w:rFonts w:ascii="Segoe UI" w:hAnsi="Segoe UI" w:cs="Segoe UI"/>
                <w:bCs/>
              </w:rPr>
            </w:pPr>
            <w:r>
              <w:rPr>
                <w:rFonts w:ascii="Segoe UI" w:hAnsi="Segoe UI" w:cs="Segoe UI"/>
                <w:bCs/>
              </w:rPr>
              <w:t>10 000</w:t>
            </w:r>
          </w:p>
        </w:tc>
        <w:tc>
          <w:tcPr>
            <w:tcW w:w="1584" w:type="dxa"/>
            <w:tcBorders>
              <w:top w:val="nil"/>
              <w:left w:val="nil"/>
              <w:bottom w:val="single" w:sz="4" w:space="0" w:color="auto"/>
              <w:right w:val="single" w:sz="4" w:space="0" w:color="auto"/>
            </w:tcBorders>
            <w:noWrap/>
            <w:vAlign w:val="center"/>
          </w:tcPr>
          <w:p w:rsidR="00CE4A3E" w:rsidRPr="00215B3D" w:rsidRDefault="00CE4A3E" w:rsidP="00990DBE">
            <w:pPr>
              <w:spacing w:after="0" w:line="240" w:lineRule="auto"/>
              <w:jc w:val="right"/>
              <w:rPr>
                <w:rFonts w:ascii="Segoe UI" w:hAnsi="Segoe UI" w:cs="Segoe UI"/>
                <w:bCs/>
              </w:rPr>
            </w:pPr>
            <w:r>
              <w:rPr>
                <w:rFonts w:ascii="Segoe UI" w:hAnsi="Segoe UI" w:cs="Segoe UI"/>
                <w:bCs/>
              </w:rPr>
              <w:t>12 487</w:t>
            </w:r>
          </w:p>
        </w:tc>
        <w:tc>
          <w:tcPr>
            <w:tcW w:w="1200" w:type="dxa"/>
            <w:tcBorders>
              <w:top w:val="nil"/>
              <w:left w:val="nil"/>
              <w:bottom w:val="single" w:sz="4" w:space="0" w:color="auto"/>
              <w:right w:val="single" w:sz="4" w:space="0" w:color="auto"/>
            </w:tcBorders>
            <w:noWrap/>
            <w:vAlign w:val="center"/>
          </w:tcPr>
          <w:p w:rsidR="00CE4A3E" w:rsidRPr="00215B3D" w:rsidRDefault="00CE4A3E" w:rsidP="00BE5EDD">
            <w:pPr>
              <w:spacing w:after="0" w:line="240" w:lineRule="auto"/>
              <w:jc w:val="center"/>
              <w:rPr>
                <w:rFonts w:ascii="Segoe UI" w:hAnsi="Segoe UI" w:cs="Segoe UI"/>
                <w:bCs/>
              </w:rPr>
            </w:pPr>
            <w:r>
              <w:rPr>
                <w:rFonts w:ascii="Segoe UI" w:hAnsi="Segoe UI" w:cs="Segoe UI"/>
                <w:bCs/>
              </w:rPr>
              <w:t>124,9</w:t>
            </w:r>
          </w:p>
        </w:tc>
      </w:tr>
      <w:tr w:rsidR="009F74A6" w:rsidRPr="00215B3D" w:rsidTr="003B629E">
        <w:trPr>
          <w:trHeight w:val="370"/>
        </w:trPr>
        <w:tc>
          <w:tcPr>
            <w:tcW w:w="5380" w:type="dxa"/>
            <w:tcBorders>
              <w:top w:val="nil"/>
              <w:left w:val="single" w:sz="4" w:space="0" w:color="auto"/>
              <w:bottom w:val="single" w:sz="4" w:space="0" w:color="auto"/>
              <w:right w:val="single" w:sz="4" w:space="0" w:color="auto"/>
            </w:tcBorders>
            <w:noWrap/>
            <w:vAlign w:val="center"/>
            <w:hideMark/>
          </w:tcPr>
          <w:p w:rsidR="009F74A6" w:rsidRPr="00215B3D" w:rsidRDefault="009F74A6" w:rsidP="00A34929">
            <w:pPr>
              <w:spacing w:after="0" w:line="240" w:lineRule="auto"/>
              <w:jc w:val="center"/>
              <w:rPr>
                <w:rFonts w:ascii="Segoe UI" w:hAnsi="Segoe UI" w:cs="Segoe UI"/>
                <w:b/>
                <w:bCs/>
              </w:rPr>
            </w:pPr>
            <w:r w:rsidRPr="00215B3D">
              <w:rPr>
                <w:rFonts w:ascii="Segoe UI" w:hAnsi="Segoe UI" w:cs="Segoe UI"/>
                <w:b/>
                <w:bCs/>
              </w:rPr>
              <w:t>Total</w:t>
            </w:r>
          </w:p>
        </w:tc>
        <w:tc>
          <w:tcPr>
            <w:tcW w:w="1336" w:type="dxa"/>
            <w:tcBorders>
              <w:top w:val="nil"/>
              <w:left w:val="nil"/>
              <w:bottom w:val="single" w:sz="4" w:space="0" w:color="auto"/>
              <w:right w:val="single" w:sz="4" w:space="0" w:color="auto"/>
            </w:tcBorders>
            <w:noWrap/>
            <w:vAlign w:val="center"/>
            <w:hideMark/>
          </w:tcPr>
          <w:p w:rsidR="009F74A6" w:rsidRPr="00215B3D" w:rsidRDefault="001F52FE" w:rsidP="00AF6FBD">
            <w:pPr>
              <w:spacing w:after="0" w:line="240" w:lineRule="auto"/>
              <w:jc w:val="right"/>
              <w:rPr>
                <w:rFonts w:ascii="Segoe UI" w:hAnsi="Segoe UI" w:cs="Segoe UI"/>
                <w:b/>
                <w:bCs/>
              </w:rPr>
            </w:pPr>
            <w:r w:rsidRPr="00215B3D">
              <w:rPr>
                <w:rFonts w:ascii="Segoe UI" w:hAnsi="Segoe UI" w:cs="Segoe UI"/>
                <w:b/>
                <w:bCs/>
              </w:rPr>
              <w:t>312 600</w:t>
            </w:r>
          </w:p>
        </w:tc>
        <w:tc>
          <w:tcPr>
            <w:tcW w:w="1584" w:type="dxa"/>
            <w:tcBorders>
              <w:top w:val="nil"/>
              <w:left w:val="nil"/>
              <w:bottom w:val="single" w:sz="4" w:space="0" w:color="auto"/>
              <w:right w:val="single" w:sz="4" w:space="0" w:color="auto"/>
            </w:tcBorders>
            <w:noWrap/>
            <w:vAlign w:val="center"/>
            <w:hideMark/>
          </w:tcPr>
          <w:p w:rsidR="009F74A6" w:rsidRPr="00215B3D" w:rsidRDefault="00727934" w:rsidP="00B716A6">
            <w:pPr>
              <w:spacing w:after="0" w:line="240" w:lineRule="auto"/>
              <w:jc w:val="right"/>
              <w:rPr>
                <w:rFonts w:ascii="Segoe UI" w:hAnsi="Segoe UI" w:cs="Segoe UI"/>
                <w:b/>
                <w:bCs/>
              </w:rPr>
            </w:pPr>
            <w:r>
              <w:rPr>
                <w:rFonts w:ascii="Segoe UI" w:hAnsi="Segoe UI" w:cs="Segoe UI"/>
                <w:b/>
                <w:bCs/>
              </w:rPr>
              <w:t>205</w:t>
            </w:r>
            <w:r w:rsidR="00F14242">
              <w:rPr>
                <w:rFonts w:ascii="Segoe UI" w:hAnsi="Segoe UI" w:cs="Segoe UI"/>
                <w:b/>
                <w:bCs/>
              </w:rPr>
              <w:t> </w:t>
            </w:r>
            <w:r>
              <w:rPr>
                <w:rFonts w:ascii="Segoe UI" w:hAnsi="Segoe UI" w:cs="Segoe UI"/>
                <w:b/>
                <w:bCs/>
              </w:rPr>
              <w:t>206</w:t>
            </w:r>
            <w:r w:rsidR="00F14242">
              <w:rPr>
                <w:rFonts w:ascii="Segoe UI" w:hAnsi="Segoe UI" w:cs="Segoe UI"/>
                <w:b/>
                <w:bCs/>
              </w:rPr>
              <w:t>,2</w:t>
            </w:r>
          </w:p>
        </w:tc>
        <w:tc>
          <w:tcPr>
            <w:tcW w:w="1200" w:type="dxa"/>
            <w:tcBorders>
              <w:top w:val="nil"/>
              <w:left w:val="nil"/>
              <w:bottom w:val="single" w:sz="4" w:space="0" w:color="auto"/>
              <w:right w:val="single" w:sz="4" w:space="0" w:color="auto"/>
            </w:tcBorders>
            <w:noWrap/>
            <w:vAlign w:val="center"/>
            <w:hideMark/>
          </w:tcPr>
          <w:p w:rsidR="009F74A6" w:rsidRPr="00215B3D" w:rsidRDefault="00F14242" w:rsidP="00D63D84">
            <w:pPr>
              <w:spacing w:after="0" w:line="240" w:lineRule="auto"/>
              <w:jc w:val="center"/>
              <w:rPr>
                <w:rFonts w:ascii="Segoe UI" w:hAnsi="Segoe UI" w:cs="Segoe UI"/>
                <w:b/>
                <w:bCs/>
              </w:rPr>
            </w:pPr>
            <w:r>
              <w:rPr>
                <w:rFonts w:ascii="Segoe UI" w:hAnsi="Segoe UI" w:cs="Segoe UI"/>
                <w:b/>
                <w:bCs/>
              </w:rPr>
              <w:t>65,6</w:t>
            </w:r>
          </w:p>
        </w:tc>
      </w:tr>
    </w:tbl>
    <w:p w:rsidR="00C90DEE" w:rsidRPr="00215B3D" w:rsidRDefault="00C90DEE" w:rsidP="006B4827">
      <w:pPr>
        <w:spacing w:after="0" w:line="360" w:lineRule="auto"/>
        <w:rPr>
          <w:rFonts w:ascii="Segoe UI" w:hAnsi="Segoe UI" w:cs="Segoe UI"/>
          <w:b/>
          <w:bCs/>
          <w:iCs/>
          <w:sz w:val="10"/>
          <w:szCs w:val="20"/>
          <w:u w:val="single"/>
        </w:rPr>
      </w:pPr>
    </w:p>
    <w:p w:rsidR="00355E6F" w:rsidRPr="00215B3D" w:rsidRDefault="006B4827" w:rsidP="006B4827">
      <w:pPr>
        <w:spacing w:after="0" w:line="360" w:lineRule="auto"/>
        <w:rPr>
          <w:rFonts w:ascii="Segoe UI" w:hAnsi="Segoe UI" w:cs="Segoe UI"/>
          <w:bCs/>
          <w:iCs/>
          <w:sz w:val="20"/>
          <w:szCs w:val="20"/>
        </w:rPr>
      </w:pPr>
      <w:r w:rsidRPr="00215B3D">
        <w:rPr>
          <w:rFonts w:ascii="Segoe UI" w:hAnsi="Segoe UI" w:cs="Segoe UI"/>
          <w:b/>
          <w:bCs/>
          <w:iCs/>
          <w:sz w:val="20"/>
          <w:szCs w:val="20"/>
          <w:u w:val="single"/>
        </w:rPr>
        <w:t xml:space="preserve"> </w:t>
      </w:r>
      <w:r w:rsidR="00355E6F" w:rsidRPr="00215B3D">
        <w:rPr>
          <w:rFonts w:ascii="Segoe UI" w:hAnsi="Segoe UI" w:cs="Segoe UI"/>
          <w:b/>
          <w:bCs/>
          <w:iCs/>
          <w:sz w:val="20"/>
          <w:szCs w:val="20"/>
          <w:u w:val="single"/>
        </w:rPr>
        <w:t>Source</w:t>
      </w:r>
      <w:r w:rsidR="00355E6F" w:rsidRPr="00215B3D">
        <w:rPr>
          <w:rFonts w:ascii="Segoe UI" w:hAnsi="Segoe UI" w:cs="Segoe UI"/>
          <w:bCs/>
          <w:iCs/>
          <w:sz w:val="20"/>
          <w:szCs w:val="20"/>
        </w:rPr>
        <w:t xml:space="preserve"> : </w:t>
      </w:r>
      <w:r w:rsidR="00FB509F" w:rsidRPr="00215B3D">
        <w:rPr>
          <w:rFonts w:ascii="Segoe UI" w:hAnsi="Segoe UI" w:cs="Segoe UI"/>
          <w:sz w:val="16"/>
        </w:rPr>
        <w:t>DGB, sur la base des données fournies par la DGTCP, juin 2017</w:t>
      </w:r>
    </w:p>
    <w:p w:rsidR="00E00255" w:rsidRPr="00215B3D" w:rsidRDefault="00E00255" w:rsidP="006B4827">
      <w:pPr>
        <w:spacing w:after="0" w:line="360" w:lineRule="auto"/>
        <w:rPr>
          <w:rFonts w:ascii="Segoe UI" w:hAnsi="Segoe UI" w:cs="Segoe UI"/>
          <w:bCs/>
          <w:iCs/>
          <w:sz w:val="8"/>
          <w:szCs w:val="20"/>
        </w:rPr>
      </w:pPr>
    </w:p>
    <w:p w:rsidR="00D04941" w:rsidRPr="00215B3D" w:rsidRDefault="00355E6F" w:rsidP="00B70168">
      <w:pPr>
        <w:spacing w:after="0" w:line="360" w:lineRule="auto"/>
        <w:jc w:val="both"/>
        <w:rPr>
          <w:rFonts w:ascii="Segoe UI" w:hAnsi="Segoe UI" w:cs="Segoe UI"/>
          <w:sz w:val="24"/>
          <w:szCs w:val="26"/>
        </w:rPr>
      </w:pPr>
      <w:bookmarkStart w:id="60" w:name="_Toc427941535"/>
      <w:r w:rsidRPr="00215B3D">
        <w:rPr>
          <w:rFonts w:ascii="Segoe UI" w:hAnsi="Segoe UI" w:cs="Segoe UI"/>
          <w:sz w:val="24"/>
          <w:szCs w:val="26"/>
        </w:rPr>
        <w:t xml:space="preserve">Au total, la gestion de la trésorerie fait ressortir un </w:t>
      </w:r>
      <w:r w:rsidR="002106C3" w:rsidRPr="00215B3D">
        <w:rPr>
          <w:rFonts w:ascii="Segoe UI" w:hAnsi="Segoe UI" w:cs="Segoe UI"/>
          <w:sz w:val="24"/>
          <w:szCs w:val="26"/>
        </w:rPr>
        <w:t xml:space="preserve">solde </w:t>
      </w:r>
      <w:r w:rsidR="00CC02C9" w:rsidRPr="00215B3D">
        <w:rPr>
          <w:rFonts w:ascii="Segoe UI" w:hAnsi="Segoe UI" w:cs="Segoe UI"/>
          <w:sz w:val="24"/>
          <w:szCs w:val="26"/>
        </w:rPr>
        <w:t>excéden</w:t>
      </w:r>
      <w:r w:rsidR="00452D91" w:rsidRPr="00215B3D">
        <w:rPr>
          <w:rFonts w:ascii="Segoe UI" w:hAnsi="Segoe UI" w:cs="Segoe UI"/>
          <w:sz w:val="24"/>
          <w:szCs w:val="26"/>
        </w:rPr>
        <w:t>t</w:t>
      </w:r>
      <w:r w:rsidR="002106C3" w:rsidRPr="00215B3D">
        <w:rPr>
          <w:rFonts w:ascii="Segoe UI" w:hAnsi="Segoe UI" w:cs="Segoe UI"/>
          <w:sz w:val="24"/>
          <w:szCs w:val="26"/>
        </w:rPr>
        <w:t xml:space="preserve">aire d’un montant de </w:t>
      </w:r>
      <w:r w:rsidR="009C4094">
        <w:rPr>
          <w:rFonts w:ascii="Segoe UI" w:hAnsi="Segoe UI" w:cs="Segoe UI"/>
          <w:b/>
          <w:sz w:val="24"/>
          <w:szCs w:val="26"/>
        </w:rPr>
        <w:t xml:space="preserve">244 331,2 </w:t>
      </w:r>
      <w:r w:rsidRPr="00215B3D">
        <w:rPr>
          <w:rFonts w:ascii="Segoe UI" w:hAnsi="Segoe UI" w:cs="Segoe UI"/>
          <w:b/>
          <w:sz w:val="24"/>
          <w:szCs w:val="26"/>
        </w:rPr>
        <w:t>millions de FCFA</w:t>
      </w:r>
      <w:r w:rsidR="00D16536" w:rsidRPr="00215B3D">
        <w:rPr>
          <w:rFonts w:ascii="Segoe UI" w:hAnsi="Segoe UI" w:cs="Segoe UI"/>
          <w:sz w:val="24"/>
          <w:szCs w:val="26"/>
        </w:rPr>
        <w:t xml:space="preserve">. </w:t>
      </w:r>
      <w:bookmarkEnd w:id="60"/>
    </w:p>
    <w:p w:rsidR="00F74F42" w:rsidRPr="00215B3D" w:rsidRDefault="00D16536" w:rsidP="00670540">
      <w:pPr>
        <w:spacing w:after="0" w:line="360" w:lineRule="auto"/>
        <w:jc w:val="both"/>
        <w:rPr>
          <w:rFonts w:ascii="Segoe UI" w:hAnsi="Segoe UI" w:cs="Segoe UI"/>
          <w:sz w:val="24"/>
          <w:szCs w:val="24"/>
        </w:rPr>
      </w:pPr>
      <w:r w:rsidRPr="00215B3D">
        <w:rPr>
          <w:rFonts w:ascii="Segoe UI" w:hAnsi="Segoe UI" w:cs="Segoe UI"/>
          <w:sz w:val="24"/>
          <w:szCs w:val="24"/>
        </w:rPr>
        <w:t xml:space="preserve">Le tableau </w:t>
      </w:r>
      <w:r w:rsidR="00434815">
        <w:rPr>
          <w:rFonts w:ascii="Segoe UI" w:hAnsi="Segoe UI" w:cs="Segoe UI"/>
          <w:sz w:val="24"/>
          <w:szCs w:val="24"/>
        </w:rPr>
        <w:t xml:space="preserve">de </w:t>
      </w:r>
      <w:r w:rsidR="00BB29B0" w:rsidRPr="00215B3D">
        <w:rPr>
          <w:rFonts w:ascii="Segoe UI" w:hAnsi="Segoe UI" w:cs="Segoe UI"/>
          <w:sz w:val="24"/>
          <w:szCs w:val="24"/>
        </w:rPr>
        <w:t xml:space="preserve">financement </w:t>
      </w:r>
      <w:r w:rsidR="00854A77" w:rsidRPr="00215B3D">
        <w:rPr>
          <w:rFonts w:ascii="Segoe UI" w:hAnsi="Segoe UI" w:cs="Segoe UI"/>
          <w:sz w:val="24"/>
          <w:szCs w:val="24"/>
        </w:rPr>
        <w:t>de l’</w:t>
      </w:r>
      <w:r w:rsidR="00BB29B0" w:rsidRPr="00215B3D">
        <w:rPr>
          <w:rFonts w:ascii="Segoe UI" w:hAnsi="Segoe UI" w:cs="Segoe UI"/>
          <w:sz w:val="24"/>
          <w:szCs w:val="24"/>
        </w:rPr>
        <w:t>exécution de la loi de finances pour la gestion 201</w:t>
      </w:r>
      <w:r w:rsidR="00957CBC" w:rsidRPr="00215B3D">
        <w:rPr>
          <w:rFonts w:ascii="Segoe UI" w:hAnsi="Segoe UI" w:cs="Segoe UI"/>
          <w:sz w:val="24"/>
          <w:szCs w:val="24"/>
        </w:rPr>
        <w:t>7</w:t>
      </w:r>
      <w:r w:rsidR="00434815">
        <w:rPr>
          <w:rFonts w:ascii="Segoe UI" w:hAnsi="Segoe UI" w:cs="Segoe UI"/>
          <w:sz w:val="24"/>
          <w:szCs w:val="24"/>
        </w:rPr>
        <w:t>, à fin juin, se présente comme ci-dessous :</w:t>
      </w:r>
    </w:p>
    <w:p w:rsidR="0054226A" w:rsidRDefault="0054226A" w:rsidP="00670540">
      <w:pPr>
        <w:spacing w:after="0" w:line="360" w:lineRule="auto"/>
        <w:jc w:val="both"/>
        <w:rPr>
          <w:rFonts w:ascii="Segoe UI" w:hAnsi="Segoe UI" w:cs="Segoe UI"/>
          <w:sz w:val="24"/>
          <w:szCs w:val="24"/>
        </w:rPr>
      </w:pPr>
    </w:p>
    <w:p w:rsidR="005C5EDA" w:rsidRDefault="005C5EDA" w:rsidP="00670540">
      <w:pPr>
        <w:spacing w:after="0" w:line="360" w:lineRule="auto"/>
        <w:jc w:val="both"/>
        <w:rPr>
          <w:rFonts w:ascii="Segoe UI" w:hAnsi="Segoe UI" w:cs="Segoe UI"/>
          <w:sz w:val="24"/>
          <w:szCs w:val="24"/>
        </w:rPr>
      </w:pPr>
    </w:p>
    <w:p w:rsidR="005C5EDA" w:rsidRDefault="005C5EDA"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7E3BE0" w:rsidRDefault="007E3BE0" w:rsidP="00670540">
      <w:pPr>
        <w:spacing w:after="0" w:line="360" w:lineRule="auto"/>
        <w:jc w:val="both"/>
        <w:rPr>
          <w:rFonts w:ascii="Segoe UI" w:hAnsi="Segoe UI" w:cs="Segoe UI"/>
          <w:sz w:val="24"/>
          <w:szCs w:val="24"/>
        </w:rPr>
      </w:pPr>
    </w:p>
    <w:p w:rsidR="006B36EE" w:rsidRDefault="006B36EE" w:rsidP="0091728A">
      <w:pPr>
        <w:pStyle w:val="Listedestableaux"/>
        <w:spacing w:line="240" w:lineRule="auto"/>
        <w:ind w:left="0"/>
        <w:rPr>
          <w:rFonts w:ascii="Segoe UI" w:hAnsi="Segoe UI" w:cs="Segoe UI"/>
          <w:u w:val="single"/>
        </w:rPr>
      </w:pPr>
    </w:p>
    <w:p w:rsidR="0034545C" w:rsidRPr="00215B3D" w:rsidRDefault="0034545C" w:rsidP="0091728A">
      <w:pPr>
        <w:pStyle w:val="Listedestableaux"/>
        <w:spacing w:line="240" w:lineRule="auto"/>
        <w:ind w:left="0"/>
        <w:rPr>
          <w:rFonts w:ascii="Segoe UI" w:hAnsi="Segoe UI" w:cs="Segoe UI"/>
        </w:rPr>
      </w:pPr>
      <w:bookmarkStart w:id="61" w:name="_Toc495935949"/>
      <w:r w:rsidRPr="00215B3D">
        <w:rPr>
          <w:rFonts w:ascii="Segoe UI" w:hAnsi="Segoe UI" w:cs="Segoe UI"/>
          <w:u w:val="single"/>
        </w:rPr>
        <w:lastRenderedPageBreak/>
        <w:t xml:space="preserve">Tableau  </w:t>
      </w:r>
      <w:r w:rsidR="00885D9F" w:rsidRPr="00215B3D">
        <w:rPr>
          <w:rFonts w:ascii="Segoe UI" w:hAnsi="Segoe UI" w:cs="Segoe UI"/>
          <w:u w:val="single"/>
        </w:rPr>
        <w:t>1</w:t>
      </w:r>
      <w:r w:rsidR="007D4B67">
        <w:rPr>
          <w:rFonts w:ascii="Segoe UI" w:hAnsi="Segoe UI" w:cs="Segoe UI"/>
          <w:u w:val="single"/>
        </w:rPr>
        <w:t>2</w:t>
      </w:r>
      <w:r w:rsidR="00E6680E" w:rsidRPr="00215B3D">
        <w:rPr>
          <w:rFonts w:ascii="Segoe UI" w:hAnsi="Segoe UI" w:cs="Segoe UI"/>
        </w:rPr>
        <w:t> :</w:t>
      </w:r>
      <w:r w:rsidR="00AF6A61" w:rsidRPr="00215B3D">
        <w:rPr>
          <w:rFonts w:ascii="Segoe UI" w:hAnsi="Segoe UI" w:cs="Segoe UI"/>
        </w:rPr>
        <w:t xml:space="preserve"> </w:t>
      </w:r>
      <w:r w:rsidR="00885D9F" w:rsidRPr="00215B3D">
        <w:rPr>
          <w:rFonts w:ascii="Segoe UI" w:hAnsi="Segoe UI" w:cs="Segoe UI"/>
        </w:rPr>
        <w:t>Tableau de financement d’exécution de la loi de finance</w:t>
      </w:r>
      <w:r w:rsidR="009B3D97" w:rsidRPr="00215B3D">
        <w:rPr>
          <w:rFonts w:ascii="Segoe UI" w:hAnsi="Segoe UI" w:cs="Segoe UI"/>
        </w:rPr>
        <w:t>s</w:t>
      </w:r>
      <w:r w:rsidR="00885D9F" w:rsidRPr="00215B3D">
        <w:rPr>
          <w:rFonts w:ascii="Segoe UI" w:hAnsi="Segoe UI" w:cs="Segoe UI"/>
        </w:rPr>
        <w:t xml:space="preserve"> pour la gestion 201</w:t>
      </w:r>
      <w:r w:rsidR="00D627F0" w:rsidRPr="00215B3D">
        <w:rPr>
          <w:rFonts w:ascii="Segoe UI" w:hAnsi="Segoe UI" w:cs="Segoe UI"/>
        </w:rPr>
        <w:t>7</w:t>
      </w:r>
      <w:r w:rsidR="00885D9F" w:rsidRPr="00215B3D">
        <w:rPr>
          <w:rFonts w:ascii="Segoe UI" w:hAnsi="Segoe UI" w:cs="Segoe UI"/>
        </w:rPr>
        <w:t xml:space="preserve"> </w:t>
      </w:r>
      <w:r w:rsidRPr="00215B3D">
        <w:rPr>
          <w:rFonts w:ascii="Segoe UI" w:hAnsi="Segoe UI" w:cs="Segoe UI"/>
        </w:rPr>
        <w:t xml:space="preserve">à fin </w:t>
      </w:r>
      <w:r w:rsidR="00D627F0" w:rsidRPr="00215B3D">
        <w:rPr>
          <w:rFonts w:ascii="Segoe UI" w:hAnsi="Segoe UI" w:cs="Segoe UI"/>
        </w:rPr>
        <w:t>juin.</w:t>
      </w:r>
      <w:bookmarkEnd w:id="61"/>
    </w:p>
    <w:p w:rsidR="008E6E93" w:rsidRPr="00215B3D" w:rsidRDefault="008E6E93" w:rsidP="003F0A5C">
      <w:pPr>
        <w:pStyle w:val="Listedestableaux"/>
        <w:spacing w:line="240" w:lineRule="auto"/>
        <w:rPr>
          <w:rFonts w:ascii="Segoe UI" w:hAnsi="Segoe UI" w:cs="Segoe UI"/>
        </w:rPr>
      </w:pPr>
    </w:p>
    <w:p w:rsidR="003F0A5C" w:rsidRPr="00215B3D" w:rsidRDefault="003F0A5C" w:rsidP="003F0A5C">
      <w:pPr>
        <w:pStyle w:val="Listedestableaux"/>
        <w:spacing w:line="240" w:lineRule="auto"/>
        <w:rPr>
          <w:rFonts w:ascii="Segoe UI" w:hAnsi="Segoe UI" w:cs="Segoe UI"/>
          <w:sz w:val="16"/>
          <w:szCs w:val="16"/>
          <w:u w:val="single"/>
        </w:rPr>
      </w:pPr>
    </w:p>
    <w:tbl>
      <w:tblPr>
        <w:tblW w:w="10560" w:type="dxa"/>
        <w:jc w:val="center"/>
        <w:tblCellMar>
          <w:left w:w="70" w:type="dxa"/>
          <w:right w:w="70" w:type="dxa"/>
        </w:tblCellMar>
        <w:tblLook w:val="04A0" w:firstRow="1" w:lastRow="0" w:firstColumn="1" w:lastColumn="0" w:noHBand="0" w:noVBand="1"/>
      </w:tblPr>
      <w:tblGrid>
        <w:gridCol w:w="6560"/>
        <w:gridCol w:w="4000"/>
      </w:tblGrid>
      <w:tr w:rsidR="00FA511D" w:rsidRPr="00215B3D" w:rsidTr="00FA511D">
        <w:trPr>
          <w:trHeight w:val="396"/>
          <w:jc w:val="center"/>
        </w:trPr>
        <w:tc>
          <w:tcPr>
            <w:tcW w:w="6560" w:type="dxa"/>
            <w:tcBorders>
              <w:top w:val="single" w:sz="8" w:space="0" w:color="auto"/>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jc w:val="center"/>
              <w:rPr>
                <w:rFonts w:ascii="Segoe UI" w:hAnsi="Segoe UI" w:cs="Segoe UI"/>
                <w:b/>
                <w:bCs/>
                <w:color w:val="000000"/>
                <w:sz w:val="24"/>
                <w:szCs w:val="24"/>
              </w:rPr>
            </w:pPr>
            <w:r w:rsidRPr="00215B3D">
              <w:rPr>
                <w:rFonts w:ascii="Segoe UI" w:hAnsi="Segoe UI" w:cs="Segoe UI"/>
                <w:b/>
                <w:bCs/>
                <w:color w:val="000000"/>
                <w:sz w:val="24"/>
                <w:szCs w:val="24"/>
              </w:rPr>
              <w:t>Eléments</w:t>
            </w:r>
          </w:p>
        </w:tc>
        <w:tc>
          <w:tcPr>
            <w:tcW w:w="4000" w:type="dxa"/>
            <w:tcBorders>
              <w:top w:val="single" w:sz="8" w:space="0" w:color="auto"/>
              <w:left w:val="nil"/>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b/>
                <w:bCs/>
                <w:color w:val="000000"/>
                <w:sz w:val="24"/>
                <w:szCs w:val="24"/>
              </w:rPr>
            </w:pPr>
            <w:r w:rsidRPr="00215B3D">
              <w:rPr>
                <w:rFonts w:ascii="Segoe UI" w:hAnsi="Segoe UI" w:cs="Segoe UI"/>
                <w:b/>
                <w:bCs/>
                <w:color w:val="000000"/>
                <w:sz w:val="24"/>
                <w:szCs w:val="24"/>
              </w:rPr>
              <w:t>Montant (en millions de FCFA</w:t>
            </w:r>
            <w:r w:rsidRPr="00215B3D">
              <w:rPr>
                <w:rFonts w:ascii="Segoe UI" w:hAnsi="Segoe UI" w:cs="Segoe UI"/>
                <w:color w:val="000000"/>
                <w:sz w:val="24"/>
                <w:szCs w:val="24"/>
              </w:rPr>
              <w:t>)</w:t>
            </w:r>
          </w:p>
        </w:tc>
      </w:tr>
      <w:tr w:rsidR="00AD698E" w:rsidRPr="00215B3D" w:rsidTr="00FA511D">
        <w:trPr>
          <w:trHeight w:val="396"/>
          <w:jc w:val="center"/>
        </w:trPr>
        <w:tc>
          <w:tcPr>
            <w:tcW w:w="6560" w:type="dxa"/>
            <w:tcBorders>
              <w:top w:val="nil"/>
              <w:left w:val="single" w:sz="8" w:space="0" w:color="auto"/>
              <w:bottom w:val="single" w:sz="8" w:space="0" w:color="auto"/>
              <w:right w:val="nil"/>
            </w:tcBorders>
            <w:noWrap/>
            <w:vAlign w:val="center"/>
          </w:tcPr>
          <w:p w:rsidR="00AD698E" w:rsidRDefault="00AD698E" w:rsidP="00FA511D">
            <w:pPr>
              <w:spacing w:after="0" w:line="240" w:lineRule="auto"/>
              <w:rPr>
                <w:rFonts w:ascii="Segoe UI" w:hAnsi="Segoe UI" w:cs="Segoe UI"/>
                <w:b/>
                <w:bCs/>
                <w:color w:val="000000"/>
                <w:sz w:val="24"/>
                <w:szCs w:val="24"/>
              </w:rPr>
            </w:pPr>
            <w:r>
              <w:rPr>
                <w:rFonts w:ascii="Segoe UI" w:hAnsi="Segoe UI" w:cs="Segoe UI"/>
                <w:b/>
                <w:bCs/>
                <w:color w:val="000000"/>
                <w:sz w:val="24"/>
                <w:szCs w:val="24"/>
              </w:rPr>
              <w:t>Besoins de financement</w:t>
            </w:r>
          </w:p>
        </w:tc>
        <w:tc>
          <w:tcPr>
            <w:tcW w:w="4000" w:type="dxa"/>
            <w:tcBorders>
              <w:top w:val="nil"/>
              <w:left w:val="single" w:sz="8" w:space="0" w:color="auto"/>
              <w:bottom w:val="single" w:sz="8" w:space="0" w:color="auto"/>
              <w:right w:val="single" w:sz="8" w:space="0" w:color="auto"/>
            </w:tcBorders>
            <w:noWrap/>
            <w:vAlign w:val="center"/>
          </w:tcPr>
          <w:p w:rsidR="00AD698E" w:rsidRPr="00215B3D" w:rsidRDefault="00AD698E" w:rsidP="009C4094">
            <w:pPr>
              <w:spacing w:after="0" w:line="240" w:lineRule="auto"/>
              <w:jc w:val="right"/>
              <w:rPr>
                <w:rFonts w:ascii="Segoe UI" w:hAnsi="Segoe UI" w:cs="Segoe UI"/>
                <w:b/>
                <w:bCs/>
                <w:color w:val="000000"/>
                <w:sz w:val="24"/>
                <w:szCs w:val="24"/>
              </w:rPr>
            </w:pPr>
            <w:r>
              <w:rPr>
                <w:rFonts w:ascii="Segoe UI" w:hAnsi="Segoe UI" w:cs="Segoe UI"/>
                <w:b/>
                <w:bCs/>
                <w:color w:val="000000"/>
                <w:sz w:val="24"/>
                <w:szCs w:val="24"/>
              </w:rPr>
              <w:t>302 238,2</w:t>
            </w:r>
          </w:p>
        </w:tc>
      </w:tr>
      <w:tr w:rsidR="00FA511D" w:rsidRPr="00215B3D" w:rsidTr="00FA511D">
        <w:trPr>
          <w:trHeight w:val="396"/>
          <w:jc w:val="center"/>
        </w:trPr>
        <w:tc>
          <w:tcPr>
            <w:tcW w:w="6560" w:type="dxa"/>
            <w:tcBorders>
              <w:top w:val="nil"/>
              <w:left w:val="single" w:sz="8" w:space="0" w:color="auto"/>
              <w:bottom w:val="single" w:sz="8" w:space="0" w:color="auto"/>
              <w:right w:val="nil"/>
            </w:tcBorders>
            <w:noWrap/>
            <w:vAlign w:val="center"/>
            <w:hideMark/>
          </w:tcPr>
          <w:p w:rsidR="00FA511D" w:rsidRPr="00215B3D" w:rsidRDefault="00AD698E" w:rsidP="00FA511D">
            <w:pPr>
              <w:spacing w:after="0" w:line="240" w:lineRule="auto"/>
              <w:rPr>
                <w:rFonts w:ascii="Segoe UI" w:hAnsi="Segoe UI" w:cs="Segoe UI"/>
                <w:b/>
                <w:bCs/>
                <w:color w:val="000000"/>
                <w:sz w:val="24"/>
                <w:szCs w:val="24"/>
              </w:rPr>
            </w:pPr>
            <w:r>
              <w:rPr>
                <w:rFonts w:ascii="Segoe UI" w:hAnsi="Segoe UI" w:cs="Segoe UI"/>
                <w:b/>
                <w:bCs/>
                <w:color w:val="000000"/>
                <w:sz w:val="24"/>
                <w:szCs w:val="24"/>
              </w:rPr>
              <w:t>Charges de trésorerie</w:t>
            </w:r>
          </w:p>
        </w:tc>
        <w:tc>
          <w:tcPr>
            <w:tcW w:w="4000" w:type="dxa"/>
            <w:tcBorders>
              <w:top w:val="nil"/>
              <w:left w:val="single" w:sz="8" w:space="0" w:color="auto"/>
              <w:bottom w:val="single" w:sz="8" w:space="0" w:color="auto"/>
              <w:right w:val="single" w:sz="8" w:space="0" w:color="auto"/>
            </w:tcBorders>
            <w:noWrap/>
            <w:vAlign w:val="center"/>
            <w:hideMark/>
          </w:tcPr>
          <w:p w:rsidR="00FA511D" w:rsidRPr="00215B3D" w:rsidRDefault="00B801AC" w:rsidP="009C4094">
            <w:pPr>
              <w:spacing w:after="0" w:line="240" w:lineRule="auto"/>
              <w:jc w:val="right"/>
              <w:rPr>
                <w:rFonts w:ascii="Segoe UI" w:hAnsi="Segoe UI" w:cs="Segoe UI"/>
                <w:b/>
                <w:bCs/>
                <w:color w:val="000000"/>
                <w:sz w:val="24"/>
                <w:szCs w:val="24"/>
              </w:rPr>
            </w:pPr>
            <w:r w:rsidRPr="00215B3D">
              <w:rPr>
                <w:rFonts w:ascii="Segoe UI" w:hAnsi="Segoe UI" w:cs="Segoe UI"/>
                <w:b/>
                <w:bCs/>
                <w:color w:val="000000"/>
                <w:sz w:val="24"/>
                <w:szCs w:val="24"/>
              </w:rPr>
              <w:t>2</w:t>
            </w:r>
            <w:r w:rsidR="009C4094">
              <w:rPr>
                <w:rFonts w:ascii="Segoe UI" w:hAnsi="Segoe UI" w:cs="Segoe UI"/>
                <w:b/>
                <w:bCs/>
                <w:color w:val="000000"/>
                <w:sz w:val="24"/>
                <w:szCs w:val="24"/>
              </w:rPr>
              <w:t>05</w:t>
            </w:r>
            <w:r w:rsidR="00003688">
              <w:rPr>
                <w:rFonts w:ascii="Segoe UI" w:hAnsi="Segoe UI" w:cs="Segoe UI"/>
                <w:b/>
                <w:bCs/>
                <w:color w:val="000000"/>
                <w:sz w:val="24"/>
                <w:szCs w:val="24"/>
              </w:rPr>
              <w:t xml:space="preserve"> </w:t>
            </w:r>
            <w:r w:rsidR="009C4094">
              <w:rPr>
                <w:rFonts w:ascii="Segoe UI" w:hAnsi="Segoe UI" w:cs="Segoe UI"/>
                <w:b/>
                <w:bCs/>
                <w:color w:val="000000"/>
                <w:sz w:val="24"/>
                <w:szCs w:val="24"/>
              </w:rPr>
              <w:t>206</w:t>
            </w:r>
            <w:r w:rsidRPr="00215B3D">
              <w:rPr>
                <w:rFonts w:ascii="Segoe UI" w:hAnsi="Segoe UI" w:cs="Segoe UI"/>
                <w:b/>
                <w:bCs/>
                <w:color w:val="000000"/>
                <w:sz w:val="24"/>
                <w:szCs w:val="24"/>
              </w:rPr>
              <w:t>,</w:t>
            </w:r>
            <w:r w:rsidR="009C4094">
              <w:rPr>
                <w:rFonts w:ascii="Segoe UI" w:hAnsi="Segoe UI" w:cs="Segoe UI"/>
                <w:b/>
                <w:bCs/>
                <w:color w:val="000000"/>
                <w:sz w:val="24"/>
                <w:szCs w:val="24"/>
              </w:rPr>
              <w:t>2</w:t>
            </w:r>
          </w:p>
        </w:tc>
      </w:tr>
      <w:tr w:rsidR="00FA511D" w:rsidRPr="00215B3D" w:rsidTr="00FA511D">
        <w:trPr>
          <w:trHeight w:val="396"/>
          <w:jc w:val="center"/>
        </w:trPr>
        <w:tc>
          <w:tcPr>
            <w:tcW w:w="6560" w:type="dxa"/>
            <w:tcBorders>
              <w:top w:val="nil"/>
              <w:left w:val="single" w:sz="8" w:space="0" w:color="auto"/>
              <w:bottom w:val="single" w:sz="8" w:space="0" w:color="auto"/>
              <w:right w:val="nil"/>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bCs/>
                <w:color w:val="000000"/>
                <w:sz w:val="24"/>
                <w:szCs w:val="24"/>
              </w:rPr>
              <w:t>1- Prêts et avances</w:t>
            </w:r>
          </w:p>
        </w:tc>
        <w:tc>
          <w:tcPr>
            <w:tcW w:w="4000" w:type="dxa"/>
            <w:tcBorders>
              <w:top w:val="nil"/>
              <w:left w:val="single" w:sz="8" w:space="0" w:color="auto"/>
              <w:bottom w:val="single" w:sz="8" w:space="0" w:color="auto"/>
              <w:right w:val="single" w:sz="8" w:space="0" w:color="auto"/>
            </w:tcBorders>
            <w:noWrap/>
            <w:vAlign w:val="center"/>
            <w:hideMark/>
          </w:tcPr>
          <w:p w:rsidR="00FA511D" w:rsidRPr="00215B3D" w:rsidRDefault="00FA41EA" w:rsidP="00FA511D">
            <w:pPr>
              <w:spacing w:after="0" w:line="240" w:lineRule="auto"/>
              <w:jc w:val="right"/>
              <w:rPr>
                <w:rFonts w:ascii="Segoe UI" w:hAnsi="Segoe UI" w:cs="Segoe UI"/>
                <w:color w:val="000000"/>
                <w:sz w:val="24"/>
                <w:szCs w:val="24"/>
              </w:rPr>
            </w:pPr>
            <w:r w:rsidRPr="00215B3D">
              <w:rPr>
                <w:rFonts w:ascii="Segoe UI" w:hAnsi="Segoe UI" w:cs="Segoe UI"/>
                <w:bCs/>
                <w:color w:val="000000"/>
                <w:sz w:val="24"/>
                <w:szCs w:val="24"/>
              </w:rPr>
              <w:t>18,</w:t>
            </w:r>
            <w:r w:rsidR="00FA511D" w:rsidRPr="00215B3D">
              <w:rPr>
                <w:rFonts w:ascii="Segoe UI" w:hAnsi="Segoe UI" w:cs="Segoe UI"/>
                <w:bCs/>
                <w:color w:val="000000"/>
                <w:sz w:val="24"/>
                <w:szCs w:val="24"/>
              </w:rPr>
              <w:t>0</w:t>
            </w:r>
          </w:p>
        </w:tc>
      </w:tr>
      <w:tr w:rsidR="00FA511D" w:rsidRPr="00215B3D" w:rsidTr="00FA511D">
        <w:trPr>
          <w:trHeight w:val="396"/>
          <w:jc w:val="center"/>
        </w:trPr>
        <w:tc>
          <w:tcPr>
            <w:tcW w:w="6560" w:type="dxa"/>
            <w:tcBorders>
              <w:top w:val="nil"/>
              <w:left w:val="single" w:sz="8" w:space="0" w:color="auto"/>
              <w:bottom w:val="single" w:sz="8" w:space="0" w:color="auto"/>
              <w:right w:val="nil"/>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2-Amortissement emprunts obligataires</w:t>
            </w:r>
          </w:p>
        </w:tc>
        <w:tc>
          <w:tcPr>
            <w:tcW w:w="4000" w:type="dxa"/>
            <w:tcBorders>
              <w:top w:val="nil"/>
              <w:left w:val="single" w:sz="8" w:space="0" w:color="auto"/>
              <w:bottom w:val="single" w:sz="8" w:space="0" w:color="auto"/>
              <w:right w:val="single" w:sz="8" w:space="0" w:color="auto"/>
            </w:tcBorders>
            <w:noWrap/>
            <w:vAlign w:val="center"/>
            <w:hideMark/>
          </w:tcPr>
          <w:p w:rsidR="00FA511D" w:rsidRPr="00215B3D" w:rsidRDefault="00345567" w:rsidP="00FA41EA">
            <w:pPr>
              <w:spacing w:after="0" w:line="240" w:lineRule="auto"/>
              <w:jc w:val="right"/>
              <w:rPr>
                <w:rFonts w:ascii="Segoe UI" w:hAnsi="Segoe UI" w:cs="Segoe UI"/>
                <w:color w:val="000000"/>
                <w:sz w:val="24"/>
                <w:szCs w:val="24"/>
              </w:rPr>
            </w:pPr>
            <w:r>
              <w:rPr>
                <w:rFonts w:ascii="Segoe UI" w:hAnsi="Segoe UI" w:cs="Segoe UI"/>
                <w:bCs/>
                <w:color w:val="000000"/>
                <w:sz w:val="24"/>
                <w:szCs w:val="24"/>
              </w:rPr>
              <w:t>0</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3-Amortissement tirages FMI</w:t>
            </w:r>
          </w:p>
        </w:tc>
        <w:tc>
          <w:tcPr>
            <w:tcW w:w="4000" w:type="dxa"/>
            <w:tcBorders>
              <w:top w:val="nil"/>
              <w:left w:val="nil"/>
              <w:bottom w:val="single" w:sz="8" w:space="0" w:color="auto"/>
              <w:right w:val="single" w:sz="8" w:space="0" w:color="auto"/>
            </w:tcBorders>
            <w:noWrap/>
            <w:vAlign w:val="center"/>
            <w:hideMark/>
          </w:tcPr>
          <w:p w:rsidR="00FA511D" w:rsidRPr="00215B3D" w:rsidRDefault="00FA41EA" w:rsidP="00FA41EA">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4 037,4</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4-Amortissement Bons du Trésor</w:t>
            </w:r>
          </w:p>
        </w:tc>
        <w:tc>
          <w:tcPr>
            <w:tcW w:w="4000" w:type="dxa"/>
            <w:tcBorders>
              <w:top w:val="nil"/>
              <w:left w:val="nil"/>
              <w:bottom w:val="single" w:sz="8" w:space="0" w:color="auto"/>
              <w:right w:val="single" w:sz="8" w:space="0" w:color="auto"/>
            </w:tcBorders>
            <w:noWrap/>
            <w:vAlign w:val="center"/>
            <w:hideMark/>
          </w:tcPr>
          <w:p w:rsidR="00FA511D" w:rsidRPr="00215B3D" w:rsidRDefault="00FA41EA" w:rsidP="00FA41EA">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141 250,0</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5- Amortissement des emprunts extérieurs</w:t>
            </w:r>
          </w:p>
        </w:tc>
        <w:tc>
          <w:tcPr>
            <w:tcW w:w="4000" w:type="dxa"/>
            <w:tcBorders>
              <w:top w:val="nil"/>
              <w:left w:val="nil"/>
              <w:bottom w:val="single" w:sz="8" w:space="0" w:color="auto"/>
              <w:right w:val="single" w:sz="8" w:space="0" w:color="auto"/>
            </w:tcBorders>
            <w:noWrap/>
            <w:vAlign w:val="center"/>
            <w:hideMark/>
          </w:tcPr>
          <w:p w:rsidR="00FA511D" w:rsidRPr="00215B3D" w:rsidRDefault="00B801AC" w:rsidP="00FA511D">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32 511,4</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9C4094">
            <w:pPr>
              <w:spacing w:after="0" w:line="240" w:lineRule="auto"/>
              <w:rPr>
                <w:rFonts w:ascii="Segoe UI" w:hAnsi="Segoe UI" w:cs="Segoe UI"/>
                <w:color w:val="000000"/>
                <w:sz w:val="24"/>
                <w:szCs w:val="24"/>
              </w:rPr>
            </w:pPr>
            <w:r w:rsidRPr="00215B3D">
              <w:rPr>
                <w:rFonts w:ascii="Segoe UI" w:hAnsi="Segoe UI" w:cs="Segoe UI"/>
                <w:color w:val="000000"/>
                <w:sz w:val="24"/>
                <w:szCs w:val="24"/>
              </w:rPr>
              <w:t>6-</w:t>
            </w:r>
            <w:r w:rsidR="009C4094">
              <w:rPr>
                <w:rFonts w:ascii="Segoe UI" w:hAnsi="Segoe UI" w:cs="Segoe UI"/>
                <w:color w:val="000000"/>
                <w:sz w:val="24"/>
                <w:szCs w:val="24"/>
              </w:rPr>
              <w:t>variation des instances de paiement</w:t>
            </w:r>
          </w:p>
        </w:tc>
        <w:tc>
          <w:tcPr>
            <w:tcW w:w="4000" w:type="dxa"/>
            <w:tcBorders>
              <w:top w:val="nil"/>
              <w:left w:val="nil"/>
              <w:bottom w:val="single" w:sz="8" w:space="0" w:color="auto"/>
              <w:right w:val="single" w:sz="8" w:space="0" w:color="auto"/>
            </w:tcBorders>
            <w:noWrap/>
            <w:vAlign w:val="center"/>
            <w:hideMark/>
          </w:tcPr>
          <w:p w:rsidR="00FA511D" w:rsidRPr="00215B3D" w:rsidRDefault="009C4094" w:rsidP="00FA41EA">
            <w:pPr>
              <w:spacing w:after="0" w:line="240" w:lineRule="auto"/>
              <w:jc w:val="right"/>
              <w:rPr>
                <w:rFonts w:ascii="Segoe UI" w:hAnsi="Segoe UI" w:cs="Segoe UI"/>
                <w:color w:val="000000"/>
                <w:sz w:val="24"/>
                <w:szCs w:val="24"/>
              </w:rPr>
            </w:pPr>
            <w:r>
              <w:rPr>
                <w:rFonts w:ascii="Segoe UI" w:hAnsi="Segoe UI" w:cs="Segoe UI"/>
              </w:rPr>
              <w:t>12 487</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7- Amortissement des emprunts banques locales</w:t>
            </w:r>
          </w:p>
        </w:tc>
        <w:tc>
          <w:tcPr>
            <w:tcW w:w="4000" w:type="dxa"/>
            <w:tcBorders>
              <w:top w:val="nil"/>
              <w:left w:val="nil"/>
              <w:bottom w:val="single" w:sz="8" w:space="0" w:color="auto"/>
              <w:right w:val="single" w:sz="8" w:space="0" w:color="auto"/>
            </w:tcBorders>
            <w:noWrap/>
            <w:vAlign w:val="center"/>
            <w:hideMark/>
          </w:tcPr>
          <w:p w:rsidR="00FA511D" w:rsidRPr="00215B3D" w:rsidRDefault="00B801AC" w:rsidP="00FA511D">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11 422,4</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sz w:val="24"/>
                <w:szCs w:val="24"/>
              </w:rPr>
            </w:pPr>
            <w:r w:rsidRPr="00215B3D">
              <w:rPr>
                <w:rFonts w:ascii="Segoe UI" w:hAnsi="Segoe UI" w:cs="Segoe UI"/>
                <w:sz w:val="24"/>
                <w:szCs w:val="24"/>
              </w:rPr>
              <w:t>8-Autres charges de trésorerie</w:t>
            </w:r>
          </w:p>
        </w:tc>
        <w:tc>
          <w:tcPr>
            <w:tcW w:w="4000" w:type="dxa"/>
            <w:tcBorders>
              <w:top w:val="nil"/>
              <w:left w:val="nil"/>
              <w:bottom w:val="single" w:sz="8" w:space="0" w:color="auto"/>
              <w:right w:val="single" w:sz="8" w:space="0" w:color="auto"/>
            </w:tcBorders>
            <w:noWrap/>
            <w:vAlign w:val="center"/>
            <w:hideMark/>
          </w:tcPr>
          <w:p w:rsidR="00FA511D" w:rsidRPr="00215B3D" w:rsidRDefault="00FA41EA" w:rsidP="00FA41EA">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3 480,0</w:t>
            </w:r>
          </w:p>
        </w:tc>
      </w:tr>
      <w:tr w:rsidR="00FA511D" w:rsidRPr="00215B3D" w:rsidTr="00FA511D">
        <w:trPr>
          <w:trHeight w:val="312"/>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0"/>
                <w:szCs w:val="20"/>
              </w:rPr>
            </w:pPr>
            <w:r w:rsidRPr="00215B3D">
              <w:rPr>
                <w:rFonts w:ascii="Segoe UI" w:hAnsi="Segoe UI" w:cs="Segoe UI"/>
                <w:i/>
                <w:iCs/>
                <w:color w:val="000000"/>
                <w:sz w:val="20"/>
                <w:szCs w:val="20"/>
              </w:rPr>
              <w:t xml:space="preserve">      Indemnités de vacation des enseignants</w:t>
            </w:r>
          </w:p>
        </w:tc>
        <w:tc>
          <w:tcPr>
            <w:tcW w:w="4000" w:type="dxa"/>
            <w:tcBorders>
              <w:top w:val="nil"/>
              <w:left w:val="nil"/>
              <w:bottom w:val="single" w:sz="8" w:space="0" w:color="auto"/>
              <w:right w:val="single" w:sz="8" w:space="0" w:color="auto"/>
            </w:tcBorders>
            <w:noWrap/>
            <w:vAlign w:val="center"/>
            <w:hideMark/>
          </w:tcPr>
          <w:p w:rsidR="00FA511D" w:rsidRPr="00215B3D" w:rsidRDefault="00FA41EA" w:rsidP="00FA511D">
            <w:pPr>
              <w:spacing w:after="0" w:line="240" w:lineRule="auto"/>
              <w:jc w:val="center"/>
              <w:rPr>
                <w:rFonts w:ascii="Segoe UI" w:hAnsi="Segoe UI" w:cs="Segoe UI"/>
                <w:i/>
                <w:iCs/>
                <w:color w:val="000000"/>
                <w:sz w:val="20"/>
                <w:szCs w:val="20"/>
              </w:rPr>
            </w:pPr>
            <w:r w:rsidRPr="00215B3D">
              <w:rPr>
                <w:rFonts w:ascii="Segoe UI" w:hAnsi="Segoe UI" w:cs="Segoe UI"/>
                <w:i/>
                <w:iCs/>
                <w:color w:val="000000"/>
                <w:sz w:val="20"/>
                <w:szCs w:val="20"/>
              </w:rPr>
              <w:t xml:space="preserve">                                                          3 480,0</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6C31F0" w:rsidP="00592853">
            <w:pPr>
              <w:spacing w:after="0" w:line="240" w:lineRule="auto"/>
              <w:rPr>
                <w:rFonts w:ascii="Segoe UI" w:hAnsi="Segoe UI" w:cs="Segoe UI"/>
                <w:color w:val="000000"/>
                <w:sz w:val="24"/>
                <w:szCs w:val="24"/>
              </w:rPr>
            </w:pPr>
            <w:r w:rsidRPr="00215B3D">
              <w:rPr>
                <w:rFonts w:ascii="Segoe UI" w:hAnsi="Segoe UI" w:cs="Segoe UI"/>
                <w:color w:val="000000"/>
                <w:sz w:val="24"/>
                <w:szCs w:val="24"/>
              </w:rPr>
              <w:t>9</w:t>
            </w:r>
            <w:r w:rsidR="00FA511D" w:rsidRPr="00215B3D">
              <w:rPr>
                <w:rFonts w:ascii="Segoe UI" w:hAnsi="Segoe UI" w:cs="Segoe UI"/>
                <w:color w:val="000000"/>
                <w:sz w:val="24"/>
                <w:szCs w:val="24"/>
              </w:rPr>
              <w:t>-</w:t>
            </w:r>
            <w:r w:rsidR="00FA511D" w:rsidRPr="00215B3D">
              <w:rPr>
                <w:rFonts w:ascii="Segoe UI" w:hAnsi="Segoe UI" w:cs="Segoe UI"/>
                <w:b/>
                <w:bCs/>
                <w:color w:val="000000"/>
                <w:sz w:val="24"/>
                <w:szCs w:val="24"/>
              </w:rPr>
              <w:t xml:space="preserve"> Solde budgétaire </w:t>
            </w:r>
            <w:r w:rsidR="00592853" w:rsidRPr="00215B3D">
              <w:rPr>
                <w:rFonts w:ascii="Segoe UI" w:hAnsi="Segoe UI" w:cs="Segoe UI"/>
                <w:b/>
                <w:bCs/>
                <w:color w:val="000000"/>
                <w:sz w:val="24"/>
                <w:szCs w:val="24"/>
              </w:rPr>
              <w:t>déficitaire</w:t>
            </w:r>
            <w:r w:rsidR="00FA511D" w:rsidRPr="00215B3D">
              <w:rPr>
                <w:rFonts w:ascii="Segoe UI" w:hAnsi="Segoe UI" w:cs="Segoe UI"/>
                <w:b/>
                <w:bCs/>
                <w:color w:val="000000"/>
                <w:sz w:val="24"/>
                <w:szCs w:val="24"/>
              </w:rPr>
              <w:t xml:space="preserve"> (base ordonnancement)</w:t>
            </w:r>
          </w:p>
        </w:tc>
        <w:tc>
          <w:tcPr>
            <w:tcW w:w="4000" w:type="dxa"/>
            <w:tcBorders>
              <w:top w:val="nil"/>
              <w:left w:val="nil"/>
              <w:bottom w:val="single" w:sz="8" w:space="0" w:color="auto"/>
              <w:right w:val="single" w:sz="8" w:space="0" w:color="auto"/>
            </w:tcBorders>
            <w:noWrap/>
            <w:vAlign w:val="center"/>
            <w:hideMark/>
          </w:tcPr>
          <w:p w:rsidR="00FA511D" w:rsidRPr="00215B3D" w:rsidRDefault="00A03D75" w:rsidP="009C4094">
            <w:pPr>
              <w:jc w:val="right"/>
            </w:pPr>
            <w:r w:rsidRPr="00215B3D">
              <w:rPr>
                <w:rFonts w:ascii="Segoe UI" w:hAnsi="Segoe UI" w:cs="Segoe UI"/>
                <w:b/>
                <w:color w:val="000000"/>
                <w:sz w:val="24"/>
                <w:szCs w:val="24"/>
              </w:rPr>
              <w:t xml:space="preserve"> </w:t>
            </w:r>
            <w:r w:rsidR="009C4094">
              <w:rPr>
                <w:rFonts w:ascii="Segoe UI" w:hAnsi="Segoe UI" w:cs="Segoe UI"/>
                <w:b/>
                <w:color w:val="000000"/>
                <w:sz w:val="24"/>
                <w:szCs w:val="24"/>
              </w:rPr>
              <w:t>97 032</w:t>
            </w:r>
            <w:r w:rsidR="00552020">
              <w:rPr>
                <w:rFonts w:ascii="Segoe UI" w:hAnsi="Segoe UI" w:cs="Segoe UI"/>
                <w:b/>
                <w:color w:val="000000"/>
                <w:sz w:val="24"/>
                <w:szCs w:val="24"/>
              </w:rPr>
              <w:t xml:space="preserve"> </w:t>
            </w:r>
          </w:p>
        </w:tc>
      </w:tr>
      <w:tr w:rsidR="00FA511D" w:rsidRPr="00215B3D" w:rsidTr="00FA511D">
        <w:trPr>
          <w:trHeight w:val="300"/>
          <w:jc w:val="center"/>
        </w:trPr>
        <w:tc>
          <w:tcPr>
            <w:tcW w:w="10560" w:type="dxa"/>
            <w:gridSpan w:val="2"/>
            <w:tcBorders>
              <w:top w:val="single" w:sz="8" w:space="0" w:color="auto"/>
              <w:left w:val="single" w:sz="8" w:space="0" w:color="auto"/>
              <w:bottom w:val="single" w:sz="8" w:space="0" w:color="auto"/>
              <w:right w:val="single" w:sz="8" w:space="0" w:color="000000"/>
            </w:tcBorders>
            <w:noWrap/>
            <w:vAlign w:val="center"/>
            <w:hideMark/>
          </w:tcPr>
          <w:p w:rsidR="00FA511D" w:rsidRPr="00215B3D" w:rsidRDefault="00FA511D" w:rsidP="00FA511D">
            <w:pPr>
              <w:spacing w:after="0" w:line="240" w:lineRule="auto"/>
              <w:jc w:val="center"/>
              <w:rPr>
                <w:rFonts w:ascii="Segoe UI" w:hAnsi="Segoe UI" w:cs="Segoe UI"/>
                <w:color w:val="000000"/>
                <w:sz w:val="16"/>
                <w:szCs w:val="16"/>
              </w:rPr>
            </w:pPr>
            <w:r w:rsidRPr="00215B3D">
              <w:rPr>
                <w:rFonts w:ascii="Segoe UI" w:hAnsi="Segoe UI" w:cs="Segoe UI"/>
                <w:color w:val="000000"/>
                <w:sz w:val="16"/>
                <w:szCs w:val="16"/>
              </w:rPr>
              <w:t> </w:t>
            </w:r>
          </w:p>
        </w:tc>
      </w:tr>
      <w:tr w:rsidR="00FA511D" w:rsidRPr="00215B3D" w:rsidTr="00FA511D">
        <w:trPr>
          <w:trHeight w:val="396"/>
          <w:jc w:val="center"/>
        </w:trPr>
        <w:tc>
          <w:tcPr>
            <w:tcW w:w="6560" w:type="dxa"/>
            <w:tcBorders>
              <w:top w:val="nil"/>
              <w:left w:val="single" w:sz="8" w:space="0" w:color="auto"/>
              <w:bottom w:val="single" w:sz="8" w:space="0" w:color="auto"/>
              <w:right w:val="nil"/>
            </w:tcBorders>
            <w:noWrap/>
            <w:vAlign w:val="center"/>
            <w:hideMark/>
          </w:tcPr>
          <w:p w:rsidR="00FA511D" w:rsidRPr="00215B3D" w:rsidRDefault="00FA511D" w:rsidP="00FA511D">
            <w:pPr>
              <w:spacing w:after="0" w:line="240" w:lineRule="auto"/>
              <w:rPr>
                <w:rFonts w:ascii="Segoe UI" w:hAnsi="Segoe UI" w:cs="Segoe UI"/>
                <w:b/>
                <w:bCs/>
                <w:color w:val="000000"/>
                <w:sz w:val="24"/>
                <w:szCs w:val="24"/>
              </w:rPr>
            </w:pPr>
            <w:r w:rsidRPr="00215B3D">
              <w:rPr>
                <w:rFonts w:ascii="Segoe UI" w:hAnsi="Segoe UI" w:cs="Segoe UI"/>
                <w:b/>
                <w:bCs/>
                <w:color w:val="000000"/>
                <w:sz w:val="24"/>
                <w:szCs w:val="24"/>
              </w:rPr>
              <w:t>Ressources de financement</w:t>
            </w:r>
          </w:p>
        </w:tc>
        <w:tc>
          <w:tcPr>
            <w:tcW w:w="4000" w:type="dxa"/>
            <w:tcBorders>
              <w:top w:val="nil"/>
              <w:left w:val="single" w:sz="8" w:space="0" w:color="auto"/>
              <w:bottom w:val="single" w:sz="8" w:space="0" w:color="auto"/>
              <w:right w:val="single" w:sz="8" w:space="0" w:color="auto"/>
            </w:tcBorders>
            <w:noWrap/>
            <w:vAlign w:val="center"/>
            <w:hideMark/>
          </w:tcPr>
          <w:p w:rsidR="00FA511D" w:rsidRPr="00215B3D" w:rsidRDefault="009C4094" w:rsidP="009C4094">
            <w:pPr>
              <w:spacing w:after="0" w:line="240" w:lineRule="auto"/>
              <w:jc w:val="right"/>
              <w:rPr>
                <w:rFonts w:ascii="Segoe UI" w:hAnsi="Segoe UI" w:cs="Segoe UI"/>
                <w:b/>
                <w:bCs/>
                <w:color w:val="000000"/>
                <w:sz w:val="24"/>
                <w:szCs w:val="24"/>
              </w:rPr>
            </w:pPr>
            <w:r>
              <w:rPr>
                <w:rFonts w:ascii="Segoe UI" w:hAnsi="Segoe UI" w:cs="Segoe UI"/>
                <w:b/>
                <w:bCs/>
                <w:color w:val="000000"/>
                <w:sz w:val="24"/>
                <w:szCs w:val="24"/>
              </w:rPr>
              <w:t>449 537,4</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1-Remboursement prêts et avances</w:t>
            </w:r>
          </w:p>
        </w:tc>
        <w:tc>
          <w:tcPr>
            <w:tcW w:w="4000" w:type="dxa"/>
            <w:tcBorders>
              <w:top w:val="nil"/>
              <w:left w:val="nil"/>
              <w:bottom w:val="single" w:sz="8" w:space="0" w:color="auto"/>
              <w:right w:val="single" w:sz="8" w:space="0" w:color="auto"/>
            </w:tcBorders>
            <w:noWrap/>
            <w:vAlign w:val="center"/>
            <w:hideMark/>
          </w:tcPr>
          <w:p w:rsidR="00FA511D" w:rsidRPr="00215B3D" w:rsidRDefault="004D7A23" w:rsidP="004D7A23">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7,5</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 xml:space="preserve">2-Emissions de dettes à </w:t>
            </w:r>
            <w:proofErr w:type="spellStart"/>
            <w:r w:rsidRPr="00215B3D">
              <w:rPr>
                <w:rFonts w:ascii="Segoe UI" w:hAnsi="Segoe UI" w:cs="Segoe UI"/>
                <w:color w:val="000000"/>
                <w:sz w:val="24"/>
                <w:szCs w:val="24"/>
              </w:rPr>
              <w:t>moy</w:t>
            </w:r>
            <w:proofErr w:type="spellEnd"/>
            <w:r w:rsidRPr="00215B3D">
              <w:rPr>
                <w:rFonts w:ascii="Segoe UI" w:hAnsi="Segoe UI" w:cs="Segoe UI"/>
                <w:color w:val="000000"/>
                <w:sz w:val="24"/>
                <w:szCs w:val="24"/>
              </w:rPr>
              <w:t>. et long termes</w:t>
            </w:r>
          </w:p>
        </w:tc>
        <w:tc>
          <w:tcPr>
            <w:tcW w:w="4000" w:type="dxa"/>
            <w:tcBorders>
              <w:top w:val="nil"/>
              <w:left w:val="nil"/>
              <w:bottom w:val="single" w:sz="8" w:space="0" w:color="auto"/>
              <w:right w:val="single" w:sz="8" w:space="0" w:color="auto"/>
            </w:tcBorders>
            <w:noWrap/>
            <w:vAlign w:val="center"/>
            <w:hideMark/>
          </w:tcPr>
          <w:p w:rsidR="00FA511D" w:rsidRPr="00215B3D" w:rsidRDefault="001E1D6F" w:rsidP="00FA511D">
            <w:pPr>
              <w:spacing w:after="0" w:line="240" w:lineRule="auto"/>
              <w:jc w:val="right"/>
              <w:rPr>
                <w:rFonts w:ascii="Segoe UI" w:hAnsi="Segoe UI" w:cs="Segoe UI"/>
                <w:color w:val="000000"/>
                <w:sz w:val="24"/>
                <w:szCs w:val="24"/>
              </w:rPr>
            </w:pPr>
            <w:r w:rsidRPr="00215B3D">
              <w:rPr>
                <w:rFonts w:ascii="Segoe UI" w:hAnsi="Segoe UI" w:cs="Segoe UI"/>
                <w:color w:val="000000"/>
                <w:sz w:val="24"/>
                <w:szCs w:val="24"/>
              </w:rPr>
              <w:t>104 261,3</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4"/>
                <w:szCs w:val="24"/>
              </w:rPr>
            </w:pPr>
            <w:r w:rsidRPr="00215B3D">
              <w:rPr>
                <w:rFonts w:ascii="Segoe UI" w:hAnsi="Segoe UI" w:cs="Segoe UI"/>
                <w:i/>
                <w:iCs/>
                <w:color w:val="000000"/>
                <w:sz w:val="24"/>
                <w:szCs w:val="24"/>
              </w:rPr>
              <w:t xml:space="preserve">      Prêt</w:t>
            </w:r>
            <w:r w:rsidR="007F5AC2">
              <w:rPr>
                <w:rFonts w:ascii="Segoe UI" w:hAnsi="Segoe UI" w:cs="Segoe UI"/>
                <w:i/>
                <w:iCs/>
                <w:color w:val="000000"/>
                <w:sz w:val="24"/>
                <w:szCs w:val="24"/>
              </w:rPr>
              <w:t>s</w:t>
            </w:r>
            <w:r w:rsidRPr="00215B3D">
              <w:rPr>
                <w:rFonts w:ascii="Segoe UI" w:hAnsi="Segoe UI" w:cs="Segoe UI"/>
                <w:i/>
                <w:iCs/>
                <w:color w:val="000000"/>
                <w:sz w:val="24"/>
                <w:szCs w:val="24"/>
              </w:rPr>
              <w:t>-programmes</w:t>
            </w:r>
          </w:p>
        </w:tc>
        <w:tc>
          <w:tcPr>
            <w:tcW w:w="4000" w:type="dxa"/>
            <w:tcBorders>
              <w:top w:val="nil"/>
              <w:left w:val="nil"/>
              <w:bottom w:val="single" w:sz="8" w:space="0" w:color="auto"/>
              <w:right w:val="single" w:sz="8" w:space="0" w:color="auto"/>
            </w:tcBorders>
            <w:noWrap/>
            <w:vAlign w:val="center"/>
            <w:hideMark/>
          </w:tcPr>
          <w:p w:rsidR="00FA511D" w:rsidRPr="00215B3D" w:rsidRDefault="001E1D6F" w:rsidP="00FA511D">
            <w:pPr>
              <w:spacing w:after="0" w:line="240" w:lineRule="auto"/>
              <w:jc w:val="right"/>
              <w:rPr>
                <w:rFonts w:ascii="Segoe UI" w:hAnsi="Segoe UI" w:cs="Segoe UI"/>
                <w:i/>
                <w:iCs/>
                <w:color w:val="000000"/>
                <w:sz w:val="24"/>
                <w:szCs w:val="24"/>
              </w:rPr>
            </w:pPr>
            <w:r w:rsidRPr="00215B3D">
              <w:rPr>
                <w:rFonts w:ascii="Segoe UI" w:hAnsi="Segoe UI" w:cs="Segoe UI"/>
                <w:i/>
                <w:iCs/>
                <w:color w:val="000000"/>
                <w:sz w:val="24"/>
                <w:szCs w:val="24"/>
              </w:rPr>
              <w:t>0</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4"/>
                <w:szCs w:val="24"/>
              </w:rPr>
            </w:pPr>
            <w:r w:rsidRPr="00215B3D">
              <w:rPr>
                <w:rFonts w:ascii="Segoe UI" w:hAnsi="Segoe UI" w:cs="Segoe UI"/>
                <w:i/>
                <w:iCs/>
                <w:color w:val="000000"/>
                <w:sz w:val="24"/>
                <w:szCs w:val="24"/>
              </w:rPr>
              <w:t xml:space="preserve">      Prêt</w:t>
            </w:r>
            <w:r w:rsidR="007F5AC2">
              <w:rPr>
                <w:rFonts w:ascii="Segoe UI" w:hAnsi="Segoe UI" w:cs="Segoe UI"/>
                <w:i/>
                <w:iCs/>
                <w:color w:val="000000"/>
                <w:sz w:val="24"/>
                <w:szCs w:val="24"/>
              </w:rPr>
              <w:t>s</w:t>
            </w:r>
            <w:r w:rsidRPr="00215B3D">
              <w:rPr>
                <w:rFonts w:ascii="Segoe UI" w:hAnsi="Segoe UI" w:cs="Segoe UI"/>
                <w:i/>
                <w:iCs/>
                <w:color w:val="000000"/>
                <w:sz w:val="24"/>
                <w:szCs w:val="24"/>
              </w:rPr>
              <w:t>-projets</w:t>
            </w:r>
          </w:p>
        </w:tc>
        <w:tc>
          <w:tcPr>
            <w:tcW w:w="4000" w:type="dxa"/>
            <w:tcBorders>
              <w:top w:val="nil"/>
              <w:left w:val="nil"/>
              <w:bottom w:val="single" w:sz="8" w:space="0" w:color="auto"/>
              <w:right w:val="single" w:sz="8" w:space="0" w:color="auto"/>
            </w:tcBorders>
            <w:noWrap/>
            <w:vAlign w:val="center"/>
            <w:hideMark/>
          </w:tcPr>
          <w:p w:rsidR="00FA511D" w:rsidRPr="00215B3D" w:rsidRDefault="001E1D6F" w:rsidP="00FA511D">
            <w:pPr>
              <w:spacing w:after="0" w:line="240" w:lineRule="auto"/>
              <w:jc w:val="right"/>
              <w:rPr>
                <w:rFonts w:ascii="Segoe UI" w:hAnsi="Segoe UI" w:cs="Segoe UI"/>
                <w:i/>
                <w:iCs/>
                <w:color w:val="000000"/>
                <w:sz w:val="24"/>
                <w:szCs w:val="24"/>
              </w:rPr>
            </w:pPr>
            <w:r w:rsidRPr="00215B3D">
              <w:rPr>
                <w:rFonts w:ascii="Segoe UI" w:hAnsi="Segoe UI" w:cs="Segoe UI"/>
                <w:i/>
                <w:iCs/>
                <w:color w:val="000000"/>
                <w:sz w:val="24"/>
                <w:szCs w:val="24"/>
              </w:rPr>
              <w:t>39 766,3</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4"/>
                <w:szCs w:val="24"/>
              </w:rPr>
            </w:pPr>
            <w:r w:rsidRPr="00215B3D">
              <w:rPr>
                <w:rFonts w:ascii="Segoe UI" w:hAnsi="Segoe UI" w:cs="Segoe UI"/>
                <w:i/>
                <w:iCs/>
                <w:color w:val="000000"/>
                <w:sz w:val="24"/>
                <w:szCs w:val="24"/>
              </w:rPr>
              <w:t xml:space="preserve">      Prêt</w:t>
            </w:r>
            <w:r w:rsidR="007F5AC2">
              <w:rPr>
                <w:rFonts w:ascii="Segoe UI" w:hAnsi="Segoe UI" w:cs="Segoe UI"/>
                <w:i/>
                <w:iCs/>
                <w:color w:val="000000"/>
                <w:sz w:val="24"/>
                <w:szCs w:val="24"/>
              </w:rPr>
              <w:t>s</w:t>
            </w:r>
            <w:r w:rsidRPr="00215B3D">
              <w:rPr>
                <w:rFonts w:ascii="Segoe UI" w:hAnsi="Segoe UI" w:cs="Segoe UI"/>
                <w:i/>
                <w:iCs/>
                <w:color w:val="000000"/>
                <w:sz w:val="24"/>
                <w:szCs w:val="24"/>
              </w:rPr>
              <w:t xml:space="preserve"> Banques locales</w:t>
            </w:r>
          </w:p>
        </w:tc>
        <w:tc>
          <w:tcPr>
            <w:tcW w:w="4000" w:type="dxa"/>
            <w:tcBorders>
              <w:top w:val="nil"/>
              <w:left w:val="nil"/>
              <w:bottom w:val="single" w:sz="8" w:space="0" w:color="auto"/>
              <w:right w:val="single" w:sz="8" w:space="0" w:color="auto"/>
            </w:tcBorders>
            <w:noWrap/>
            <w:vAlign w:val="center"/>
            <w:hideMark/>
          </w:tcPr>
          <w:p w:rsidR="00FA511D" w:rsidRPr="00215B3D" w:rsidRDefault="001C5EF1" w:rsidP="001E1D6F">
            <w:pPr>
              <w:spacing w:after="0" w:line="240" w:lineRule="auto"/>
              <w:jc w:val="center"/>
              <w:rPr>
                <w:rFonts w:ascii="Segoe UI" w:hAnsi="Segoe UI" w:cs="Segoe UI"/>
                <w:i/>
                <w:iCs/>
                <w:color w:val="000000"/>
                <w:sz w:val="24"/>
                <w:szCs w:val="24"/>
              </w:rPr>
            </w:pPr>
            <w:r w:rsidRPr="00215B3D">
              <w:rPr>
                <w:rFonts w:ascii="Segoe UI" w:hAnsi="Segoe UI" w:cs="Segoe UI"/>
                <w:i/>
                <w:iCs/>
                <w:color w:val="000000"/>
                <w:sz w:val="24"/>
                <w:szCs w:val="24"/>
              </w:rPr>
              <w:t xml:space="preserve">                     </w:t>
            </w:r>
            <w:r w:rsidR="001E1D6F" w:rsidRPr="00215B3D">
              <w:rPr>
                <w:rFonts w:ascii="Segoe UI" w:hAnsi="Segoe UI" w:cs="Segoe UI"/>
                <w:i/>
                <w:iCs/>
                <w:color w:val="000000"/>
                <w:sz w:val="24"/>
                <w:szCs w:val="24"/>
              </w:rPr>
              <w:t xml:space="preserve">                         </w:t>
            </w:r>
            <w:r w:rsidRPr="00215B3D">
              <w:rPr>
                <w:rFonts w:ascii="Segoe UI" w:hAnsi="Segoe UI" w:cs="Segoe UI"/>
                <w:i/>
                <w:iCs/>
                <w:color w:val="000000"/>
                <w:sz w:val="24"/>
                <w:szCs w:val="24"/>
              </w:rPr>
              <w:t xml:space="preserve"> </w:t>
            </w:r>
            <w:r w:rsidR="001E1D6F" w:rsidRPr="00215B3D">
              <w:rPr>
                <w:rFonts w:ascii="Segoe UI" w:hAnsi="Segoe UI" w:cs="Segoe UI"/>
                <w:i/>
                <w:iCs/>
                <w:color w:val="000000"/>
                <w:sz w:val="24"/>
                <w:szCs w:val="24"/>
              </w:rPr>
              <w:t>64 495</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7F5AC2">
            <w:pPr>
              <w:spacing w:after="0" w:line="240" w:lineRule="auto"/>
              <w:rPr>
                <w:rFonts w:ascii="Segoe UI" w:hAnsi="Segoe UI" w:cs="Segoe UI"/>
                <w:bCs/>
                <w:color w:val="000000"/>
                <w:sz w:val="24"/>
                <w:szCs w:val="24"/>
              </w:rPr>
            </w:pPr>
            <w:r w:rsidRPr="00215B3D">
              <w:rPr>
                <w:rFonts w:ascii="Segoe UI" w:hAnsi="Segoe UI" w:cs="Segoe UI"/>
                <w:bCs/>
                <w:color w:val="000000"/>
                <w:sz w:val="24"/>
                <w:szCs w:val="24"/>
              </w:rPr>
              <w:t>3-</w:t>
            </w:r>
            <w:r w:rsidR="007F5AC2">
              <w:rPr>
                <w:rFonts w:ascii="Segoe UI" w:hAnsi="Segoe UI" w:cs="Segoe UI"/>
                <w:bCs/>
                <w:color w:val="000000"/>
                <w:sz w:val="24"/>
                <w:szCs w:val="24"/>
              </w:rPr>
              <w:t>V</w:t>
            </w:r>
            <w:r w:rsidR="009C4094">
              <w:rPr>
                <w:rFonts w:ascii="Segoe UI" w:hAnsi="Segoe UI" w:cs="Segoe UI"/>
                <w:bCs/>
                <w:color w:val="000000"/>
                <w:sz w:val="24"/>
                <w:szCs w:val="24"/>
              </w:rPr>
              <w:t>ariation des d</w:t>
            </w:r>
            <w:r w:rsidR="007F7A85">
              <w:rPr>
                <w:rFonts w:ascii="Segoe UI" w:hAnsi="Segoe UI" w:cs="Segoe UI"/>
                <w:bCs/>
                <w:color w:val="000000"/>
                <w:sz w:val="24"/>
                <w:szCs w:val="24"/>
              </w:rPr>
              <w:t>é</w:t>
            </w:r>
            <w:r w:rsidRPr="00215B3D">
              <w:rPr>
                <w:rFonts w:ascii="Segoe UI" w:hAnsi="Segoe UI" w:cs="Segoe UI"/>
                <w:bCs/>
                <w:color w:val="000000"/>
                <w:sz w:val="24"/>
                <w:szCs w:val="24"/>
              </w:rPr>
              <w:t>pôts des correspondants du Trésor</w:t>
            </w:r>
          </w:p>
        </w:tc>
        <w:tc>
          <w:tcPr>
            <w:tcW w:w="4000" w:type="dxa"/>
            <w:tcBorders>
              <w:top w:val="nil"/>
              <w:left w:val="nil"/>
              <w:bottom w:val="single" w:sz="8" w:space="0" w:color="auto"/>
              <w:right w:val="single" w:sz="8" w:space="0" w:color="auto"/>
            </w:tcBorders>
            <w:noWrap/>
            <w:vAlign w:val="center"/>
            <w:hideMark/>
          </w:tcPr>
          <w:p w:rsidR="00FA511D" w:rsidRPr="00215B3D" w:rsidRDefault="009C4094" w:rsidP="00664552">
            <w:pPr>
              <w:spacing w:after="0" w:line="240" w:lineRule="auto"/>
              <w:jc w:val="right"/>
              <w:rPr>
                <w:rFonts w:ascii="Segoe UI" w:hAnsi="Segoe UI" w:cs="Segoe UI"/>
                <w:bCs/>
                <w:color w:val="000000"/>
                <w:sz w:val="24"/>
                <w:szCs w:val="24"/>
              </w:rPr>
            </w:pPr>
            <w:r>
              <w:rPr>
                <w:rFonts w:ascii="Segoe UI" w:hAnsi="Segoe UI" w:cs="Segoe UI"/>
                <w:bCs/>
                <w:color w:val="000000"/>
                <w:sz w:val="24"/>
                <w:szCs w:val="24"/>
              </w:rPr>
              <w:t>7  256</w:t>
            </w:r>
          </w:p>
        </w:tc>
      </w:tr>
      <w:tr w:rsidR="00FD771A"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D771A" w:rsidRPr="00215B3D" w:rsidRDefault="00FD771A" w:rsidP="00F27259">
            <w:pPr>
              <w:spacing w:after="0" w:line="240" w:lineRule="auto"/>
              <w:rPr>
                <w:rFonts w:ascii="Segoe UI" w:hAnsi="Segoe UI" w:cs="Segoe UI"/>
                <w:bCs/>
                <w:color w:val="000000"/>
                <w:sz w:val="24"/>
                <w:szCs w:val="24"/>
              </w:rPr>
            </w:pPr>
            <w:r w:rsidRPr="00215B3D">
              <w:rPr>
                <w:rFonts w:ascii="Segoe UI" w:hAnsi="Segoe UI" w:cs="Segoe UI"/>
                <w:bCs/>
                <w:color w:val="000000"/>
                <w:sz w:val="24"/>
                <w:szCs w:val="24"/>
              </w:rPr>
              <w:t>4-Tirage su</w:t>
            </w:r>
            <w:r w:rsidR="00F27259" w:rsidRPr="00215B3D">
              <w:rPr>
                <w:rFonts w:ascii="Segoe UI" w:hAnsi="Segoe UI" w:cs="Segoe UI"/>
                <w:bCs/>
                <w:color w:val="000000"/>
                <w:sz w:val="24"/>
                <w:szCs w:val="24"/>
              </w:rPr>
              <w:t>r</w:t>
            </w:r>
            <w:r w:rsidRPr="00215B3D">
              <w:rPr>
                <w:rFonts w:ascii="Segoe UI" w:hAnsi="Segoe UI" w:cs="Segoe UI"/>
                <w:bCs/>
                <w:color w:val="000000"/>
                <w:sz w:val="24"/>
                <w:szCs w:val="24"/>
              </w:rPr>
              <w:t xml:space="preserve"> FMI</w:t>
            </w:r>
          </w:p>
        </w:tc>
        <w:tc>
          <w:tcPr>
            <w:tcW w:w="4000" w:type="dxa"/>
            <w:tcBorders>
              <w:top w:val="nil"/>
              <w:left w:val="nil"/>
              <w:bottom w:val="single" w:sz="8" w:space="0" w:color="auto"/>
              <w:right w:val="single" w:sz="8" w:space="0" w:color="auto"/>
            </w:tcBorders>
            <w:noWrap/>
            <w:vAlign w:val="center"/>
            <w:hideMark/>
          </w:tcPr>
          <w:p w:rsidR="00FD771A" w:rsidRPr="00215B3D" w:rsidRDefault="00FD771A" w:rsidP="00FA511D">
            <w:pPr>
              <w:spacing w:after="0" w:line="240" w:lineRule="auto"/>
              <w:jc w:val="right"/>
              <w:rPr>
                <w:rFonts w:ascii="Segoe UI" w:hAnsi="Segoe UI" w:cs="Segoe UI"/>
                <w:bCs/>
                <w:color w:val="000000"/>
                <w:sz w:val="24"/>
                <w:szCs w:val="24"/>
              </w:rPr>
            </w:pPr>
            <w:r w:rsidRPr="00215B3D">
              <w:rPr>
                <w:rFonts w:ascii="Segoe UI" w:hAnsi="Segoe UI" w:cs="Segoe UI"/>
                <w:bCs/>
                <w:color w:val="000000"/>
                <w:sz w:val="24"/>
                <w:szCs w:val="24"/>
              </w:rPr>
              <w:t>13 302,6</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D771A" w:rsidP="00FA511D">
            <w:pPr>
              <w:spacing w:after="0" w:line="240" w:lineRule="auto"/>
              <w:rPr>
                <w:rFonts w:ascii="Segoe UI" w:hAnsi="Segoe UI" w:cs="Segoe UI"/>
                <w:color w:val="000000"/>
                <w:sz w:val="24"/>
                <w:szCs w:val="24"/>
              </w:rPr>
            </w:pPr>
            <w:r w:rsidRPr="00215B3D">
              <w:rPr>
                <w:rFonts w:ascii="Segoe UI" w:hAnsi="Segoe UI" w:cs="Segoe UI"/>
                <w:color w:val="000000"/>
                <w:sz w:val="24"/>
                <w:szCs w:val="24"/>
              </w:rPr>
              <w:t>5</w:t>
            </w:r>
            <w:r w:rsidR="00FA511D" w:rsidRPr="00215B3D">
              <w:rPr>
                <w:rFonts w:ascii="Segoe UI" w:hAnsi="Segoe UI" w:cs="Segoe UI"/>
                <w:color w:val="000000"/>
                <w:sz w:val="24"/>
                <w:szCs w:val="24"/>
              </w:rPr>
              <w:t>-Autres ressources de trésorerie</w:t>
            </w:r>
          </w:p>
        </w:tc>
        <w:tc>
          <w:tcPr>
            <w:tcW w:w="4000" w:type="dxa"/>
            <w:tcBorders>
              <w:top w:val="nil"/>
              <w:left w:val="nil"/>
              <w:bottom w:val="single" w:sz="8" w:space="0" w:color="auto"/>
              <w:right w:val="single" w:sz="8" w:space="0" w:color="auto"/>
            </w:tcBorders>
            <w:noWrap/>
            <w:vAlign w:val="center"/>
            <w:hideMark/>
          </w:tcPr>
          <w:p w:rsidR="00FA511D" w:rsidRPr="00215B3D" w:rsidRDefault="009C4094" w:rsidP="00FA511D">
            <w:pPr>
              <w:spacing w:after="0" w:line="240" w:lineRule="auto"/>
              <w:jc w:val="right"/>
              <w:rPr>
                <w:rFonts w:ascii="Segoe UI" w:hAnsi="Segoe UI" w:cs="Segoe UI"/>
                <w:color w:val="000000"/>
                <w:sz w:val="24"/>
                <w:szCs w:val="24"/>
              </w:rPr>
            </w:pPr>
            <w:r>
              <w:rPr>
                <w:rFonts w:ascii="Segoe UI" w:hAnsi="Segoe UI" w:cs="Segoe UI"/>
                <w:color w:val="000000"/>
                <w:sz w:val="24"/>
                <w:szCs w:val="24"/>
              </w:rPr>
              <w:t>324 710</w:t>
            </w:r>
          </w:p>
        </w:tc>
      </w:tr>
      <w:tr w:rsidR="00FA511D" w:rsidRPr="00215B3D" w:rsidTr="00FA511D">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4"/>
                <w:szCs w:val="24"/>
              </w:rPr>
            </w:pPr>
            <w:r w:rsidRPr="00215B3D">
              <w:rPr>
                <w:rFonts w:ascii="Segoe UI" w:hAnsi="Segoe UI" w:cs="Segoe UI"/>
                <w:i/>
                <w:iCs/>
                <w:color w:val="000000"/>
                <w:sz w:val="24"/>
                <w:szCs w:val="24"/>
              </w:rPr>
              <w:t xml:space="preserve">      ° Bons de trésor</w:t>
            </w:r>
          </w:p>
        </w:tc>
        <w:tc>
          <w:tcPr>
            <w:tcW w:w="4000" w:type="dxa"/>
            <w:tcBorders>
              <w:top w:val="nil"/>
              <w:left w:val="nil"/>
              <w:bottom w:val="single" w:sz="8" w:space="0" w:color="auto"/>
              <w:right w:val="single" w:sz="8" w:space="0" w:color="auto"/>
            </w:tcBorders>
            <w:noWrap/>
            <w:vAlign w:val="center"/>
            <w:hideMark/>
          </w:tcPr>
          <w:p w:rsidR="00FA511D" w:rsidRPr="00215B3D" w:rsidRDefault="004D7A23" w:rsidP="009C4094">
            <w:pPr>
              <w:spacing w:after="0" w:line="240" w:lineRule="auto"/>
              <w:jc w:val="right"/>
              <w:rPr>
                <w:rFonts w:ascii="Segoe UI" w:hAnsi="Segoe UI" w:cs="Segoe UI"/>
                <w:i/>
                <w:iCs/>
                <w:color w:val="000000"/>
                <w:sz w:val="24"/>
                <w:szCs w:val="24"/>
              </w:rPr>
            </w:pPr>
            <w:r w:rsidRPr="00215B3D">
              <w:rPr>
                <w:rFonts w:ascii="Segoe UI" w:hAnsi="Segoe UI" w:cs="Segoe UI"/>
                <w:i/>
                <w:iCs/>
                <w:color w:val="000000"/>
                <w:sz w:val="24"/>
                <w:szCs w:val="24"/>
              </w:rPr>
              <w:t xml:space="preserve">141 </w:t>
            </w:r>
            <w:r w:rsidR="009C4094">
              <w:rPr>
                <w:rFonts w:ascii="Segoe UI" w:hAnsi="Segoe UI" w:cs="Segoe UI"/>
                <w:i/>
                <w:iCs/>
                <w:color w:val="000000"/>
                <w:sz w:val="24"/>
                <w:szCs w:val="24"/>
              </w:rPr>
              <w:t>180</w:t>
            </w:r>
          </w:p>
        </w:tc>
      </w:tr>
      <w:tr w:rsidR="00FA511D" w:rsidRPr="00215B3D" w:rsidTr="00003688">
        <w:trPr>
          <w:trHeight w:val="396"/>
          <w:jc w:val="center"/>
        </w:trPr>
        <w:tc>
          <w:tcPr>
            <w:tcW w:w="6560" w:type="dxa"/>
            <w:tcBorders>
              <w:top w:val="nil"/>
              <w:left w:val="single" w:sz="8" w:space="0" w:color="auto"/>
              <w:bottom w:val="single" w:sz="8" w:space="0" w:color="auto"/>
              <w:right w:val="single" w:sz="8" w:space="0" w:color="auto"/>
            </w:tcBorders>
            <w:noWrap/>
            <w:vAlign w:val="center"/>
            <w:hideMark/>
          </w:tcPr>
          <w:p w:rsidR="00FA511D" w:rsidRPr="00215B3D" w:rsidRDefault="00FA511D" w:rsidP="00FA511D">
            <w:pPr>
              <w:spacing w:after="0" w:line="240" w:lineRule="auto"/>
              <w:rPr>
                <w:rFonts w:ascii="Segoe UI" w:hAnsi="Segoe UI" w:cs="Segoe UI"/>
                <w:i/>
                <w:iCs/>
                <w:color w:val="000000"/>
                <w:sz w:val="24"/>
                <w:szCs w:val="24"/>
              </w:rPr>
            </w:pPr>
            <w:r w:rsidRPr="00215B3D">
              <w:rPr>
                <w:rFonts w:ascii="Segoe UI" w:hAnsi="Segoe UI" w:cs="Segoe UI"/>
                <w:i/>
                <w:iCs/>
                <w:color w:val="000000"/>
                <w:sz w:val="24"/>
                <w:szCs w:val="24"/>
              </w:rPr>
              <w:t xml:space="preserve">      ° Obligations du trésor</w:t>
            </w:r>
          </w:p>
        </w:tc>
        <w:tc>
          <w:tcPr>
            <w:tcW w:w="4000" w:type="dxa"/>
            <w:tcBorders>
              <w:top w:val="nil"/>
              <w:left w:val="nil"/>
              <w:bottom w:val="single" w:sz="8" w:space="0" w:color="auto"/>
              <w:right w:val="single" w:sz="8" w:space="0" w:color="auto"/>
            </w:tcBorders>
            <w:noWrap/>
            <w:vAlign w:val="center"/>
            <w:hideMark/>
          </w:tcPr>
          <w:p w:rsidR="00FA511D" w:rsidRPr="00215B3D" w:rsidRDefault="002E4934" w:rsidP="004D7A23">
            <w:pPr>
              <w:spacing w:after="0" w:line="240" w:lineRule="auto"/>
              <w:jc w:val="right"/>
              <w:rPr>
                <w:rFonts w:ascii="Segoe UI" w:hAnsi="Segoe UI" w:cs="Segoe UI"/>
                <w:i/>
                <w:iCs/>
                <w:color w:val="000000"/>
                <w:sz w:val="24"/>
                <w:szCs w:val="24"/>
              </w:rPr>
            </w:pPr>
            <w:r>
              <w:rPr>
                <w:rFonts w:ascii="Segoe UI" w:hAnsi="Segoe UI" w:cs="Segoe UI"/>
                <w:i/>
                <w:iCs/>
                <w:color w:val="000000"/>
                <w:sz w:val="24"/>
                <w:szCs w:val="24"/>
              </w:rPr>
              <w:t>183 530</w:t>
            </w:r>
          </w:p>
        </w:tc>
      </w:tr>
      <w:tr w:rsidR="00FA511D" w:rsidRPr="00215B3D" w:rsidTr="00003688">
        <w:trPr>
          <w:trHeight w:val="384"/>
          <w:jc w:val="center"/>
        </w:trPr>
        <w:tc>
          <w:tcPr>
            <w:tcW w:w="6560" w:type="dxa"/>
            <w:tcBorders>
              <w:top w:val="single" w:sz="8" w:space="0" w:color="auto"/>
              <w:left w:val="single" w:sz="8" w:space="0" w:color="auto"/>
              <w:bottom w:val="single" w:sz="4" w:space="0" w:color="auto"/>
              <w:right w:val="nil"/>
            </w:tcBorders>
            <w:shd w:val="clear" w:color="000000" w:fill="D6E3BC"/>
            <w:noWrap/>
            <w:vAlign w:val="center"/>
            <w:hideMark/>
          </w:tcPr>
          <w:p w:rsidR="00FA511D" w:rsidRPr="00E02599" w:rsidRDefault="004E0846" w:rsidP="005C4F1F">
            <w:pPr>
              <w:spacing w:after="0" w:line="240" w:lineRule="auto"/>
              <w:rPr>
                <w:rFonts w:ascii="Segoe UI" w:hAnsi="Segoe UI" w:cs="Segoe UI"/>
                <w:b/>
                <w:bCs/>
                <w:color w:val="000000"/>
              </w:rPr>
            </w:pPr>
            <w:r w:rsidRPr="00E02599">
              <w:rPr>
                <w:rFonts w:ascii="Segoe UI" w:hAnsi="Segoe UI" w:cs="Segoe UI"/>
                <w:b/>
                <w:bCs/>
                <w:color w:val="000000"/>
              </w:rPr>
              <w:t>Excédent</w:t>
            </w:r>
            <w:r w:rsidR="005C4F1F" w:rsidRPr="00E02599">
              <w:rPr>
                <w:rFonts w:ascii="Segoe UI" w:hAnsi="Segoe UI" w:cs="Segoe UI"/>
                <w:b/>
                <w:bCs/>
                <w:color w:val="000000"/>
              </w:rPr>
              <w:t xml:space="preserve"> de financement au 30 juin</w:t>
            </w:r>
            <w:r w:rsidR="00FA511D" w:rsidRPr="00E02599">
              <w:rPr>
                <w:rFonts w:ascii="Segoe UI" w:hAnsi="Segoe UI" w:cs="Segoe UI"/>
                <w:b/>
                <w:bCs/>
                <w:color w:val="000000"/>
              </w:rPr>
              <w:t xml:space="preserve"> 201</w:t>
            </w:r>
            <w:r w:rsidR="005C4F1F" w:rsidRPr="00E02599">
              <w:rPr>
                <w:rFonts w:ascii="Segoe UI" w:hAnsi="Segoe UI" w:cs="Segoe UI"/>
                <w:b/>
                <w:bCs/>
                <w:color w:val="000000"/>
              </w:rPr>
              <w:t>7</w:t>
            </w:r>
          </w:p>
        </w:tc>
        <w:tc>
          <w:tcPr>
            <w:tcW w:w="4000" w:type="dxa"/>
            <w:tcBorders>
              <w:top w:val="single" w:sz="8" w:space="0" w:color="auto"/>
              <w:left w:val="single" w:sz="8" w:space="0" w:color="auto"/>
              <w:bottom w:val="single" w:sz="4" w:space="0" w:color="auto"/>
              <w:right w:val="single" w:sz="8" w:space="0" w:color="auto"/>
            </w:tcBorders>
            <w:shd w:val="clear" w:color="000000" w:fill="D6E3BC"/>
            <w:noWrap/>
            <w:vAlign w:val="center"/>
            <w:hideMark/>
          </w:tcPr>
          <w:p w:rsidR="00FA511D" w:rsidRPr="00E02599" w:rsidRDefault="002E4934" w:rsidP="004E0846">
            <w:pPr>
              <w:spacing w:after="0" w:line="240" w:lineRule="auto"/>
              <w:jc w:val="right"/>
              <w:rPr>
                <w:rFonts w:ascii="Segoe UI" w:hAnsi="Segoe UI" w:cs="Segoe UI"/>
                <w:b/>
                <w:bCs/>
                <w:color w:val="000000"/>
              </w:rPr>
            </w:pPr>
            <w:r w:rsidRPr="00E02599">
              <w:rPr>
                <w:rFonts w:ascii="Segoe UI" w:hAnsi="Segoe UI" w:cs="Segoe UI"/>
                <w:b/>
                <w:bCs/>
                <w:color w:val="000000"/>
              </w:rPr>
              <w:t>147 299,2</w:t>
            </w:r>
          </w:p>
        </w:tc>
      </w:tr>
    </w:tbl>
    <w:p w:rsidR="00E00255" w:rsidRPr="00215B3D" w:rsidRDefault="00E00255" w:rsidP="00E00255">
      <w:pPr>
        <w:spacing w:after="0" w:line="360" w:lineRule="auto"/>
        <w:rPr>
          <w:rFonts w:ascii="Segoe UI" w:hAnsi="Segoe UI" w:cs="Segoe UI"/>
          <w:bCs/>
          <w:iCs/>
          <w:sz w:val="18"/>
          <w:szCs w:val="20"/>
        </w:rPr>
      </w:pPr>
      <w:r w:rsidRPr="00215B3D">
        <w:rPr>
          <w:rFonts w:ascii="Segoe UI" w:hAnsi="Segoe UI" w:cs="Segoe UI"/>
          <w:b/>
          <w:bCs/>
          <w:iCs/>
          <w:sz w:val="18"/>
          <w:szCs w:val="20"/>
          <w:u w:val="single"/>
        </w:rPr>
        <w:t xml:space="preserve"> Source</w:t>
      </w:r>
      <w:r w:rsidRPr="00215B3D">
        <w:rPr>
          <w:rFonts w:ascii="Segoe UI" w:hAnsi="Segoe UI" w:cs="Segoe UI"/>
          <w:bCs/>
          <w:iCs/>
          <w:sz w:val="18"/>
          <w:szCs w:val="20"/>
        </w:rPr>
        <w:t xml:space="preserve"> : </w:t>
      </w:r>
      <w:r w:rsidR="004E0846" w:rsidRPr="00215B3D">
        <w:rPr>
          <w:rFonts w:ascii="Segoe UI" w:hAnsi="Segoe UI" w:cs="Segoe UI"/>
          <w:bCs/>
          <w:iCs/>
          <w:sz w:val="18"/>
          <w:szCs w:val="20"/>
        </w:rPr>
        <w:t xml:space="preserve">DGB, sur la base des données fournies par la </w:t>
      </w:r>
      <w:r w:rsidRPr="00215B3D">
        <w:rPr>
          <w:rFonts w:ascii="Segoe UI" w:hAnsi="Segoe UI" w:cs="Segoe UI"/>
          <w:bCs/>
          <w:iCs/>
          <w:sz w:val="18"/>
          <w:szCs w:val="20"/>
        </w:rPr>
        <w:t xml:space="preserve">DGTCP, </w:t>
      </w:r>
      <w:r w:rsidR="006B3345" w:rsidRPr="00215B3D">
        <w:rPr>
          <w:rFonts w:ascii="Segoe UI" w:hAnsi="Segoe UI" w:cs="Segoe UI"/>
          <w:bCs/>
          <w:iCs/>
          <w:sz w:val="18"/>
          <w:szCs w:val="20"/>
        </w:rPr>
        <w:t>juin</w:t>
      </w:r>
      <w:r w:rsidRPr="00215B3D">
        <w:rPr>
          <w:rFonts w:ascii="Segoe UI" w:hAnsi="Segoe UI" w:cs="Segoe UI"/>
          <w:bCs/>
          <w:iCs/>
          <w:sz w:val="18"/>
          <w:szCs w:val="20"/>
        </w:rPr>
        <w:t xml:space="preserve"> 2017</w:t>
      </w:r>
    </w:p>
    <w:p w:rsidR="0054226A" w:rsidRDefault="0054226A" w:rsidP="00C64301">
      <w:pPr>
        <w:rPr>
          <w:rFonts w:ascii="Segoe UI" w:hAnsi="Segoe UI" w:cs="Segoe UI"/>
          <w:b/>
          <w:sz w:val="28"/>
          <w:szCs w:val="28"/>
        </w:rPr>
      </w:pPr>
    </w:p>
    <w:p w:rsidR="00F601B0" w:rsidRPr="00215B3D" w:rsidRDefault="00F601B0" w:rsidP="00C64301">
      <w:pPr>
        <w:rPr>
          <w:rFonts w:ascii="Segoe UI" w:hAnsi="Segoe UI" w:cs="Segoe UI"/>
          <w:b/>
          <w:sz w:val="28"/>
          <w:szCs w:val="28"/>
        </w:rPr>
      </w:pPr>
    </w:p>
    <w:p w:rsidR="00D16D74" w:rsidRDefault="00D16D74" w:rsidP="00DE3D58">
      <w:pPr>
        <w:pStyle w:val="Titre1"/>
        <w:numPr>
          <w:ilvl w:val="0"/>
          <w:numId w:val="1"/>
        </w:numPr>
        <w:spacing w:before="240" w:after="120"/>
        <w:rPr>
          <w:rFonts w:ascii="Segoe UI" w:hAnsi="Segoe UI" w:cs="Segoe UI"/>
          <w:sz w:val="26"/>
          <w:szCs w:val="26"/>
        </w:rPr>
      </w:pPr>
      <w:bookmarkStart w:id="62" w:name="_Toc496025014"/>
      <w:r w:rsidRPr="005C5EDA">
        <w:rPr>
          <w:rFonts w:ascii="Segoe UI" w:hAnsi="Segoe UI" w:cs="Segoe UI"/>
          <w:sz w:val="26"/>
          <w:szCs w:val="26"/>
        </w:rPr>
        <w:lastRenderedPageBreak/>
        <w:t>MODIFICATION</w:t>
      </w:r>
      <w:r w:rsidR="005C5EDA" w:rsidRPr="005C5EDA">
        <w:rPr>
          <w:rFonts w:ascii="Segoe UI" w:hAnsi="Segoe UI" w:cs="Segoe UI"/>
          <w:sz w:val="26"/>
          <w:szCs w:val="26"/>
        </w:rPr>
        <w:t>S</w:t>
      </w:r>
      <w:r w:rsidRPr="005C5EDA">
        <w:rPr>
          <w:rFonts w:ascii="Segoe UI" w:hAnsi="Segoe UI" w:cs="Segoe UI"/>
          <w:sz w:val="26"/>
          <w:szCs w:val="26"/>
        </w:rPr>
        <w:t xml:space="preserve"> INTER</w:t>
      </w:r>
      <w:r w:rsidR="009D04F5" w:rsidRPr="005C5EDA">
        <w:rPr>
          <w:rFonts w:ascii="Segoe UI" w:hAnsi="Segoe UI" w:cs="Segoe UI"/>
          <w:sz w:val="26"/>
          <w:szCs w:val="26"/>
        </w:rPr>
        <w:t>VENUE</w:t>
      </w:r>
      <w:r w:rsidR="005C5EDA" w:rsidRPr="005C5EDA">
        <w:rPr>
          <w:rFonts w:ascii="Segoe UI" w:hAnsi="Segoe UI" w:cs="Segoe UI"/>
          <w:sz w:val="26"/>
          <w:szCs w:val="26"/>
        </w:rPr>
        <w:t>S</w:t>
      </w:r>
      <w:r w:rsidR="009D04F5" w:rsidRPr="005C5EDA">
        <w:rPr>
          <w:rFonts w:ascii="Segoe UI" w:hAnsi="Segoe UI" w:cs="Segoe UI"/>
          <w:sz w:val="26"/>
          <w:szCs w:val="26"/>
        </w:rPr>
        <w:t xml:space="preserve"> AU COURS DU 1</w:t>
      </w:r>
      <w:r w:rsidR="009D04F5" w:rsidRPr="005C5EDA">
        <w:rPr>
          <w:rFonts w:ascii="Segoe UI" w:hAnsi="Segoe UI" w:cs="Segoe UI"/>
          <w:sz w:val="26"/>
          <w:szCs w:val="26"/>
          <w:vertAlign w:val="superscript"/>
        </w:rPr>
        <w:t>er</w:t>
      </w:r>
      <w:r w:rsidRPr="005C5EDA">
        <w:rPr>
          <w:rFonts w:ascii="Segoe UI" w:hAnsi="Segoe UI" w:cs="Segoe UI"/>
          <w:sz w:val="26"/>
          <w:szCs w:val="26"/>
        </w:rPr>
        <w:t xml:space="preserve"> SEMESTRE 2017</w:t>
      </w:r>
      <w:bookmarkEnd w:id="62"/>
    </w:p>
    <w:p w:rsidR="00F601B0" w:rsidRPr="00392360" w:rsidRDefault="00392360" w:rsidP="00392360">
      <w:pPr>
        <w:jc w:val="both"/>
        <w:rPr>
          <w:rFonts w:ascii="Segoe UI" w:hAnsi="Segoe UI" w:cs="Segoe UI"/>
          <w:sz w:val="24"/>
        </w:rPr>
      </w:pPr>
      <w:r w:rsidRPr="00392360">
        <w:rPr>
          <w:rFonts w:ascii="Segoe UI" w:hAnsi="Segoe UI" w:cs="Segoe UI"/>
          <w:sz w:val="24"/>
        </w:rPr>
        <w:t>Au premier semestre, l’exécution de la loi n°2016-33 du 26 décembre 2016 portant loi de finances pour la gestion 2017 a connu quelques modifications aussi bien au niveau des crédits qu’au niveau des dispositions normatives.</w:t>
      </w:r>
    </w:p>
    <w:p w:rsidR="0054226A" w:rsidRDefault="006C4B97" w:rsidP="0006235F">
      <w:pPr>
        <w:pStyle w:val="Titre2"/>
        <w:numPr>
          <w:ilvl w:val="0"/>
          <w:numId w:val="43"/>
        </w:numPr>
        <w:spacing w:before="0"/>
        <w:rPr>
          <w:rFonts w:ascii="Segoe UI" w:hAnsi="Segoe UI" w:cs="Segoe UI"/>
        </w:rPr>
      </w:pPr>
      <w:bookmarkStart w:id="63" w:name="_Toc496025015"/>
      <w:r>
        <w:rPr>
          <w:rFonts w:ascii="Segoe UI" w:hAnsi="Segoe UI" w:cs="Segoe UI"/>
        </w:rPr>
        <w:t>M</w:t>
      </w:r>
      <w:r w:rsidR="00F85B6A" w:rsidRPr="00CE580F">
        <w:rPr>
          <w:rFonts w:ascii="Segoe UI" w:hAnsi="Segoe UI" w:cs="Segoe UI"/>
        </w:rPr>
        <w:t>odifications de crédits</w:t>
      </w:r>
      <w:bookmarkEnd w:id="63"/>
    </w:p>
    <w:p w:rsidR="0006235F" w:rsidRPr="0006235F" w:rsidRDefault="0006235F" w:rsidP="0006235F">
      <w:pPr>
        <w:rPr>
          <w:sz w:val="8"/>
        </w:rPr>
      </w:pPr>
    </w:p>
    <w:p w:rsidR="000E5DB6" w:rsidRDefault="00D43E4F" w:rsidP="000713D3">
      <w:pPr>
        <w:jc w:val="both"/>
        <w:rPr>
          <w:rFonts w:ascii="Segoe UI" w:hAnsi="Segoe UI" w:cs="Segoe UI"/>
          <w:sz w:val="24"/>
          <w:szCs w:val="26"/>
        </w:rPr>
      </w:pPr>
      <w:r>
        <w:rPr>
          <w:rFonts w:ascii="Segoe UI" w:hAnsi="Segoe UI" w:cs="Segoe UI"/>
          <w:sz w:val="24"/>
          <w:szCs w:val="26"/>
        </w:rPr>
        <w:t xml:space="preserve">Pendant la période sous-revue, </w:t>
      </w:r>
      <w:r w:rsidR="000713D3" w:rsidRPr="00F8539A">
        <w:rPr>
          <w:rFonts w:ascii="Segoe UI" w:hAnsi="Segoe UI" w:cs="Segoe UI"/>
          <w:sz w:val="24"/>
          <w:szCs w:val="26"/>
        </w:rPr>
        <w:t>diverses procédures légales de modification de</w:t>
      </w:r>
      <w:r>
        <w:rPr>
          <w:rFonts w:ascii="Segoe UI" w:hAnsi="Segoe UI" w:cs="Segoe UI"/>
          <w:sz w:val="24"/>
          <w:szCs w:val="26"/>
        </w:rPr>
        <w:t xml:space="preserve">s </w:t>
      </w:r>
      <w:r w:rsidR="000713D3" w:rsidRPr="00F8539A">
        <w:rPr>
          <w:rFonts w:ascii="Segoe UI" w:hAnsi="Segoe UI" w:cs="Segoe UI"/>
          <w:sz w:val="24"/>
          <w:szCs w:val="26"/>
        </w:rPr>
        <w:t xml:space="preserve"> crédits </w:t>
      </w:r>
      <w:r>
        <w:rPr>
          <w:rFonts w:ascii="Segoe UI" w:hAnsi="Segoe UI" w:cs="Segoe UI"/>
          <w:sz w:val="24"/>
          <w:szCs w:val="26"/>
        </w:rPr>
        <w:t xml:space="preserve">budgétaires ont été mises en œuvre. </w:t>
      </w:r>
      <w:r w:rsidR="000713D3" w:rsidRPr="00F8539A">
        <w:rPr>
          <w:rFonts w:ascii="Segoe UI" w:hAnsi="Segoe UI" w:cs="Segoe UI"/>
          <w:sz w:val="24"/>
          <w:szCs w:val="26"/>
        </w:rPr>
        <w:t>Il s’agit</w:t>
      </w:r>
      <w:r>
        <w:rPr>
          <w:rFonts w:ascii="Segoe UI" w:hAnsi="Segoe UI" w:cs="Segoe UI"/>
          <w:sz w:val="24"/>
          <w:szCs w:val="26"/>
        </w:rPr>
        <w:t>,</w:t>
      </w:r>
      <w:r w:rsidR="000713D3" w:rsidRPr="00F8539A">
        <w:rPr>
          <w:rFonts w:ascii="Segoe UI" w:hAnsi="Segoe UI" w:cs="Segoe UI"/>
          <w:sz w:val="24"/>
          <w:szCs w:val="26"/>
        </w:rPr>
        <w:t xml:space="preserve"> notamment</w:t>
      </w:r>
      <w:r>
        <w:rPr>
          <w:rFonts w:ascii="Segoe UI" w:hAnsi="Segoe UI" w:cs="Segoe UI"/>
          <w:sz w:val="24"/>
          <w:szCs w:val="26"/>
        </w:rPr>
        <w:t>,</w:t>
      </w:r>
      <w:r w:rsidR="000713D3" w:rsidRPr="00F8539A">
        <w:rPr>
          <w:rFonts w:ascii="Segoe UI" w:hAnsi="Segoe UI" w:cs="Segoe UI"/>
          <w:sz w:val="24"/>
          <w:szCs w:val="26"/>
        </w:rPr>
        <w:t xml:space="preserve"> des procédures de virement, de transfert, d’annulation et de dépassement de crédits. </w:t>
      </w:r>
      <w:r w:rsidR="000E5DB6" w:rsidRPr="00F8539A">
        <w:rPr>
          <w:rFonts w:ascii="Segoe UI" w:hAnsi="Segoe UI" w:cs="Segoe UI"/>
          <w:sz w:val="24"/>
          <w:szCs w:val="26"/>
        </w:rPr>
        <w:t xml:space="preserve">Elles ont permis aux services publics </w:t>
      </w:r>
      <w:r>
        <w:rPr>
          <w:rFonts w:ascii="Segoe UI" w:hAnsi="Segoe UI" w:cs="Segoe UI"/>
          <w:sz w:val="24"/>
          <w:szCs w:val="26"/>
        </w:rPr>
        <w:t>de mettre en cohérence le</w:t>
      </w:r>
      <w:r w:rsidR="000E5DB6" w:rsidRPr="00F8539A">
        <w:rPr>
          <w:rFonts w:ascii="Segoe UI" w:hAnsi="Segoe UI" w:cs="Segoe UI"/>
          <w:sz w:val="24"/>
          <w:szCs w:val="26"/>
        </w:rPr>
        <w:t xml:space="preserve"> budget </w:t>
      </w:r>
      <w:r>
        <w:rPr>
          <w:rFonts w:ascii="Segoe UI" w:hAnsi="Segoe UI" w:cs="Segoe UI"/>
          <w:sz w:val="24"/>
          <w:szCs w:val="26"/>
        </w:rPr>
        <w:t>avec</w:t>
      </w:r>
      <w:r w:rsidR="000E5DB6" w:rsidRPr="00F8539A">
        <w:rPr>
          <w:rFonts w:ascii="Segoe UI" w:hAnsi="Segoe UI" w:cs="Segoe UI"/>
          <w:sz w:val="24"/>
          <w:szCs w:val="26"/>
        </w:rPr>
        <w:t xml:space="preserve"> </w:t>
      </w:r>
      <w:r>
        <w:rPr>
          <w:rFonts w:ascii="Segoe UI" w:hAnsi="Segoe UI" w:cs="Segoe UI"/>
          <w:sz w:val="24"/>
          <w:szCs w:val="26"/>
        </w:rPr>
        <w:t xml:space="preserve">les </w:t>
      </w:r>
      <w:r w:rsidR="000E5DB6" w:rsidRPr="00F8539A">
        <w:rPr>
          <w:rFonts w:ascii="Segoe UI" w:hAnsi="Segoe UI" w:cs="Segoe UI"/>
          <w:sz w:val="24"/>
          <w:szCs w:val="26"/>
        </w:rPr>
        <w:t>Plan</w:t>
      </w:r>
      <w:r>
        <w:rPr>
          <w:rFonts w:ascii="Segoe UI" w:hAnsi="Segoe UI" w:cs="Segoe UI"/>
          <w:sz w:val="24"/>
          <w:szCs w:val="26"/>
        </w:rPr>
        <w:t>s</w:t>
      </w:r>
      <w:r w:rsidR="000E5DB6" w:rsidRPr="00F8539A">
        <w:rPr>
          <w:rFonts w:ascii="Segoe UI" w:hAnsi="Segoe UI" w:cs="Segoe UI"/>
          <w:sz w:val="24"/>
          <w:szCs w:val="26"/>
        </w:rPr>
        <w:t xml:space="preserve"> de Travail Annuel</w:t>
      </w:r>
      <w:r>
        <w:rPr>
          <w:rFonts w:ascii="Segoe UI" w:hAnsi="Segoe UI" w:cs="Segoe UI"/>
          <w:sz w:val="24"/>
          <w:szCs w:val="26"/>
        </w:rPr>
        <w:t>s</w:t>
      </w:r>
      <w:r w:rsidR="000E5DB6" w:rsidRPr="00F8539A">
        <w:rPr>
          <w:rFonts w:ascii="Segoe UI" w:hAnsi="Segoe UI" w:cs="Segoe UI"/>
          <w:sz w:val="24"/>
          <w:szCs w:val="26"/>
        </w:rPr>
        <w:t xml:space="preserve"> validé</w:t>
      </w:r>
      <w:r>
        <w:rPr>
          <w:rFonts w:ascii="Segoe UI" w:hAnsi="Segoe UI" w:cs="Segoe UI"/>
          <w:sz w:val="24"/>
          <w:szCs w:val="26"/>
        </w:rPr>
        <w:t>s et arrimés au</w:t>
      </w:r>
      <w:r w:rsidR="000E5DB6" w:rsidRPr="00F8539A">
        <w:rPr>
          <w:rFonts w:ascii="Segoe UI" w:hAnsi="Segoe UI" w:cs="Segoe UI"/>
          <w:sz w:val="24"/>
          <w:szCs w:val="26"/>
        </w:rPr>
        <w:t xml:space="preserve"> PAG. </w:t>
      </w:r>
      <w:r w:rsidR="00E43828" w:rsidRPr="00E14847">
        <w:rPr>
          <w:rFonts w:ascii="Segoe UI" w:hAnsi="Segoe UI" w:cs="Segoe UI"/>
          <w:sz w:val="24"/>
          <w:szCs w:val="26"/>
        </w:rPr>
        <w:t xml:space="preserve">Le tableau ci-dessous retrace de façon exhaustive les mouvements de crédits intervenus pendant la période </w:t>
      </w:r>
      <w:r w:rsidR="004C1FA3" w:rsidRPr="00E14847">
        <w:rPr>
          <w:rFonts w:ascii="Segoe UI" w:hAnsi="Segoe UI" w:cs="Segoe UI"/>
          <w:sz w:val="24"/>
          <w:szCs w:val="26"/>
        </w:rPr>
        <w:t>sous revue</w:t>
      </w:r>
      <w:r w:rsidR="00E43828" w:rsidRPr="00E14847">
        <w:rPr>
          <w:rFonts w:ascii="Segoe UI" w:hAnsi="Segoe UI" w:cs="Segoe UI"/>
          <w:sz w:val="24"/>
          <w:szCs w:val="26"/>
        </w:rPr>
        <w:t>.</w:t>
      </w:r>
    </w:p>
    <w:p w:rsidR="004E403C" w:rsidRDefault="004E403C" w:rsidP="000713D3">
      <w:pPr>
        <w:jc w:val="both"/>
        <w:rPr>
          <w:rFonts w:ascii="Segoe UI" w:hAnsi="Segoe UI" w:cs="Segoe UI"/>
          <w:sz w:val="24"/>
          <w:szCs w:val="26"/>
        </w:rPr>
        <w:sectPr w:rsidR="004E403C" w:rsidSect="006C7B3D">
          <w:footerReference w:type="default" r:id="rId16"/>
          <w:pgSz w:w="11906" w:h="16838"/>
          <w:pgMar w:top="1417" w:right="1417" w:bottom="1134" w:left="1417" w:header="708" w:footer="708" w:gutter="0"/>
          <w:cols w:space="708"/>
          <w:docGrid w:linePitch="360"/>
        </w:sectPr>
      </w:pPr>
    </w:p>
    <w:p w:rsidR="0026723A" w:rsidRDefault="007E3BE0" w:rsidP="004E403C">
      <w:pPr>
        <w:pStyle w:val="Listedestableaux"/>
        <w:spacing w:line="240" w:lineRule="auto"/>
        <w:ind w:left="0"/>
        <w:jc w:val="center"/>
        <w:rPr>
          <w:rFonts w:ascii="Segoe UI" w:hAnsi="Segoe UI" w:cs="Segoe UI"/>
        </w:rPr>
      </w:pPr>
      <w:bookmarkStart w:id="64" w:name="_Toc495935950"/>
      <w:r>
        <w:rPr>
          <w:rFonts w:ascii="Segoe UI" w:hAnsi="Segoe UI" w:cs="Segoe UI"/>
          <w:u w:val="single"/>
        </w:rPr>
        <w:lastRenderedPageBreak/>
        <w:t>Tableau  1</w:t>
      </w:r>
      <w:r w:rsidR="007D4B67">
        <w:rPr>
          <w:rFonts w:ascii="Segoe UI" w:hAnsi="Segoe UI" w:cs="Segoe UI"/>
          <w:u w:val="single"/>
        </w:rPr>
        <w:t>3</w:t>
      </w:r>
      <w:r w:rsidR="00391605" w:rsidRPr="00391605">
        <w:rPr>
          <w:rFonts w:ascii="Segoe UI" w:hAnsi="Segoe UI" w:cs="Segoe UI"/>
        </w:rPr>
        <w:t xml:space="preserve"> : </w:t>
      </w:r>
      <w:r w:rsidR="0026723A">
        <w:rPr>
          <w:rFonts w:ascii="Segoe UI" w:hAnsi="Segoe UI" w:cs="Segoe UI"/>
        </w:rPr>
        <w:t>Liste des mouvements de crédits au titre de 1</w:t>
      </w:r>
      <w:r w:rsidR="0026723A" w:rsidRPr="0035588C">
        <w:rPr>
          <w:rFonts w:ascii="Segoe UI" w:hAnsi="Segoe UI" w:cs="Segoe UI"/>
        </w:rPr>
        <w:t>er</w:t>
      </w:r>
      <w:r w:rsidR="0026723A">
        <w:rPr>
          <w:rFonts w:ascii="Segoe UI" w:hAnsi="Segoe UI" w:cs="Segoe UI"/>
        </w:rPr>
        <w:t xml:space="preserve"> semestre</w:t>
      </w:r>
      <w:bookmarkEnd w:id="64"/>
    </w:p>
    <w:p w:rsidR="004E403C" w:rsidRDefault="004E403C" w:rsidP="0035588C">
      <w:pPr>
        <w:pStyle w:val="Listedestableaux"/>
        <w:spacing w:line="240" w:lineRule="auto"/>
        <w:ind w:left="0"/>
        <w:rPr>
          <w:rFonts w:ascii="Segoe UI" w:hAnsi="Segoe UI" w:cs="Segoe UI"/>
        </w:rPr>
      </w:pPr>
    </w:p>
    <w:tbl>
      <w:tblPr>
        <w:tblW w:w="15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8"/>
        <w:gridCol w:w="1175"/>
        <w:gridCol w:w="3708"/>
        <w:gridCol w:w="1666"/>
        <w:gridCol w:w="1551"/>
        <w:gridCol w:w="1551"/>
        <w:gridCol w:w="1775"/>
        <w:gridCol w:w="1643"/>
        <w:gridCol w:w="1533"/>
      </w:tblGrid>
      <w:tr w:rsidR="004E403C" w:rsidRPr="00447FD6" w:rsidTr="00D35C5C">
        <w:trPr>
          <w:trHeight w:val="240"/>
        </w:trPr>
        <w:tc>
          <w:tcPr>
            <w:tcW w:w="5401" w:type="dxa"/>
            <w:gridSpan w:val="3"/>
            <w:vMerge w:val="restart"/>
            <w:shd w:val="clear" w:color="auto" w:fill="auto"/>
            <w:hideMark/>
          </w:tcPr>
          <w:p w:rsidR="004E403C" w:rsidRPr="00447FD6" w:rsidRDefault="004E403C" w:rsidP="00B201C9">
            <w:pPr>
              <w:spacing w:after="0" w:line="240" w:lineRule="auto"/>
              <w:jc w:val="center"/>
              <w:rPr>
                <w:rFonts w:ascii="Segoe UI" w:hAnsi="Segoe UI" w:cs="Segoe UI"/>
                <w:b/>
                <w:bCs/>
                <w:sz w:val="16"/>
                <w:szCs w:val="16"/>
              </w:rPr>
            </w:pPr>
            <w:r w:rsidRPr="00447FD6">
              <w:rPr>
                <w:rFonts w:ascii="Segoe UI" w:hAnsi="Segoe UI" w:cs="Segoe UI"/>
                <w:b/>
                <w:bCs/>
                <w:sz w:val="16"/>
                <w:szCs w:val="16"/>
              </w:rPr>
              <w:t>CHAPITRES</w:t>
            </w:r>
          </w:p>
        </w:tc>
        <w:tc>
          <w:tcPr>
            <w:tcW w:w="9719" w:type="dxa"/>
            <w:gridSpan w:val="6"/>
            <w:shd w:val="clear" w:color="000000" w:fill="C1C1C1"/>
            <w:hideMark/>
          </w:tcPr>
          <w:p w:rsidR="004E403C" w:rsidRPr="00447FD6" w:rsidRDefault="004E403C" w:rsidP="00B201C9">
            <w:pPr>
              <w:spacing w:after="0" w:line="240" w:lineRule="auto"/>
              <w:jc w:val="center"/>
              <w:rPr>
                <w:rFonts w:ascii="Segoe UI" w:hAnsi="Segoe UI" w:cs="Segoe UI"/>
                <w:b/>
                <w:bCs/>
                <w:sz w:val="16"/>
                <w:szCs w:val="16"/>
              </w:rPr>
            </w:pPr>
            <w:r w:rsidRPr="00447FD6">
              <w:rPr>
                <w:rFonts w:ascii="Segoe UI" w:hAnsi="Segoe UI" w:cs="Segoe UI"/>
                <w:b/>
                <w:bCs/>
                <w:sz w:val="16"/>
                <w:szCs w:val="16"/>
              </w:rPr>
              <w:t>MOUVEMENTS DE CREDIT</w:t>
            </w:r>
          </w:p>
        </w:tc>
      </w:tr>
      <w:tr w:rsidR="004E403C" w:rsidRPr="00447FD6" w:rsidTr="00D35C5C">
        <w:trPr>
          <w:trHeight w:val="240"/>
        </w:trPr>
        <w:tc>
          <w:tcPr>
            <w:tcW w:w="5401" w:type="dxa"/>
            <w:gridSpan w:val="3"/>
            <w:vMerge/>
            <w:vAlign w:val="center"/>
            <w:hideMark/>
          </w:tcPr>
          <w:p w:rsidR="004E403C" w:rsidRPr="00447FD6" w:rsidRDefault="004E403C" w:rsidP="00B201C9">
            <w:pPr>
              <w:spacing w:after="0" w:line="240" w:lineRule="auto"/>
              <w:rPr>
                <w:rFonts w:ascii="Segoe UI" w:hAnsi="Segoe UI" w:cs="Segoe UI"/>
                <w:b/>
                <w:bCs/>
                <w:sz w:val="16"/>
                <w:szCs w:val="16"/>
              </w:rPr>
            </w:pPr>
          </w:p>
        </w:tc>
        <w:tc>
          <w:tcPr>
            <w:tcW w:w="1666" w:type="dxa"/>
            <w:shd w:val="clear" w:color="000000" w:fill="E0E0E0"/>
            <w:hideMark/>
          </w:tcPr>
          <w:p w:rsidR="004E403C" w:rsidRPr="00447FD6" w:rsidRDefault="004E403C" w:rsidP="00B201C9">
            <w:pPr>
              <w:spacing w:after="0" w:line="240" w:lineRule="auto"/>
              <w:ind w:firstLineChars="300" w:firstLine="482"/>
              <w:rPr>
                <w:rFonts w:ascii="Segoe UI" w:hAnsi="Segoe UI" w:cs="Segoe UI"/>
                <w:b/>
                <w:bCs/>
                <w:sz w:val="16"/>
                <w:szCs w:val="16"/>
              </w:rPr>
            </w:pPr>
            <w:r w:rsidRPr="00447FD6">
              <w:rPr>
                <w:rFonts w:ascii="Segoe UI" w:hAnsi="Segoe UI" w:cs="Segoe UI"/>
                <w:b/>
                <w:bCs/>
                <w:sz w:val="16"/>
                <w:szCs w:val="16"/>
              </w:rPr>
              <w:t>Dotation</w:t>
            </w:r>
          </w:p>
        </w:tc>
        <w:tc>
          <w:tcPr>
            <w:tcW w:w="1551" w:type="dxa"/>
            <w:shd w:val="clear" w:color="000000" w:fill="E0E0E0"/>
            <w:hideMark/>
          </w:tcPr>
          <w:p w:rsidR="004E403C" w:rsidRPr="00447FD6" w:rsidRDefault="004E403C" w:rsidP="00B201C9">
            <w:pPr>
              <w:spacing w:after="0" w:line="240" w:lineRule="auto"/>
              <w:ind w:firstLineChars="300" w:firstLine="482"/>
              <w:rPr>
                <w:rFonts w:ascii="Segoe UI" w:hAnsi="Segoe UI" w:cs="Segoe UI"/>
                <w:b/>
                <w:bCs/>
                <w:sz w:val="16"/>
                <w:szCs w:val="16"/>
              </w:rPr>
            </w:pPr>
            <w:r w:rsidRPr="00447FD6">
              <w:rPr>
                <w:rFonts w:ascii="Segoe UI" w:hAnsi="Segoe UI" w:cs="Segoe UI"/>
                <w:b/>
                <w:bCs/>
                <w:sz w:val="16"/>
                <w:szCs w:val="16"/>
              </w:rPr>
              <w:t>Transfert</w:t>
            </w:r>
          </w:p>
        </w:tc>
        <w:tc>
          <w:tcPr>
            <w:tcW w:w="1551" w:type="dxa"/>
            <w:shd w:val="clear" w:color="000000" w:fill="E0E0E0"/>
            <w:hideMark/>
          </w:tcPr>
          <w:p w:rsidR="004E403C" w:rsidRPr="00447FD6" w:rsidRDefault="004E403C" w:rsidP="00B201C9">
            <w:pPr>
              <w:spacing w:after="0" w:line="240" w:lineRule="auto"/>
              <w:ind w:firstLineChars="300" w:firstLine="482"/>
              <w:rPr>
                <w:rFonts w:ascii="Segoe UI" w:hAnsi="Segoe UI" w:cs="Segoe UI"/>
                <w:b/>
                <w:bCs/>
                <w:sz w:val="16"/>
                <w:szCs w:val="16"/>
              </w:rPr>
            </w:pPr>
            <w:r w:rsidRPr="00447FD6">
              <w:rPr>
                <w:rFonts w:ascii="Segoe UI" w:hAnsi="Segoe UI" w:cs="Segoe UI"/>
                <w:b/>
                <w:bCs/>
                <w:sz w:val="16"/>
                <w:szCs w:val="16"/>
              </w:rPr>
              <w:t>Virement</w:t>
            </w:r>
          </w:p>
        </w:tc>
        <w:tc>
          <w:tcPr>
            <w:tcW w:w="1775" w:type="dxa"/>
            <w:shd w:val="clear" w:color="000000" w:fill="E0E0E0"/>
            <w:hideMark/>
          </w:tcPr>
          <w:p w:rsidR="004E403C" w:rsidRPr="00447FD6" w:rsidRDefault="004E403C" w:rsidP="00B201C9">
            <w:pPr>
              <w:spacing w:after="0" w:line="240" w:lineRule="auto"/>
              <w:ind w:firstLineChars="300" w:firstLine="482"/>
              <w:rPr>
                <w:rFonts w:ascii="Segoe UI" w:hAnsi="Segoe UI" w:cs="Segoe UI"/>
                <w:b/>
                <w:bCs/>
                <w:sz w:val="16"/>
                <w:szCs w:val="16"/>
              </w:rPr>
            </w:pPr>
            <w:r w:rsidRPr="00447FD6">
              <w:rPr>
                <w:rFonts w:ascii="Segoe UI" w:hAnsi="Segoe UI" w:cs="Segoe UI"/>
                <w:b/>
                <w:bCs/>
                <w:sz w:val="16"/>
                <w:szCs w:val="16"/>
              </w:rPr>
              <w:t>Dépassement</w:t>
            </w:r>
          </w:p>
        </w:tc>
        <w:tc>
          <w:tcPr>
            <w:tcW w:w="1643" w:type="dxa"/>
            <w:shd w:val="clear" w:color="000000" w:fill="E0E0E0"/>
            <w:hideMark/>
          </w:tcPr>
          <w:p w:rsidR="004E403C" w:rsidRPr="00447FD6" w:rsidRDefault="004E403C" w:rsidP="00B201C9">
            <w:pPr>
              <w:spacing w:after="0" w:line="240" w:lineRule="auto"/>
              <w:jc w:val="center"/>
              <w:rPr>
                <w:rFonts w:ascii="Segoe UI" w:hAnsi="Segoe UI" w:cs="Segoe UI"/>
                <w:b/>
                <w:bCs/>
                <w:sz w:val="16"/>
                <w:szCs w:val="16"/>
              </w:rPr>
            </w:pPr>
            <w:r w:rsidRPr="00447FD6">
              <w:rPr>
                <w:rFonts w:ascii="Segoe UI" w:hAnsi="Segoe UI" w:cs="Segoe UI"/>
                <w:b/>
                <w:bCs/>
                <w:sz w:val="16"/>
                <w:szCs w:val="16"/>
              </w:rPr>
              <w:t>Report</w:t>
            </w:r>
          </w:p>
        </w:tc>
        <w:tc>
          <w:tcPr>
            <w:tcW w:w="1533" w:type="dxa"/>
            <w:shd w:val="clear" w:color="000000" w:fill="E0E0E0"/>
            <w:hideMark/>
          </w:tcPr>
          <w:p w:rsidR="004E403C" w:rsidRPr="00447FD6" w:rsidRDefault="004E403C" w:rsidP="00B201C9">
            <w:pPr>
              <w:spacing w:after="0" w:line="240" w:lineRule="auto"/>
              <w:ind w:firstLineChars="100" w:firstLine="161"/>
              <w:rPr>
                <w:rFonts w:ascii="Segoe UI" w:hAnsi="Segoe UI" w:cs="Segoe UI"/>
                <w:b/>
                <w:bCs/>
                <w:sz w:val="16"/>
                <w:szCs w:val="16"/>
              </w:rPr>
            </w:pPr>
            <w:r w:rsidRPr="00447FD6">
              <w:rPr>
                <w:rFonts w:ascii="Segoe UI" w:hAnsi="Segoe UI" w:cs="Segoe UI"/>
                <w:b/>
                <w:bCs/>
                <w:sz w:val="16"/>
                <w:szCs w:val="16"/>
              </w:rPr>
              <w:t>Fonds de concours</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10</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ASSEMBLEE NATIONALE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14 056 443 000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11</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COUR CONSTITUTIONNELLE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1 337 903 000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12</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COUR SUPREME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3 092 208 000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13</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CONSEIL ECONOMIQUE ET SOCIAL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1 883 962 000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14</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HAUTE AUTORITE DE L'AUDIOVISUEL ET DE LA COMMUNICATION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1 733 427 000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15</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HAUTE COUR DE JUSTICE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826 292 000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401" w:type="dxa"/>
            <w:gridSpan w:val="3"/>
            <w:shd w:val="clear" w:color="auto" w:fill="auto"/>
            <w:hideMark/>
          </w:tcPr>
          <w:p w:rsidR="004E403C" w:rsidRPr="00447FD6" w:rsidRDefault="004E403C" w:rsidP="00B201C9">
            <w:pPr>
              <w:spacing w:after="0" w:line="240" w:lineRule="auto"/>
              <w:jc w:val="center"/>
              <w:rPr>
                <w:rFonts w:ascii="Segoe UI" w:hAnsi="Segoe UI" w:cs="Segoe UI"/>
                <w:b/>
                <w:bCs/>
                <w:sz w:val="16"/>
                <w:szCs w:val="16"/>
              </w:rPr>
            </w:pPr>
            <w:r w:rsidRPr="00447FD6">
              <w:rPr>
                <w:rFonts w:ascii="Segoe UI" w:hAnsi="Segoe UI" w:cs="Segoe UI"/>
                <w:b/>
                <w:bCs/>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16</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MEDIATEUR DE LA REPUBLIQUE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389 308 000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17</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COMMISSION ELECTORALE NATIONALE </w:t>
            </w:r>
            <w:r>
              <w:rPr>
                <w:rFonts w:ascii="Segoe UI" w:hAnsi="Segoe UI" w:cs="Segoe UI"/>
                <w:sz w:val="16"/>
                <w:szCs w:val="16"/>
              </w:rPr>
              <w:t xml:space="preserve"> </w:t>
            </w:r>
            <w:r w:rsidRPr="00447FD6">
              <w:rPr>
                <w:rFonts w:ascii="Segoe UI" w:hAnsi="Segoe UI" w:cs="Segoe UI"/>
                <w:sz w:val="16"/>
                <w:szCs w:val="16"/>
              </w:rPr>
              <w:t>AUTONOME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20</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PRESIDENCE DE LA REPUBLIQUE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14 935 908 000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1 530 250 866</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1 638 250 866</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207202276100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AUTORITE DE REGULATION DE L'ENERGIE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108 000 000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108 000 000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201100112100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CABINET DU PRESIDENT DE LA REPUBLIQUE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4 674 982 000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1 046 653 866</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1 046 653 866</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201000212100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EQUIPEMENT SOCIO-ADMINISTRATIF</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2 003 206 000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201000112100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633 695 000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483 597 000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483 597 000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555"/>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DELEGUE AUPRES DU PRESIDENT DE LA REPUBLIQUE, CHARGE DE LA DEFENSE NATIONALE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83 897 898 000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214 100 000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11 896 592 000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222100421100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INSPECTION GENERALE DES ARMEES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lastRenderedPageBreak/>
              <w:t>222101221100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DES ECOLES ET DES SPORTS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222101421100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SERVICE REGIONAL DE L'INTENDANCE DES ARMEES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947 000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1 994 000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222101821100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CPADD</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7 470 000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7 470 000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222200122100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COMMANDEMENT DE</w:t>
            </w:r>
            <w:r w:rsidRPr="00982E8F">
              <w:rPr>
                <w:rFonts w:ascii="Segoe UI" w:hAnsi="Segoe UI" w:cs="Segoe UI"/>
                <w:sz w:val="16"/>
                <w:szCs w:val="16"/>
              </w:rPr>
              <w:t xml:space="preserve"> </w:t>
            </w:r>
            <w:r w:rsidRPr="00447FD6">
              <w:rPr>
                <w:rFonts w:ascii="Segoe UI" w:hAnsi="Segoe UI" w:cs="Segoe UI"/>
                <w:sz w:val="16"/>
                <w:szCs w:val="16"/>
              </w:rPr>
              <w:t xml:space="preserve"> L'ARMEE </w:t>
            </w:r>
            <w:r w:rsidRPr="00982E8F">
              <w:rPr>
                <w:rFonts w:ascii="Segoe UI" w:hAnsi="Segoe UI" w:cs="Segoe UI"/>
                <w:sz w:val="16"/>
                <w:szCs w:val="16"/>
              </w:rPr>
              <w:t xml:space="preserve"> </w:t>
            </w:r>
            <w:r w:rsidRPr="00447FD6">
              <w:rPr>
                <w:rFonts w:ascii="Segoe UI" w:hAnsi="Segoe UI" w:cs="Segoe UI"/>
                <w:sz w:val="16"/>
                <w:szCs w:val="16"/>
              </w:rPr>
              <w:t>DE TERRE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29 087 887 000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222200623100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EXPERTISE MEDICALE DES PERSONNELS NAVIGANTS DES FORCES AERIENNES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12 500 000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2 577 000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222200723100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RECYCLAGE DES PILOTES DES FORCES AERIENNES SUR SIMULATEUR DE VOL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7 577 000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222202322300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BATAILLONS DE L'ARMEE DE TERRE ET GNSP</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49 067 000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150 003 000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222202423200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BASES AERIENNES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7 792 000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40 879 000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222202524200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BASES NAVALES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7 292 000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42 633 000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222100321100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ETAT MAJOR DES ARMEES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55 197 000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25 000 000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222100121100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CABINET DU MINISTRE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157 376 000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25 000 000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222000221100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EQUIPEMENT SOCIO-ADMINISTRATIF</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1 162 848 000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166 100 000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222000121100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2 009 582 000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62 000 000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222202821100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LA PARTICIPATION DES ARMEES AU DEVELOPPEMENT ET AUX TACHES D'INTERETS PUBLICS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224201544200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CENTRE DE FORMATION MILITAIRE DE BEMBEREKE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224201446400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ECOLE NATIONALE DES OFFICIERS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224201346400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ECOLE NATIONALE DES SOUS-OFFICIERS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222202821800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CENTRE DE FORMATION AUX OPERATIONS DE MAINTIEN DE LA PAIX DE CANA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222600921100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INSTITUTIONNEL  AU MINISTERE DE LA DEFENSE NATIONALE/DPP</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222601321200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D'EQUIPEMENT DES FORCES ARMEES BENINOISES POUR LES OPERATIONS MILITAIRES A L'EXTERIEUR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222601421100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REHABILITATION, DE CONSTRUCTION ET D'EQUIPEMENT D'INFRASTRUCTURES AU PROFIT DE L'ADMINISTRATION CENTRALE DU MINISTERE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lastRenderedPageBreak/>
              <w:t>222601521200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REHABILITATION, DE CONSTRUCTION ET D'EQUIPEMENT D'INFRASTRUCTURES AU PROFIT DE L'ETAT-MAJOR GENERAL ET DES STRUCTURES SOUS 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4 117 735 000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222601621200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RHABILITATION, DE CONSTRUCTION ET D'EQUIPEMENT D'INFRASTRUCTURES AU PROFIT DES FORCES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7 157 204 000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222601721200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RENFORCEMENT DES CAPACITES OPERATIONNELLES DES FAB</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11 500 000 000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222601821200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RENFORCEMENT DE LA DEFENSE OPERATIONNELLE DU TERRITOIRE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223201231100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DES RESSOURCES FINANCIERES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54 151 000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3 500 000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223201834400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DT. DE LA PROGRAMMATION ET DE LA PROSPECTIVE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224201044200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LYCEE MILITAIRE DE JEUNES FILLES DE NATITINGOU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2 722 000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2 722 000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224201144200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PRYTANEE MILITAIRE DE BEMBEREKE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2 722 000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2 722 000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224201246400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ECOLE NATIONALE SUPERIEURE DES ARMEES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1 923 000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555"/>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L'ECONOMIE ET DES FINANCES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380 669 543 000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339 030 000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257400472700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NATIONALE DU DOMAINE FONCIER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140 974 000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339 030 000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26</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LA JUSTICE ET DE LA LEGISLATION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24 047 522 000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27</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DU PLAN ET DU DEVELOPPEMENT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11 463 411 000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DU TRAVAIL, DE LA FONCTION PUBLIQUE ET DES AFFAIRES SOCIALES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32 215 830 000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2 618 822 000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316601066300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DE PROTECTION DES COUCHES VULNERABLES (PPCV)</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2 739 560 000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720 582 000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313602235700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INSTITUTIONNEL  AU SECTEUR DE LA MICROFINANCE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305 050 000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313600932900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D'AUTONOMISATION ECONOMIQUE DES FEMMES ET DE PROMOTION DU GENRE (PAEF-PG)</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1 739 561 000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1 573 190 000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313600833300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A LA MISE EN OEUVRE DE LA REFORME ADMINISTRATIVE ET INSTITUTIONNELLE  ET DES REFORMES DE LA FONCTION 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313600733100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DE CONSTRUCTION ET EQUIPEMENT DES LOCAUX DU MTFPRAI-DS ET DES DDTFPRAI-DS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1 300 000 000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DU TRAVAIL, DE LA FONCTION PUBLIQUE ET DES AFFAIRES SOCIALES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32 215 830 000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2 618 822 000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313000133100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815 734 000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32</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L'ECONOMIE NUMERIQUE ET DE LA COMMUNICATION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31 444 707 000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455 000 000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1 850 390 332</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lastRenderedPageBreak/>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325400253100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OFFICE DE RADIODIFFUSION ET TELEVISION DU BENIN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109 311 000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852 744 100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325400853100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SUBVENTIONS AUX CHARGES SALARIALES DE L'ORTB</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1 410 429 000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997 646 232</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325608953500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DE RENFORCEMENT DES STRUCTURES CENTRALES DE GOUVERNANCE (PRSCG)</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696 000 000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455 000 000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DU CADRE DE VIE ET DU DEVELOPPEMENT DURABLE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149 438 946 000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30 958 914 000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14 737 707 000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347625374900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RESERVE DE BIOSPHERE TRANSFRONTALIERE DU DELTA DU MONO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347625174200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AMENAGEMENT DES BERGES DE LA LAGUNE DE COTONOU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347624374200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SPECIAL DE REHABILITATION DE LA VILLE D'ABOMEY</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982E8F"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Pr="00982E8F"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347624274200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DES VILLES DURABLES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33 901 236 000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10 212 414 000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3 559 707 000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347600172600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CONSTRUCTION DES BATIMENTS ADMINISTRATIFS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20 000 000 000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11 801 000 000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6 782 500 000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345625752100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CREATION D'UN COMPLEXE INTERNATIONAL (CONFERENCES  ET THEATRE) A COTONOU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347625871300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RENOVATION DU CENTRE COMMERCIAL DE GANHI</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348600184200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A LA GESTION DES AIRES PROTEGEES AU BENIN (ex-PADAP)</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276 000 000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138 000 000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347627071300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CONSTRUCTION DES INFRASTRUCTURES SOCIO-COMMUNAUTAIRES SOUS TUTELLE DES AUTRES MINISTERES SECTORIELS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11 576 000 000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8 369 500 000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1 234 500 000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347626874900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SUBTITUTION DU BOIS ENERGIE PAR LE GAZ DOMESTIQUE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1 873 000 000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347626374400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DE PROTECTION DU LITTORAL CONTRE L'EROSION CÔTIERE (COTONOU-SIAFATO, HILACONDJI-BOUCHE DU ROY, GRAND-POPO-OUIDAH)</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14 625 000 000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347626271300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DEVELOPPEMENT DE PROGRAMMES IMMOBILIERS D'HABITAT SOCIAL ET ECONOMIQUE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347626174200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ASSAINISSEMENT PLUVIAL DE COTONOU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35</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L'INDUSTRIE, DU COMMERCE ET DE L'ARTISANAT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11 355 393 000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lastRenderedPageBreak/>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LA SANTE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81 813 631 000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642 000 000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812 000 000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1 467 900 000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366625963200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ETUDE DU PROJET DE CONSTRUCTION ET EQUIPEMENT D'UN CENTRE HOSPITALIER UNIVERSITAIRE ET D'UNE UNITE DE RADIOTHERAPIE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480 559 000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170 000 000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367200471100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DES INFRASTRUCTURES  DE L'EQUIPEMENT ET DE LA MAINTENANCE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1 178 738 000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366000161100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2 332 429 000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366200461100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NATIONALE DE LA SANTE 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1 917 758 000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642 000 000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642 000 000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366204363100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ASSISTANCE AUX HEMODIALYSES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2 300 000 000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366601164500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NATIONAL DE LUTTE CONTRE LE PALUDISME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1 614 000 000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1 467 900 000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37</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L'ENERGIE, DE L'EAU ET DES MINES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148 500 352 000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800 000 000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377629876200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CONSTRUCTION D'UNE CENTRALE THERMIQUE DE 120 MEGAWATTS A MARIA GLETA (PREMIERE PHASE DE LA CENTRALE THERMIQUE DE 40</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9 572 188 000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800 000 000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377630476200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APPROVISIONNEMENT EN CARBURANT ET LUBRIFIANTS DES GROUPES ELECTROGENES, DES CENTRALES THERMIQUES DE MRI, AGGREKO ET APR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41 422 000 000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38</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DU TOURISME ET DE LA CULTURE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35 755 346 000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L'AGRICULTURE,</w:t>
            </w:r>
            <w:r w:rsidRPr="00982E8F">
              <w:rPr>
                <w:rFonts w:ascii="Segoe UI" w:hAnsi="Segoe UI" w:cs="Segoe UI"/>
                <w:sz w:val="16"/>
                <w:szCs w:val="16"/>
              </w:rPr>
              <w:t xml:space="preserve"> </w:t>
            </w:r>
            <w:r w:rsidRPr="00447FD6">
              <w:rPr>
                <w:rFonts w:ascii="Segoe UI" w:hAnsi="Segoe UI" w:cs="Segoe UI"/>
                <w:sz w:val="16"/>
                <w:szCs w:val="16"/>
              </w:rPr>
              <w:t xml:space="preserve">DE L'ELEVAGE ET </w:t>
            </w:r>
            <w:r w:rsidRPr="00982E8F">
              <w:rPr>
                <w:rFonts w:ascii="Segoe UI" w:hAnsi="Segoe UI" w:cs="Segoe UI"/>
                <w:sz w:val="16"/>
                <w:szCs w:val="16"/>
              </w:rPr>
              <w:t xml:space="preserve"> </w:t>
            </w:r>
            <w:r w:rsidRPr="00447FD6">
              <w:rPr>
                <w:rFonts w:ascii="Segoe UI" w:hAnsi="Segoe UI" w:cs="Segoe UI"/>
                <w:sz w:val="16"/>
                <w:szCs w:val="16"/>
              </w:rPr>
              <w:t>DE</w:t>
            </w:r>
            <w:r w:rsidRPr="00982E8F">
              <w:rPr>
                <w:rFonts w:ascii="Segoe UI" w:hAnsi="Segoe UI" w:cs="Segoe UI"/>
                <w:sz w:val="16"/>
                <w:szCs w:val="16"/>
              </w:rPr>
              <w:t xml:space="preserve"> </w:t>
            </w:r>
            <w:r w:rsidRPr="00447FD6">
              <w:rPr>
                <w:rFonts w:ascii="Segoe UI" w:hAnsi="Segoe UI" w:cs="Segoe UI"/>
                <w:sz w:val="16"/>
                <w:szCs w:val="16"/>
              </w:rPr>
              <w:t xml:space="preserve"> LA</w:t>
            </w:r>
            <w:r w:rsidRPr="00982E8F">
              <w:rPr>
                <w:rFonts w:ascii="Segoe UI" w:hAnsi="Segoe UI" w:cs="Segoe UI"/>
                <w:sz w:val="16"/>
                <w:szCs w:val="16"/>
              </w:rPr>
              <w:t xml:space="preserve"> </w:t>
            </w:r>
            <w:r w:rsidRPr="00447FD6">
              <w:rPr>
                <w:rFonts w:ascii="Segoe UI" w:hAnsi="Segoe UI" w:cs="Segoe UI"/>
                <w:sz w:val="16"/>
                <w:szCs w:val="16"/>
              </w:rPr>
              <w:t xml:space="preserve"> PECHE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105 822 596 000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7 950 307 000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2 652 150 000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11 218 645 640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394201647300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RECHERCHE AGRONOMIQUE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11 218 645 640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398205283900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PROMOTION DES FILIERES AGRICOLES </w:t>
            </w:r>
            <w:proofErr w:type="gramStart"/>
            <w:r w:rsidRPr="00447FD6">
              <w:rPr>
                <w:rFonts w:ascii="Segoe UI" w:hAnsi="Segoe UI" w:cs="Segoe UI"/>
                <w:sz w:val="16"/>
                <w:szCs w:val="16"/>
              </w:rPr>
              <w:t>( ACQUISITION</w:t>
            </w:r>
            <w:proofErr w:type="gramEnd"/>
            <w:r w:rsidRPr="00447FD6">
              <w:rPr>
                <w:rFonts w:ascii="Segoe UI" w:hAnsi="Segoe UI" w:cs="Segoe UI"/>
                <w:sz w:val="16"/>
                <w:szCs w:val="16"/>
              </w:rPr>
              <w:t xml:space="preserve"> DE SEMENCES AMELIOREE ET D'INTANTS SPECIFIQUES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398205783400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ONS - REMBOURSEMENT CREANCE SUR SONAPRA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398206983100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SUBVENTION A BENIN-TRACTEURS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398300182100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 L'ALIBORI</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179 545 000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163 636 000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lastRenderedPageBreak/>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398300282100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 L'ATACORA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266 727 000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245 454 000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398300382100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 L'ATLANTIQUE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243 613 000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218 182 000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398300482100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BORGOU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239 393 000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218 182 000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398300582100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DES COLLINES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175 722 000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163 636 000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398300682100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COUFFO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180 038 000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163 636 000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398300782100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 LA DONGA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119 459 000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398300882100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LITTORAL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82 545 000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79 366 000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398300982100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MONO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180 037 000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163 636 000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398301082100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DE L'OUEME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265 473 000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245 454 000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398301182100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PLATEAU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147 485 000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136 364 000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398301282100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 L'AGRICULTURE, DE L'ELEVAGE ET DE LA PECHE DU ZOU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263 582 000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245 454 000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lastRenderedPageBreak/>
              <w:t>398301382700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ATACORA - DONGA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1 693 160 000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51 976 000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398301482700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ATLANTIQUE - LITTORAL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1 329 902 000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398301582700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BORGOU - ALIBORI</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2 542 811 000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398301682700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MONO - COUFFO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1 382 693 000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398301782700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OUEME - PLATEAU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1 479 663 000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398301882700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proofErr w:type="spellStart"/>
            <w:r w:rsidRPr="00447FD6">
              <w:rPr>
                <w:rFonts w:ascii="Segoe UI" w:hAnsi="Segoe UI" w:cs="Segoe UI"/>
                <w:sz w:val="16"/>
                <w:szCs w:val="16"/>
              </w:rPr>
              <w:t>CeRPA</w:t>
            </w:r>
            <w:proofErr w:type="spellEnd"/>
            <w:r w:rsidRPr="00447FD6">
              <w:rPr>
                <w:rFonts w:ascii="Segoe UI" w:hAnsi="Segoe UI" w:cs="Segoe UI"/>
                <w:sz w:val="16"/>
                <w:szCs w:val="16"/>
              </w:rPr>
              <w:t xml:space="preserve">  ZOU  - COLLINES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1 855 331 000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398400883100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DE DEVELOPPEMEN DE LA MECANISATION AGRICOLE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398400982200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DE PROMOTION DES AMENAGEMENTS HYDRO-AGRICOLES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398401282700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DE MALLANVILLE (ATDA 1)</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398401382700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DE KANDI (ATDA 2)</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398401482700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DE NATITINGOU (ATDA 3)</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398401582700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DE PARAKOU (ATDA 4)</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398401682700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D'ABOMEY (ATDA 5)</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398401782700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DE POBE (ATDA 6)</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398401882700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AGENCE TERRITORIALE DE DEVELOPPEMENT AGRICOLE D'ABOMEY-CALAVI (ATDA 7)</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793 530 000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398614585200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AUX  FILIERES LAIT ET VIANDES (PAFILAV)</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4 500 000 000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499 150 000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40</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DES SPORTS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18 985 456 000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L'ENSEIGNEMENT SUPERIEUR ET DE LA RECHERCHE SCIENTIFIQUE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74 214 621 000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16 000 000 000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340 800 000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444000145100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13 899 317 000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340 800 000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555"/>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444601341900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CREATION DE LA CITE DE L'INNOVATION ET DU SAVOIR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16 000 000 000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495"/>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444401846400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INSTITUT NATIONAL DS CLASSES PREPARATOIRES AUX ECOLES D'INGENIERIE DE SAVALOU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525"/>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444601146900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PROGRAMME SPECIAL DE COUVERTURE DES BESOINS EN INFRASTRUCTURES  ET EQUIPEMENTS DES UNB</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8 782 200 000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78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444601246900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DE CONSTRUCTION ET D'EQUIPEMENT DES INFRASTRUCTURES  ADMINISTRATIVES ET PEDAGOGIQUES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1 480 000 000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444203646200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CENTRE DES OEUVRES UNIVERSITAIRES ET SOCIALES DE L'UAC</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1 846 317 000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lastRenderedPageBreak/>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51</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DES INFRASTRUCTURES  ET DES TRANSPORTS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168 699 574 000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60</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L'INTERIEUR ET DE LA SECURITE PUBLIQUE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47 684 357 000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61</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 LA DECENTRALISATION ET DE LA GOUVERNANCE LOCALE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25 883 711 000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2 755 019 400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613600136300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FADEC - INVESTISSEMENT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2 755 019 400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DES ENSEIGNEMENTS MATERNEL ET PRIMAIRE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115 575 271 000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497 900 000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173 919 000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2 700 000 000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982E8F"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623200234400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la Programmation et de la Prospective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341 096 000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623200331100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L'ADMINISTRATION ET DES FINANCES (DAF)</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6 319 548 000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150 150 000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623200435700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l'INFORMATIQUE ET DU PRE ARCHIVAGE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87 580 000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623201732600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PERAC</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623203835500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LA MEDIATHEQUE DE L'EDUCATION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64 334 000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624000141100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18 364 845 000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624101641200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INSPECTION GENERALE PEDAGOGIQUE </w:t>
            </w:r>
            <w:proofErr w:type="gramStart"/>
            <w:r w:rsidRPr="00447FD6">
              <w:rPr>
                <w:rFonts w:ascii="Segoe UI" w:hAnsi="Segoe UI" w:cs="Segoe UI"/>
                <w:sz w:val="16"/>
                <w:szCs w:val="16"/>
              </w:rPr>
              <w:t>( EX</w:t>
            </w:r>
            <w:proofErr w:type="gramEnd"/>
            <w:r w:rsidRPr="00447FD6">
              <w:rPr>
                <w:rFonts w:ascii="Segoe UI" w:hAnsi="Segoe UI" w:cs="Segoe UI"/>
                <w:sz w:val="16"/>
                <w:szCs w:val="16"/>
              </w:rPr>
              <w:t>-DIP)</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145 605 000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624200442300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l'Enseignement Primaire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284 391 000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624202341100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PLAN DECENNAL EDUCATION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624202842200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L'ENSEIGNEMENT MATERNEL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118 196 000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51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624204741100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APPUI AU FONCTIONNEMENT ET AUX ACTIVITES DES ORGANES DE PILOTAGE DU STP/PDDSE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212 750 000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480"/>
        </w:trPr>
        <w:tc>
          <w:tcPr>
            <w:tcW w:w="518" w:type="dxa"/>
            <w:vMerge w:val="restart"/>
            <w:shd w:val="clear" w:color="auto" w:fill="auto"/>
            <w:hideMark/>
          </w:tcPr>
          <w:p w:rsidR="004E403C"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lastRenderedPageBreak/>
              <w:t>624300142100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DE L'ALIBORI</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36 550 000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623100331200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SECRETARIAT GENERAL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118 619 000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623100232700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INSPECTION GENERALE DU MINISTERE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89 251 000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15 000 000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624300241200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w:t>
            </w:r>
            <w:r>
              <w:rPr>
                <w:rFonts w:ascii="Segoe UI" w:hAnsi="Segoe UI" w:cs="Segoe UI"/>
                <w:sz w:val="16"/>
                <w:szCs w:val="16"/>
              </w:rPr>
              <w:t xml:space="preserve"> </w:t>
            </w:r>
            <w:r w:rsidRPr="00447FD6">
              <w:rPr>
                <w:rFonts w:ascii="Segoe UI" w:hAnsi="Segoe UI" w:cs="Segoe UI"/>
                <w:sz w:val="16"/>
                <w:szCs w:val="16"/>
              </w:rPr>
              <w:t xml:space="preserve"> de l'Enseignement de l'</w:t>
            </w:r>
            <w:proofErr w:type="spellStart"/>
            <w:r w:rsidRPr="00447FD6">
              <w:rPr>
                <w:rFonts w:ascii="Segoe UI" w:hAnsi="Segoe UI" w:cs="Segoe UI"/>
                <w:sz w:val="16"/>
                <w:szCs w:val="16"/>
              </w:rPr>
              <w:t>Atacora</w:t>
            </w:r>
            <w:proofErr w:type="spellEnd"/>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9 539 829 000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5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627202771100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DES INFRASTRUCTURES,  DE L'EQUIPEMENT ET DE LA MAINTENANCE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81 617 000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625201052100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 la Commission Béninoise pour l'UNESCO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95 469 000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624300341200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 de l'Enseignement de l'Atlantique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9 509 857 000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624300441200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w:t>
            </w:r>
            <w:r>
              <w:rPr>
                <w:rFonts w:ascii="Segoe UI" w:hAnsi="Segoe UI" w:cs="Segoe UI"/>
                <w:sz w:val="16"/>
                <w:szCs w:val="16"/>
              </w:rPr>
              <w:t xml:space="preserve"> </w:t>
            </w:r>
            <w:r w:rsidRPr="00447FD6">
              <w:rPr>
                <w:rFonts w:ascii="Segoe UI" w:hAnsi="Segoe UI" w:cs="Segoe UI"/>
                <w:sz w:val="16"/>
                <w:szCs w:val="16"/>
              </w:rPr>
              <w:t xml:space="preserve"> de l'Enseignement du </w:t>
            </w:r>
            <w:proofErr w:type="spellStart"/>
            <w:r w:rsidRPr="00447FD6">
              <w:rPr>
                <w:rFonts w:ascii="Segoe UI" w:hAnsi="Segoe UI" w:cs="Segoe UI"/>
                <w:sz w:val="16"/>
                <w:szCs w:val="16"/>
              </w:rPr>
              <w:t>Borgou</w:t>
            </w:r>
            <w:proofErr w:type="spellEnd"/>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9 612 643 000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624300542100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DES COLLINES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33 605 000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624300642100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DU COUFFO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33 390 000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982E8F"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624300742100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DE LA DONGA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34 050 000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624300842100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DU LITTORAL</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32 760 000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624300941200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 de l'Enseignement du Mono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11 177 060 000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624301041200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 de l'Enseignement de l'</w:t>
            </w:r>
            <w:proofErr w:type="spellStart"/>
            <w:r w:rsidRPr="00447FD6">
              <w:rPr>
                <w:rFonts w:ascii="Segoe UI" w:hAnsi="Segoe UI" w:cs="Segoe UI"/>
                <w:sz w:val="16"/>
                <w:szCs w:val="16"/>
              </w:rPr>
              <w:t>Ouémé</w:t>
            </w:r>
            <w:proofErr w:type="spellEnd"/>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10 210 076 000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624301142100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DEPARTEMENTALE DES ENSEIGNEMENTS MATERNEL ET PRIMAIRE DU PLATEAU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34 812 000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624301241200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Direction Départementale de l'Enseignement du Zou</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12 617 152 000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624400542300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CANTINES SCOLAIRES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2 700 000 000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624613242300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 SPECIAL DE CONSTRUCTION, DE REHABILITATION ET D'EQUIP. DES INFRASTUCTURES SCOLAIRES DES ZONES A BESOINS SPECIFIQUES (PSC</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2 698 177 000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135 319 000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624613341100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 DE CONSTRUCTION, DE REHABILITATION, D'EQUIP. ET DE VIABILISATION DES ECOLES NORMALES, D'INSTITUTEURS ET DES CIRCONSCRIPTIO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885 094 000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2 640 000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624613441200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PROG. D'APPUI INSTITUTIONNEL  ET DE RENFORCEMENT DE CAPACITES DU MEMP (PAIRCA- MEMP)</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207 628 000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5 960 000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5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63</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MINISTERE DES ENSEIGNEMENTS </w:t>
            </w:r>
            <w:proofErr w:type="gramStart"/>
            <w:r w:rsidRPr="00447FD6">
              <w:rPr>
                <w:rFonts w:ascii="Segoe UI" w:hAnsi="Segoe UI" w:cs="Segoe UI"/>
                <w:sz w:val="16"/>
                <w:szCs w:val="16"/>
              </w:rPr>
              <w:t>SECONDAIRE ,TECHNIQUE</w:t>
            </w:r>
            <w:proofErr w:type="gramEnd"/>
            <w:r w:rsidRPr="00447FD6">
              <w:rPr>
                <w:rFonts w:ascii="Segoe UI" w:hAnsi="Segoe UI" w:cs="Segoe UI"/>
                <w:sz w:val="16"/>
                <w:szCs w:val="16"/>
              </w:rPr>
              <w:t xml:space="preserve"> ET DE LA FORMATION  ET PROFESSIONNELLE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78 754 443 000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77 000 000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368 100 000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lastRenderedPageBreak/>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634000145100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CHARGES COMMUNES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13 420 966 000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77 000 000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634613443100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PROJET D'APPUI A L'ENSEIGNEMENT SECONDAIRE AU BENIN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2 776 536 000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368 100 000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MINISTERE DES AFFAIRES ETRANGERES ET DE LA COOPERATION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32 507 601 000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5 119 125 733</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641303116500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CONSULAT GENERAL DU BENIN A PARIS</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577 160 000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239 476 526</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641303216500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CONSULAT DU BENIN A DJEDDAH</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420 741 000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129 378 421</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641303416500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BERLIN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565 519 000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45 277 164</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641303516500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DOHA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397 981 000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112 480 420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641303616500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ROME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437 843 000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65 294 317</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641303716500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ROME-QUIRINAL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419 505 000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78 324 253</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641303816500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ANKARA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466 413 000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2 735 493</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641304016500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ALGER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367 576 000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201 196 801</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641304116500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TEHERAN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243 729 000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194 352 963</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641304216500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lang w:val="en-US"/>
              </w:rPr>
            </w:pPr>
            <w:r w:rsidRPr="00447FD6">
              <w:rPr>
                <w:rFonts w:ascii="Segoe UI" w:hAnsi="Segoe UI" w:cs="Segoe UI"/>
                <w:sz w:val="16"/>
                <w:szCs w:val="16"/>
                <w:lang w:val="en-US"/>
              </w:rPr>
              <w:t>CONSULAT GENERAL DU BENIN A NEW YORK</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283 250 000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641000216100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EQUIPEMENT SOCIO-ADMINISTRATIF</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1 010 148 000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120 000 000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641300116500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ACCRA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363 345 000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119 656 894</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641300216500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BEIJING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599 318 000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206 576 351</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641300416500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BRUXELLES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701 865 000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262 028 579</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641300516500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KINSHASA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386 156 000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34 874 160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641300616500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LAGOS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411 419 000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137 267 710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641300816500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LIBREVILLE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265 916 000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102 810 560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982E8F"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Pr="00982E8F"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Default="004E403C" w:rsidP="00B201C9">
            <w:pPr>
              <w:spacing w:after="0" w:line="240" w:lineRule="auto"/>
              <w:rPr>
                <w:rFonts w:ascii="Segoe UI" w:hAnsi="Segoe UI" w:cs="Segoe UI"/>
                <w:color w:val="000000"/>
                <w:sz w:val="16"/>
                <w:szCs w:val="16"/>
              </w:rPr>
            </w:pPr>
          </w:p>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lastRenderedPageBreak/>
              <w:t>641300916500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MOSCOU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425 316 000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237 173 145</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641301016500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NEW YORK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1 254 744 000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95 523 543</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641301116500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NIAMEY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185 302 000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62 372 988</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641301216500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OTTAWA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325 185 000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72 948 898</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982E8F"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641301316500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w:t>
            </w:r>
            <w:proofErr w:type="gramStart"/>
            <w:r w:rsidRPr="00447FD6">
              <w:rPr>
                <w:rFonts w:ascii="Segoe UI" w:hAnsi="Segoe UI" w:cs="Segoe UI"/>
                <w:sz w:val="16"/>
                <w:szCs w:val="16"/>
              </w:rPr>
              <w:t>PARIS(</w:t>
            </w:r>
            <w:proofErr w:type="gramEnd"/>
            <w:r w:rsidRPr="00447FD6">
              <w:rPr>
                <w:rFonts w:ascii="Segoe UI" w:hAnsi="Segoe UI" w:cs="Segoe UI"/>
                <w:sz w:val="16"/>
                <w:szCs w:val="16"/>
              </w:rPr>
              <w:t xml:space="preserve"> Poste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863 874 000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730 550 985</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982E8F"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641301416500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Délégation permanente du Bénin à l'UNESCO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770 249 000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147 839 068</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641301616500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WASHINGTON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944 825 000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144 808 255</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641301716500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ABIDJAN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231 119 000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641301816500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RABAT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350 154 000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16 731 554</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641301916500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ABUJA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511 725 000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218 914 211</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641302016500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xml:space="preserve">Ambassade du Bénin à PRETORIA </w:t>
            </w:r>
            <w:proofErr w:type="gramStart"/>
            <w:r w:rsidRPr="00447FD6">
              <w:rPr>
                <w:rFonts w:ascii="Segoe UI" w:hAnsi="Segoe UI" w:cs="Segoe UI"/>
                <w:sz w:val="16"/>
                <w:szCs w:val="16"/>
              </w:rPr>
              <w:t>( Poste</w:t>
            </w:r>
            <w:proofErr w:type="gramEnd"/>
            <w:r w:rsidRPr="00447FD6">
              <w:rPr>
                <w:rFonts w:ascii="Segoe UI" w:hAnsi="Segoe UI" w:cs="Segoe UI"/>
                <w:sz w:val="16"/>
                <w:szCs w:val="16"/>
              </w:rPr>
              <w:t xml:space="preserve"> diplomatique)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575 091 000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641302116500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RIYAD</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377 433 000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149 609 132</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641302316500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Bénin à GENEVE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1 280 786 000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76 470 458</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641302416500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AU KOWEIT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429 925 000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73 899 378</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641302516500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TOKYO</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616 513 000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502 090 774</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641302616500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ADDIS-ABEBA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389 937 000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265 500 546</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641302916500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COPENHAGUE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703 344 000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196 703 939</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641303016500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AMBASSADE DU BENIN  A BRASILIA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518 996 000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196 258 247</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sz w:val="16"/>
                <w:szCs w:val="16"/>
              </w:rPr>
            </w:pPr>
            <w:r w:rsidRPr="00447FD6">
              <w:rPr>
                <w:rFonts w:ascii="Segoe UI" w:hAnsi="Segoe UI" w:cs="Segoe UI"/>
                <w:sz w:val="16"/>
                <w:szCs w:val="16"/>
              </w:rPr>
              <w:t>76*-</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FONS ROUTIER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517400177301</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FONDS ROUTIER</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6 000 000 000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r w:rsidR="004E403C" w:rsidRPr="00447FD6" w:rsidTr="00D35C5C">
        <w:trPr>
          <w:trHeight w:val="240"/>
        </w:trPr>
        <w:tc>
          <w:tcPr>
            <w:tcW w:w="518" w:type="dxa"/>
            <w:shd w:val="clear" w:color="000000" w:fill="ADADAD"/>
            <w:hideMark/>
          </w:tcPr>
          <w:p w:rsidR="004E403C" w:rsidRPr="00447FD6" w:rsidRDefault="004E403C" w:rsidP="00B201C9">
            <w:pPr>
              <w:spacing w:after="0" w:line="240" w:lineRule="auto"/>
              <w:jc w:val="center"/>
              <w:rPr>
                <w:rFonts w:ascii="Segoe UI" w:hAnsi="Segoe UI" w:cs="Segoe UI"/>
                <w:sz w:val="16"/>
                <w:szCs w:val="16"/>
              </w:rPr>
            </w:pPr>
            <w:r w:rsidRPr="00447FD6">
              <w:rPr>
                <w:rFonts w:ascii="Segoe UI" w:hAnsi="Segoe UI" w:cs="Segoe UI"/>
                <w:sz w:val="16"/>
                <w:szCs w:val="16"/>
              </w:rPr>
              <w:t>77*-</w:t>
            </w:r>
          </w:p>
        </w:tc>
        <w:tc>
          <w:tcPr>
            <w:tcW w:w="4883" w:type="dxa"/>
            <w:gridSpan w:val="2"/>
            <w:shd w:val="clear" w:color="000000" w:fill="ADADAD"/>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DETTE PUBLIQUE + FRNB + CAA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1 025 000 000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253400332400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CAISSE AUTONOME D'AMORTISSEMENT</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2 145 000 000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restart"/>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253202532400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CAA-GESTION DES DEPENSES DE LA COMMISSION NATIONALE DE L'ENDETTEMENT (CNE)</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63 000 000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259000191101</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DETTE PUBLIQUE INTERIEURE - CAA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84 850 052 000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259000191201</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DETTE PUBLIQUE EXTERIEURE - CAA</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18 849 948 000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vMerge/>
            <w:vAlign w:val="center"/>
            <w:hideMark/>
          </w:tcPr>
          <w:p w:rsidR="004E403C" w:rsidRPr="00447FD6" w:rsidRDefault="004E403C" w:rsidP="00B201C9">
            <w:pPr>
              <w:spacing w:after="0" w:line="240" w:lineRule="auto"/>
              <w:rPr>
                <w:rFonts w:ascii="Segoe UI" w:hAnsi="Segoe UI" w:cs="Segoe UI"/>
                <w:color w:val="000000"/>
                <w:sz w:val="16"/>
                <w:szCs w:val="16"/>
              </w:rPr>
            </w:pP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259500195100</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FONDS NATIONAL DES RETRAITES DU BENIN</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65 850 000 000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1 025 000 000</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0</w:t>
            </w:r>
          </w:p>
        </w:tc>
      </w:tr>
      <w:tr w:rsidR="004E403C" w:rsidRPr="00447FD6" w:rsidTr="00D35C5C">
        <w:trPr>
          <w:trHeight w:val="240"/>
        </w:trPr>
        <w:tc>
          <w:tcPr>
            <w:tcW w:w="518" w:type="dxa"/>
            <w:shd w:val="clear" w:color="auto" w:fill="auto"/>
            <w:hideMark/>
          </w:tcPr>
          <w:p w:rsidR="004E403C" w:rsidRPr="00447FD6" w:rsidRDefault="004E403C" w:rsidP="00B201C9">
            <w:pPr>
              <w:spacing w:after="0" w:line="240" w:lineRule="auto"/>
              <w:rPr>
                <w:rFonts w:ascii="Segoe UI" w:hAnsi="Segoe UI" w:cs="Segoe UI"/>
                <w:color w:val="000000"/>
                <w:sz w:val="16"/>
                <w:szCs w:val="16"/>
              </w:rPr>
            </w:pPr>
            <w:r w:rsidRPr="00447FD6">
              <w:rPr>
                <w:rFonts w:ascii="Segoe UI" w:hAnsi="Segoe UI" w:cs="Segoe UI"/>
                <w:color w:val="000000"/>
                <w:sz w:val="16"/>
                <w:szCs w:val="16"/>
              </w:rPr>
              <w:t> </w:t>
            </w:r>
          </w:p>
        </w:tc>
        <w:tc>
          <w:tcPr>
            <w:tcW w:w="1175" w:type="dxa"/>
            <w:shd w:val="clear" w:color="000000" w:fill="E0E0E0"/>
            <w:hideMark/>
          </w:tcPr>
          <w:p w:rsidR="004E403C" w:rsidRPr="00447FD6" w:rsidRDefault="004E403C" w:rsidP="00B201C9">
            <w:pPr>
              <w:spacing w:after="0" w:line="240" w:lineRule="auto"/>
              <w:jc w:val="center"/>
              <w:rPr>
                <w:rFonts w:ascii="Segoe UI" w:hAnsi="Segoe UI" w:cs="Segoe UI"/>
                <w:color w:val="000000"/>
                <w:sz w:val="16"/>
                <w:szCs w:val="16"/>
              </w:rPr>
            </w:pPr>
            <w:r w:rsidRPr="00447FD6">
              <w:rPr>
                <w:rFonts w:ascii="Segoe UI" w:hAnsi="Segoe UI" w:cs="Segoe UI"/>
                <w:color w:val="000000"/>
                <w:sz w:val="16"/>
                <w:szCs w:val="16"/>
              </w:rPr>
              <w:t> </w:t>
            </w:r>
          </w:p>
        </w:tc>
        <w:tc>
          <w:tcPr>
            <w:tcW w:w="3708" w:type="dxa"/>
            <w:shd w:val="clear" w:color="auto" w:fill="auto"/>
            <w:hideMark/>
          </w:tcPr>
          <w:p w:rsidR="004E403C" w:rsidRPr="00447FD6" w:rsidRDefault="004E403C" w:rsidP="00B201C9">
            <w:pPr>
              <w:spacing w:after="0" w:line="240" w:lineRule="auto"/>
              <w:rPr>
                <w:rFonts w:ascii="Segoe UI" w:hAnsi="Segoe UI" w:cs="Segoe UI"/>
                <w:sz w:val="16"/>
                <w:szCs w:val="16"/>
              </w:rPr>
            </w:pPr>
            <w:r w:rsidRPr="00447FD6">
              <w:rPr>
                <w:rFonts w:ascii="Segoe UI" w:hAnsi="Segoe UI" w:cs="Segoe UI"/>
                <w:sz w:val="16"/>
                <w:szCs w:val="16"/>
              </w:rPr>
              <w:t> </w:t>
            </w:r>
          </w:p>
        </w:tc>
        <w:tc>
          <w:tcPr>
            <w:tcW w:w="1666"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51"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775"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64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c>
          <w:tcPr>
            <w:tcW w:w="1533" w:type="dxa"/>
            <w:shd w:val="clear" w:color="auto" w:fill="auto"/>
            <w:hideMark/>
          </w:tcPr>
          <w:p w:rsidR="004E403C" w:rsidRPr="00447FD6" w:rsidRDefault="004E403C" w:rsidP="00B201C9">
            <w:pPr>
              <w:spacing w:after="0" w:line="240" w:lineRule="auto"/>
              <w:jc w:val="right"/>
              <w:rPr>
                <w:rFonts w:ascii="Segoe UI" w:hAnsi="Segoe UI" w:cs="Segoe UI"/>
                <w:color w:val="000000"/>
                <w:sz w:val="16"/>
                <w:szCs w:val="16"/>
              </w:rPr>
            </w:pPr>
            <w:r w:rsidRPr="00447FD6">
              <w:rPr>
                <w:rFonts w:ascii="Segoe UI" w:hAnsi="Segoe UI" w:cs="Segoe UI"/>
                <w:color w:val="000000"/>
                <w:sz w:val="16"/>
                <w:szCs w:val="16"/>
              </w:rPr>
              <w:t> </w:t>
            </w:r>
          </w:p>
        </w:tc>
      </w:tr>
    </w:tbl>
    <w:p w:rsidR="004E403C" w:rsidRDefault="004E403C" w:rsidP="0035588C">
      <w:pPr>
        <w:pStyle w:val="Listedestableaux"/>
        <w:spacing w:line="240" w:lineRule="auto"/>
        <w:ind w:left="0"/>
        <w:rPr>
          <w:rFonts w:ascii="Segoe UI" w:hAnsi="Segoe UI" w:cs="Segoe UI"/>
        </w:rPr>
        <w:sectPr w:rsidR="004E403C" w:rsidSect="004E403C">
          <w:pgSz w:w="16838" w:h="11906" w:orient="landscape"/>
          <w:pgMar w:top="1417" w:right="1417" w:bottom="1417" w:left="1134" w:header="708" w:footer="708" w:gutter="0"/>
          <w:cols w:space="708"/>
          <w:docGrid w:linePitch="360"/>
        </w:sectPr>
      </w:pPr>
    </w:p>
    <w:p w:rsidR="00F85B6A" w:rsidRDefault="00E45458" w:rsidP="0006235F">
      <w:pPr>
        <w:pStyle w:val="Titre2"/>
        <w:numPr>
          <w:ilvl w:val="0"/>
          <w:numId w:val="43"/>
        </w:numPr>
        <w:spacing w:before="0"/>
        <w:rPr>
          <w:rFonts w:ascii="Segoe UI" w:hAnsi="Segoe UI" w:cs="Segoe UI"/>
        </w:rPr>
      </w:pPr>
      <w:bookmarkStart w:id="65" w:name="_Toc496025016"/>
      <w:r>
        <w:rPr>
          <w:rFonts w:ascii="Segoe UI" w:hAnsi="Segoe UI" w:cs="Segoe UI"/>
        </w:rPr>
        <w:lastRenderedPageBreak/>
        <w:t>Prise d’acte réglementaire pour l’application du texte de loi</w:t>
      </w:r>
      <w:bookmarkEnd w:id="65"/>
    </w:p>
    <w:p w:rsidR="0006235F" w:rsidRPr="0006235F" w:rsidRDefault="0006235F" w:rsidP="0006235F">
      <w:pPr>
        <w:rPr>
          <w:sz w:val="6"/>
        </w:rPr>
      </w:pPr>
    </w:p>
    <w:p w:rsidR="004F050C" w:rsidRPr="00657A59" w:rsidRDefault="000750C9" w:rsidP="000750C9">
      <w:pPr>
        <w:jc w:val="both"/>
        <w:rPr>
          <w:rFonts w:ascii="Segoe UI" w:hAnsi="Segoe UI" w:cs="Segoe UI"/>
          <w:sz w:val="24"/>
          <w:szCs w:val="24"/>
        </w:rPr>
      </w:pPr>
      <w:r w:rsidRPr="006C4B97">
        <w:rPr>
          <w:rFonts w:ascii="Segoe UI" w:hAnsi="Segoe UI" w:cs="Segoe UI"/>
          <w:sz w:val="26"/>
          <w:szCs w:val="26"/>
        </w:rPr>
        <w:t xml:space="preserve"> </w:t>
      </w:r>
      <w:r w:rsidR="008B0A58">
        <w:rPr>
          <w:rFonts w:ascii="Segoe UI" w:hAnsi="Segoe UI" w:cs="Segoe UI"/>
          <w:sz w:val="26"/>
          <w:szCs w:val="26"/>
        </w:rPr>
        <w:t xml:space="preserve">Plusieurs actes règlementaires sont pris en gestion </w:t>
      </w:r>
      <w:r w:rsidRPr="00657A59">
        <w:rPr>
          <w:rFonts w:ascii="Segoe UI" w:hAnsi="Segoe UI" w:cs="Segoe UI"/>
          <w:sz w:val="24"/>
          <w:szCs w:val="24"/>
        </w:rPr>
        <w:t xml:space="preserve">aux fins </w:t>
      </w:r>
      <w:r w:rsidR="008B0A58">
        <w:rPr>
          <w:rFonts w:ascii="Segoe UI" w:hAnsi="Segoe UI" w:cs="Segoe UI"/>
          <w:sz w:val="24"/>
          <w:szCs w:val="24"/>
        </w:rPr>
        <w:t>d’opérationnaliser les dispositions de la loi de finances pour la gestion 2017. Il</w:t>
      </w:r>
      <w:r w:rsidR="00C96FBB">
        <w:rPr>
          <w:rFonts w:ascii="Segoe UI" w:hAnsi="Segoe UI" w:cs="Segoe UI"/>
          <w:sz w:val="24"/>
          <w:szCs w:val="24"/>
        </w:rPr>
        <w:t>s</w:t>
      </w:r>
      <w:r w:rsidR="008B0A58">
        <w:rPr>
          <w:rFonts w:ascii="Segoe UI" w:hAnsi="Segoe UI" w:cs="Segoe UI"/>
          <w:sz w:val="24"/>
          <w:szCs w:val="24"/>
        </w:rPr>
        <w:t xml:space="preserve"> sont relatifs</w:t>
      </w:r>
      <w:r w:rsidR="004F050C" w:rsidRPr="00657A59">
        <w:rPr>
          <w:rFonts w:ascii="Segoe UI" w:hAnsi="Segoe UI" w:cs="Segoe UI"/>
          <w:sz w:val="24"/>
          <w:szCs w:val="24"/>
        </w:rPr>
        <w:t> :</w:t>
      </w:r>
    </w:p>
    <w:p w:rsidR="00E12CD7" w:rsidRPr="00657A59" w:rsidRDefault="003B7A37" w:rsidP="00B201C9">
      <w:pPr>
        <w:pStyle w:val="Paragraphedeliste"/>
        <w:numPr>
          <w:ilvl w:val="0"/>
          <w:numId w:val="19"/>
        </w:numPr>
        <w:jc w:val="both"/>
        <w:rPr>
          <w:rFonts w:ascii="Segoe UI" w:hAnsi="Segoe UI" w:cs="Segoe UI"/>
          <w:sz w:val="24"/>
          <w:szCs w:val="24"/>
        </w:rPr>
      </w:pPr>
      <w:r w:rsidRPr="00657A59">
        <w:rPr>
          <w:rFonts w:ascii="Segoe UI" w:hAnsi="Segoe UI" w:cs="Segoe UI"/>
          <w:sz w:val="24"/>
          <w:szCs w:val="24"/>
        </w:rPr>
        <w:t>au décret n°2017-215 du 10 avril 2017 fixant les modalités d’application de l’article 21</w:t>
      </w:r>
      <w:r w:rsidR="00E12CD7" w:rsidRPr="00657A59">
        <w:rPr>
          <w:rFonts w:ascii="Segoe UI" w:hAnsi="Segoe UI" w:cs="Segoe UI"/>
          <w:sz w:val="24"/>
          <w:szCs w:val="24"/>
        </w:rPr>
        <w:t xml:space="preserve"> de la loi n°2016-33 du 26 décembre 2016 portant loi de finances pour la gestion 2017</w:t>
      </w:r>
      <w:r w:rsidR="009D44AF" w:rsidRPr="00657A59">
        <w:rPr>
          <w:rFonts w:ascii="Segoe UI" w:hAnsi="Segoe UI" w:cs="Segoe UI"/>
          <w:sz w:val="24"/>
          <w:szCs w:val="24"/>
        </w:rPr>
        <w:t>.</w:t>
      </w:r>
      <w:r w:rsidR="00BD679E" w:rsidRPr="00657A59">
        <w:rPr>
          <w:rFonts w:ascii="Segoe UI" w:hAnsi="Segoe UI" w:cs="Segoe UI"/>
          <w:sz w:val="24"/>
          <w:szCs w:val="24"/>
        </w:rPr>
        <w:t xml:space="preserve"> La prise de ce décret vise à faire obligation à tous les usagers des Administrations Financières de se faire attribuer un numéro IFU.</w:t>
      </w:r>
      <w:r w:rsidR="0089677F" w:rsidRPr="00657A59">
        <w:rPr>
          <w:rFonts w:ascii="Segoe UI" w:hAnsi="Segoe UI" w:cs="Segoe UI"/>
          <w:sz w:val="24"/>
          <w:szCs w:val="24"/>
        </w:rPr>
        <w:t xml:space="preserve"> Il s’agit des :</w:t>
      </w:r>
    </w:p>
    <w:p w:rsidR="0089677F" w:rsidRPr="00657A59" w:rsidRDefault="0089677F"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personnes physiques menant des activités salariées, commerciales ou non comme</w:t>
      </w:r>
      <w:r w:rsidR="00383AEF">
        <w:rPr>
          <w:rFonts w:ascii="Segoe UI" w:hAnsi="Segoe UI" w:cs="Segoe UI"/>
          <w:sz w:val="24"/>
          <w:szCs w:val="24"/>
        </w:rPr>
        <w:t>rciales ou disposant de revenus ;</w:t>
      </w:r>
    </w:p>
    <w:p w:rsidR="00F86170" w:rsidRPr="00657A59" w:rsidRDefault="0089677F"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propriétaires d’immeubles bâtis ou non bâtis ou présumés tels,</w:t>
      </w:r>
    </w:p>
    <w:p w:rsidR="0089677F" w:rsidRPr="00657A59" w:rsidRDefault="0089677F"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entreprises</w:t>
      </w:r>
      <w:r w:rsidR="00F86170" w:rsidRPr="00657A59">
        <w:rPr>
          <w:rFonts w:ascii="Segoe UI" w:hAnsi="Segoe UI" w:cs="Segoe UI"/>
          <w:sz w:val="24"/>
          <w:szCs w:val="24"/>
        </w:rPr>
        <w:t xml:space="preserve"> exerçant une activité commerciale ou non commerciale, artisanale ou agricole sur le territoire du Bénin, </w:t>
      </w:r>
      <w:proofErr w:type="gramStart"/>
      <w:r w:rsidR="00F86170" w:rsidRPr="00657A59">
        <w:rPr>
          <w:rFonts w:ascii="Segoe UI" w:hAnsi="Segoe UI" w:cs="Segoe UI"/>
          <w:sz w:val="24"/>
          <w:szCs w:val="24"/>
        </w:rPr>
        <w:t>quels que soient leur forme, leur statu</w:t>
      </w:r>
      <w:r w:rsidR="00383AEF">
        <w:rPr>
          <w:rFonts w:ascii="Segoe UI" w:hAnsi="Segoe UI" w:cs="Segoe UI"/>
          <w:sz w:val="24"/>
          <w:szCs w:val="24"/>
        </w:rPr>
        <w:t>t juridique et leur nationalité</w:t>
      </w:r>
      <w:proofErr w:type="gramEnd"/>
      <w:r w:rsidR="00383AEF">
        <w:rPr>
          <w:rFonts w:ascii="Segoe UI" w:hAnsi="Segoe UI" w:cs="Segoe UI"/>
          <w:sz w:val="24"/>
          <w:szCs w:val="24"/>
        </w:rPr>
        <w:t> ;</w:t>
      </w:r>
    </w:p>
    <w:p w:rsidR="00F86170" w:rsidRPr="00657A59" w:rsidRDefault="00F86170"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Administrations Publiques Centrales, Etablissements P</w:t>
      </w:r>
      <w:r w:rsidR="00383AEF">
        <w:rPr>
          <w:rFonts w:ascii="Segoe UI" w:hAnsi="Segoe UI" w:cs="Segoe UI"/>
          <w:sz w:val="24"/>
          <w:szCs w:val="24"/>
        </w:rPr>
        <w:t>ublics et Collectivités Locales ;</w:t>
      </w:r>
    </w:p>
    <w:p w:rsidR="00F86170" w:rsidRPr="00657A59" w:rsidRDefault="00F86170"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Ambassades et Orga</w:t>
      </w:r>
      <w:r w:rsidR="002E53C1" w:rsidRPr="00657A59">
        <w:rPr>
          <w:rFonts w:ascii="Segoe UI" w:hAnsi="Segoe UI" w:cs="Segoe UI"/>
          <w:sz w:val="24"/>
          <w:szCs w:val="24"/>
        </w:rPr>
        <w:t>nisations Internationales accréditées au Bénin,</w:t>
      </w:r>
    </w:p>
    <w:p w:rsidR="002E53C1" w:rsidRPr="00657A59" w:rsidRDefault="002E53C1" w:rsidP="0089677F">
      <w:pPr>
        <w:pStyle w:val="Paragraphedeliste"/>
        <w:numPr>
          <w:ilvl w:val="0"/>
          <w:numId w:val="46"/>
        </w:numPr>
        <w:jc w:val="both"/>
        <w:rPr>
          <w:rFonts w:ascii="Segoe UI" w:hAnsi="Segoe UI" w:cs="Segoe UI"/>
          <w:sz w:val="24"/>
          <w:szCs w:val="24"/>
        </w:rPr>
      </w:pPr>
      <w:r w:rsidRPr="00657A59">
        <w:rPr>
          <w:rFonts w:ascii="Segoe UI" w:hAnsi="Segoe UI" w:cs="Segoe UI"/>
          <w:sz w:val="24"/>
          <w:szCs w:val="24"/>
        </w:rPr>
        <w:t>Associations et Organisations Nationales ou Etrangères régulièrement déclarées ou autorisées, Syndicats Professionnels et Partis Politiques et toute personne Moral de Droit Privé ;</w:t>
      </w:r>
    </w:p>
    <w:p w:rsidR="00740551" w:rsidRPr="00657A59" w:rsidRDefault="00B67D22" w:rsidP="00740551">
      <w:pPr>
        <w:pStyle w:val="Paragraphedeliste"/>
        <w:numPr>
          <w:ilvl w:val="0"/>
          <w:numId w:val="19"/>
        </w:numPr>
        <w:jc w:val="both"/>
        <w:rPr>
          <w:rFonts w:ascii="Segoe UI" w:hAnsi="Segoe UI" w:cs="Segoe UI"/>
          <w:sz w:val="24"/>
          <w:szCs w:val="24"/>
        </w:rPr>
      </w:pPr>
      <w:r w:rsidRPr="00657A59">
        <w:rPr>
          <w:rFonts w:ascii="Segoe UI" w:hAnsi="Segoe UI" w:cs="Segoe UI"/>
          <w:sz w:val="24"/>
          <w:szCs w:val="24"/>
        </w:rPr>
        <w:t>à l’arrêté interministériel n° 1080</w:t>
      </w:r>
      <w:r w:rsidR="00740551" w:rsidRPr="00657A59">
        <w:rPr>
          <w:rFonts w:ascii="Segoe UI" w:hAnsi="Segoe UI" w:cs="Segoe UI"/>
          <w:sz w:val="24"/>
          <w:szCs w:val="24"/>
        </w:rPr>
        <w:t>-</w:t>
      </w:r>
      <w:r w:rsidR="00740551" w:rsidRPr="00657A59">
        <w:rPr>
          <w:rFonts w:ascii="Segoe UI" w:hAnsi="Segoe UI" w:cs="Segoe UI"/>
          <w:sz w:val="24"/>
          <w:szCs w:val="24"/>
          <w:vertAlign w:val="superscript"/>
        </w:rPr>
        <w:t>c</w:t>
      </w:r>
      <w:r w:rsidR="003D3B82" w:rsidRPr="00657A59">
        <w:rPr>
          <w:rFonts w:ascii="Segoe UI" w:hAnsi="Segoe UI" w:cs="Segoe UI"/>
          <w:sz w:val="24"/>
          <w:szCs w:val="24"/>
        </w:rPr>
        <w:t>/MIT/MEF/MIT/DC/SGM/DG</w:t>
      </w:r>
      <w:r w:rsidRPr="00657A59">
        <w:rPr>
          <w:rFonts w:ascii="Segoe UI" w:hAnsi="Segoe UI" w:cs="Segoe UI"/>
          <w:sz w:val="24"/>
          <w:szCs w:val="24"/>
        </w:rPr>
        <w:t>I</w:t>
      </w:r>
      <w:r w:rsidR="003D3B82" w:rsidRPr="00657A59">
        <w:rPr>
          <w:rFonts w:ascii="Segoe UI" w:hAnsi="Segoe UI" w:cs="Segoe UI"/>
          <w:sz w:val="24"/>
          <w:szCs w:val="24"/>
        </w:rPr>
        <w:t>/RNI/155SGG17 portant création du comité de supervision et de coordination du recouvrement de la Taxe sur les Véhicules à Moteur (TVM) et de la taxe Professionnelle Synthétique sur les transports Routiers (TPS/TR) au niveau du Centre National de Sécurité Routière ;</w:t>
      </w:r>
    </w:p>
    <w:p w:rsidR="00E551E8" w:rsidRPr="00657A59" w:rsidRDefault="003B7A37" w:rsidP="00B201C9">
      <w:pPr>
        <w:pStyle w:val="Paragraphedeliste"/>
        <w:numPr>
          <w:ilvl w:val="0"/>
          <w:numId w:val="19"/>
        </w:numPr>
        <w:jc w:val="both"/>
        <w:rPr>
          <w:rFonts w:ascii="Segoe UI" w:hAnsi="Segoe UI" w:cs="Segoe UI"/>
          <w:sz w:val="24"/>
          <w:szCs w:val="24"/>
        </w:rPr>
      </w:pPr>
      <w:r w:rsidRPr="00657A59">
        <w:rPr>
          <w:rFonts w:ascii="Segoe UI" w:hAnsi="Segoe UI" w:cs="Segoe UI"/>
          <w:sz w:val="24"/>
          <w:szCs w:val="24"/>
        </w:rPr>
        <w:t xml:space="preserve">à </w:t>
      </w:r>
      <w:r w:rsidR="000750C9" w:rsidRPr="00657A59">
        <w:rPr>
          <w:rFonts w:ascii="Segoe UI" w:hAnsi="Segoe UI" w:cs="Segoe UI"/>
          <w:sz w:val="24"/>
          <w:szCs w:val="24"/>
        </w:rPr>
        <w:t>l’arrêté interministériel n° 2377-c/MPD/MEF/MIT/MICA/DC/SGM/DGDDI-</w:t>
      </w:r>
      <w:proofErr w:type="spellStart"/>
      <w:r w:rsidR="000750C9" w:rsidRPr="00657A59">
        <w:rPr>
          <w:rFonts w:ascii="Segoe UI" w:hAnsi="Segoe UI" w:cs="Segoe UI"/>
          <w:sz w:val="24"/>
          <w:szCs w:val="24"/>
        </w:rPr>
        <w:t>ANatt</w:t>
      </w:r>
      <w:proofErr w:type="spellEnd"/>
      <w:r w:rsidR="000750C9" w:rsidRPr="00657A59">
        <w:rPr>
          <w:rFonts w:ascii="Segoe UI" w:hAnsi="Segoe UI" w:cs="Segoe UI"/>
          <w:sz w:val="24"/>
          <w:szCs w:val="24"/>
        </w:rPr>
        <w:t xml:space="preserve"> portant </w:t>
      </w:r>
      <w:r w:rsidR="004F050C" w:rsidRPr="00657A59">
        <w:rPr>
          <w:rFonts w:ascii="Segoe UI" w:hAnsi="Segoe UI" w:cs="Segoe UI"/>
          <w:sz w:val="24"/>
          <w:szCs w:val="24"/>
        </w:rPr>
        <w:t>exonération</w:t>
      </w:r>
      <w:r w:rsidR="000750C9" w:rsidRPr="00657A59">
        <w:rPr>
          <w:rFonts w:ascii="Segoe UI" w:hAnsi="Segoe UI" w:cs="Segoe UI"/>
          <w:sz w:val="24"/>
          <w:szCs w:val="24"/>
        </w:rPr>
        <w:t xml:space="preserve"> des droits et taxe</w:t>
      </w:r>
      <w:r w:rsidR="004F050C" w:rsidRPr="00657A59">
        <w:rPr>
          <w:rFonts w:ascii="Segoe UI" w:hAnsi="Segoe UI" w:cs="Segoe UI"/>
          <w:sz w:val="24"/>
          <w:szCs w:val="24"/>
        </w:rPr>
        <w:t>s</w:t>
      </w:r>
      <w:r w:rsidR="000750C9" w:rsidRPr="00657A59">
        <w:rPr>
          <w:rFonts w:ascii="Segoe UI" w:hAnsi="Segoe UI" w:cs="Segoe UI"/>
          <w:sz w:val="24"/>
          <w:szCs w:val="24"/>
        </w:rPr>
        <w:t xml:space="preserve"> de douanes et de la TVA</w:t>
      </w:r>
      <w:r w:rsidR="004F050C" w:rsidRPr="00657A59">
        <w:rPr>
          <w:rFonts w:ascii="Segoe UI" w:hAnsi="Segoe UI" w:cs="Segoe UI"/>
          <w:sz w:val="24"/>
          <w:szCs w:val="24"/>
        </w:rPr>
        <w:t xml:space="preserve"> sur </w:t>
      </w:r>
      <w:r w:rsidRPr="00657A59">
        <w:rPr>
          <w:rFonts w:ascii="Segoe UI" w:hAnsi="Segoe UI" w:cs="Segoe UI"/>
          <w:sz w:val="24"/>
          <w:szCs w:val="24"/>
        </w:rPr>
        <w:t xml:space="preserve"> </w:t>
      </w:r>
      <w:r w:rsidR="004F050C" w:rsidRPr="00657A59">
        <w:rPr>
          <w:rFonts w:ascii="Segoe UI" w:hAnsi="Segoe UI" w:cs="Segoe UI"/>
          <w:sz w:val="24"/>
          <w:szCs w:val="24"/>
        </w:rPr>
        <w:t>les véhicules neufs à quatre roues importés, fabriqués ou vendus à l’état neuf destinées à la mise en place d’une flotte de taxis. Lesdits véhicules sont soumis au paiement de taxes PSC (1%),</w:t>
      </w:r>
      <w:r w:rsidR="00CF500A" w:rsidRPr="00657A59">
        <w:rPr>
          <w:rFonts w:ascii="Segoe UI" w:hAnsi="Segoe UI" w:cs="Segoe UI"/>
          <w:sz w:val="24"/>
          <w:szCs w:val="24"/>
        </w:rPr>
        <w:t xml:space="preserve"> </w:t>
      </w:r>
      <w:r w:rsidR="004F050C" w:rsidRPr="00657A59">
        <w:rPr>
          <w:rFonts w:ascii="Segoe UI" w:hAnsi="Segoe UI" w:cs="Segoe UI"/>
          <w:sz w:val="24"/>
          <w:szCs w:val="24"/>
        </w:rPr>
        <w:t>PC (0,5%), taxe de statistique (5%), timbre douanier (4%) et de la taxe statistique et taxe de voirie (0,85%)</w:t>
      </w:r>
      <w:r w:rsidR="00E551E8" w:rsidRPr="00657A59">
        <w:rPr>
          <w:rFonts w:ascii="Segoe UI" w:hAnsi="Segoe UI" w:cs="Segoe UI"/>
          <w:sz w:val="24"/>
          <w:szCs w:val="24"/>
        </w:rPr>
        <w:t>.</w:t>
      </w:r>
    </w:p>
    <w:p w:rsidR="008B0A58" w:rsidRDefault="008B0A58" w:rsidP="008B0A58">
      <w:pPr>
        <w:pStyle w:val="Titre1"/>
        <w:spacing w:before="0"/>
        <w:rPr>
          <w:rFonts w:ascii="Segoe UI" w:hAnsi="Segoe UI" w:cs="Segoe UI"/>
        </w:rPr>
      </w:pPr>
    </w:p>
    <w:p w:rsidR="008B0A58" w:rsidRDefault="008B0A58" w:rsidP="008B0A58"/>
    <w:p w:rsidR="008B0A58" w:rsidRDefault="008B0A58" w:rsidP="008B0A58"/>
    <w:p w:rsidR="00C56C56" w:rsidRDefault="00C56C56" w:rsidP="008B0A58"/>
    <w:p w:rsidR="008B0A58" w:rsidRPr="008B0A58" w:rsidRDefault="008B0A58" w:rsidP="008B0A58"/>
    <w:p w:rsidR="00C64301" w:rsidRDefault="00C64301" w:rsidP="008B0A58">
      <w:pPr>
        <w:pStyle w:val="Titre1"/>
        <w:spacing w:before="0"/>
        <w:rPr>
          <w:rFonts w:ascii="Segoe UI" w:hAnsi="Segoe UI" w:cs="Segoe UI"/>
        </w:rPr>
      </w:pPr>
      <w:bookmarkStart w:id="66" w:name="_Toc496025017"/>
      <w:r w:rsidRPr="00215B3D">
        <w:rPr>
          <w:rFonts w:ascii="Segoe UI" w:hAnsi="Segoe UI" w:cs="Segoe UI"/>
        </w:rPr>
        <w:lastRenderedPageBreak/>
        <w:t>CONCLUSION</w:t>
      </w:r>
      <w:bookmarkEnd w:id="66"/>
    </w:p>
    <w:p w:rsidR="0006235F" w:rsidRPr="0006235F" w:rsidRDefault="0006235F" w:rsidP="0006235F">
      <w:pPr>
        <w:rPr>
          <w:sz w:val="2"/>
        </w:rPr>
      </w:pPr>
    </w:p>
    <w:p w:rsidR="00E50220" w:rsidRPr="00215B3D" w:rsidRDefault="001303BE" w:rsidP="0009357E">
      <w:pPr>
        <w:spacing w:line="360" w:lineRule="auto"/>
        <w:jc w:val="both"/>
        <w:rPr>
          <w:rFonts w:ascii="Segoe UI" w:hAnsi="Segoe UI" w:cs="Segoe UI"/>
          <w:sz w:val="24"/>
          <w:szCs w:val="28"/>
        </w:rPr>
      </w:pPr>
      <w:r w:rsidRPr="00215B3D">
        <w:rPr>
          <w:rFonts w:ascii="Segoe UI" w:hAnsi="Segoe UI" w:cs="Segoe UI"/>
          <w:sz w:val="24"/>
          <w:szCs w:val="28"/>
        </w:rPr>
        <w:t>A fin juin 2017,</w:t>
      </w:r>
      <w:r w:rsidR="00E50220" w:rsidRPr="00215B3D">
        <w:rPr>
          <w:rFonts w:ascii="Segoe UI" w:hAnsi="Segoe UI" w:cs="Segoe UI"/>
          <w:sz w:val="24"/>
          <w:szCs w:val="28"/>
        </w:rPr>
        <w:t xml:space="preserve"> le point cumulé des réalisations de recettes des régies financières laisse apparaître</w:t>
      </w:r>
      <w:r w:rsidR="00B00549" w:rsidRPr="00215B3D">
        <w:rPr>
          <w:rFonts w:ascii="Segoe UI" w:hAnsi="Segoe UI" w:cs="Segoe UI"/>
          <w:sz w:val="24"/>
          <w:szCs w:val="28"/>
        </w:rPr>
        <w:t xml:space="preserve"> un taux de </w:t>
      </w:r>
      <w:r w:rsidR="00B00549" w:rsidRPr="00215B3D">
        <w:rPr>
          <w:rFonts w:ascii="Segoe UI" w:hAnsi="Segoe UI" w:cs="Segoe UI"/>
          <w:b/>
          <w:sz w:val="24"/>
          <w:szCs w:val="28"/>
        </w:rPr>
        <w:t>4</w:t>
      </w:r>
      <w:r w:rsidR="00552020">
        <w:rPr>
          <w:rFonts w:ascii="Segoe UI" w:hAnsi="Segoe UI" w:cs="Segoe UI"/>
          <w:b/>
          <w:sz w:val="24"/>
          <w:szCs w:val="28"/>
        </w:rPr>
        <w:t>7</w:t>
      </w:r>
      <w:r w:rsidR="00F54090">
        <w:rPr>
          <w:rFonts w:ascii="Segoe UI" w:hAnsi="Segoe UI" w:cs="Segoe UI"/>
          <w:b/>
          <w:sz w:val="24"/>
          <w:szCs w:val="28"/>
        </w:rPr>
        <w:t>,3</w:t>
      </w:r>
      <w:r w:rsidR="00B00549" w:rsidRPr="00215B3D">
        <w:rPr>
          <w:rFonts w:ascii="Segoe UI" w:hAnsi="Segoe UI" w:cs="Segoe UI"/>
          <w:b/>
          <w:sz w:val="24"/>
          <w:szCs w:val="28"/>
        </w:rPr>
        <w:t>%</w:t>
      </w:r>
      <w:r w:rsidR="00B00549" w:rsidRPr="00215B3D">
        <w:rPr>
          <w:rFonts w:ascii="Segoe UI" w:hAnsi="Segoe UI" w:cs="Segoe UI"/>
          <w:sz w:val="24"/>
          <w:szCs w:val="28"/>
        </w:rPr>
        <w:t xml:space="preserve"> situé en deçà du taux semestriel moyen</w:t>
      </w:r>
      <w:r w:rsidR="00E50220" w:rsidRPr="00215B3D">
        <w:rPr>
          <w:rFonts w:ascii="Segoe UI" w:hAnsi="Segoe UI" w:cs="Segoe UI"/>
          <w:sz w:val="24"/>
          <w:szCs w:val="28"/>
        </w:rPr>
        <w:t xml:space="preserve"> </w:t>
      </w:r>
      <w:r w:rsidR="000D2E95">
        <w:rPr>
          <w:rFonts w:ascii="Segoe UI" w:hAnsi="Segoe UI" w:cs="Segoe UI"/>
          <w:sz w:val="24"/>
          <w:szCs w:val="28"/>
        </w:rPr>
        <w:t xml:space="preserve">de </w:t>
      </w:r>
      <w:r w:rsidR="00B00549" w:rsidRPr="00215B3D">
        <w:rPr>
          <w:rFonts w:ascii="Segoe UI" w:hAnsi="Segoe UI" w:cs="Segoe UI"/>
          <w:sz w:val="24"/>
          <w:szCs w:val="28"/>
        </w:rPr>
        <w:t>(</w:t>
      </w:r>
      <w:r w:rsidR="00E50220" w:rsidRPr="00215B3D">
        <w:rPr>
          <w:rFonts w:ascii="Segoe UI" w:hAnsi="Segoe UI" w:cs="Segoe UI"/>
          <w:sz w:val="24"/>
          <w:szCs w:val="28"/>
        </w:rPr>
        <w:t>50%</w:t>
      </w:r>
      <w:r w:rsidR="00B00549" w:rsidRPr="00215B3D">
        <w:rPr>
          <w:rFonts w:ascii="Segoe UI" w:hAnsi="Segoe UI" w:cs="Segoe UI"/>
          <w:sz w:val="24"/>
          <w:szCs w:val="28"/>
        </w:rPr>
        <w:t>)</w:t>
      </w:r>
      <w:r w:rsidR="00E50220" w:rsidRPr="00215B3D">
        <w:rPr>
          <w:rFonts w:ascii="Segoe UI" w:hAnsi="Segoe UI" w:cs="Segoe UI"/>
          <w:sz w:val="24"/>
          <w:szCs w:val="28"/>
        </w:rPr>
        <w:t xml:space="preserve"> attendu.</w:t>
      </w:r>
    </w:p>
    <w:p w:rsidR="001F00B8" w:rsidRPr="00215B3D" w:rsidRDefault="00E50220" w:rsidP="0009357E">
      <w:pPr>
        <w:spacing w:line="360" w:lineRule="auto"/>
        <w:jc w:val="both"/>
        <w:rPr>
          <w:rFonts w:ascii="Segoe UI" w:hAnsi="Segoe UI" w:cs="Segoe UI"/>
          <w:sz w:val="24"/>
          <w:szCs w:val="28"/>
        </w:rPr>
      </w:pPr>
      <w:r w:rsidRPr="00215B3D">
        <w:rPr>
          <w:rFonts w:ascii="Segoe UI" w:hAnsi="Segoe UI" w:cs="Segoe UI"/>
          <w:sz w:val="24"/>
          <w:szCs w:val="28"/>
        </w:rPr>
        <w:t xml:space="preserve">En ce qui concerne l’exécution des dépenses budgétaires, elle a connu un taux de </w:t>
      </w:r>
      <w:r w:rsidRPr="00215B3D">
        <w:rPr>
          <w:rFonts w:ascii="Segoe UI" w:hAnsi="Segoe UI" w:cs="Segoe UI"/>
          <w:b/>
          <w:sz w:val="24"/>
          <w:szCs w:val="28"/>
        </w:rPr>
        <w:t>37,</w:t>
      </w:r>
      <w:r w:rsidR="00552020">
        <w:rPr>
          <w:rFonts w:ascii="Segoe UI" w:hAnsi="Segoe UI" w:cs="Segoe UI"/>
          <w:b/>
          <w:sz w:val="24"/>
          <w:szCs w:val="28"/>
        </w:rPr>
        <w:t>5</w:t>
      </w:r>
      <w:r w:rsidRPr="00215B3D">
        <w:rPr>
          <w:rFonts w:ascii="Segoe UI" w:hAnsi="Segoe UI" w:cs="Segoe UI"/>
          <w:b/>
          <w:sz w:val="24"/>
          <w:szCs w:val="28"/>
        </w:rPr>
        <w:t>%</w:t>
      </w:r>
      <w:r w:rsidRPr="00215B3D">
        <w:rPr>
          <w:rFonts w:ascii="Segoe UI" w:hAnsi="Segoe UI" w:cs="Segoe UI"/>
          <w:sz w:val="24"/>
          <w:szCs w:val="28"/>
        </w:rPr>
        <w:t xml:space="preserve"> base engagement pour un montant de </w:t>
      </w:r>
      <w:r w:rsidRPr="00215B3D">
        <w:rPr>
          <w:rFonts w:ascii="Segoe UI" w:hAnsi="Segoe UI" w:cs="Segoe UI"/>
          <w:b/>
          <w:sz w:val="24"/>
          <w:szCs w:val="28"/>
        </w:rPr>
        <w:t>63</w:t>
      </w:r>
      <w:r w:rsidR="00552020">
        <w:rPr>
          <w:rFonts w:ascii="Segoe UI" w:hAnsi="Segoe UI" w:cs="Segoe UI"/>
          <w:b/>
          <w:sz w:val="24"/>
          <w:szCs w:val="28"/>
        </w:rPr>
        <w:t>5</w:t>
      </w:r>
      <w:r w:rsidRPr="00215B3D">
        <w:rPr>
          <w:rFonts w:ascii="Segoe UI" w:hAnsi="Segoe UI" w:cs="Segoe UI"/>
          <w:b/>
          <w:sz w:val="24"/>
          <w:szCs w:val="28"/>
        </w:rPr>
        <w:t> </w:t>
      </w:r>
      <w:r w:rsidR="00552020">
        <w:rPr>
          <w:rFonts w:ascii="Segoe UI" w:hAnsi="Segoe UI" w:cs="Segoe UI"/>
          <w:b/>
          <w:sz w:val="24"/>
          <w:szCs w:val="28"/>
        </w:rPr>
        <w:t>930</w:t>
      </w:r>
      <w:r w:rsidRPr="00215B3D">
        <w:rPr>
          <w:rFonts w:ascii="Segoe UI" w:hAnsi="Segoe UI" w:cs="Segoe UI"/>
          <w:b/>
          <w:sz w:val="24"/>
          <w:szCs w:val="28"/>
        </w:rPr>
        <w:t>,</w:t>
      </w:r>
      <w:r w:rsidR="00552020">
        <w:rPr>
          <w:rFonts w:ascii="Segoe UI" w:hAnsi="Segoe UI" w:cs="Segoe UI"/>
          <w:b/>
          <w:sz w:val="24"/>
          <w:szCs w:val="28"/>
        </w:rPr>
        <w:t>7</w:t>
      </w:r>
      <w:r w:rsidRPr="00215B3D">
        <w:rPr>
          <w:rFonts w:ascii="Segoe UI" w:hAnsi="Segoe UI" w:cs="Segoe UI"/>
          <w:b/>
          <w:sz w:val="24"/>
          <w:szCs w:val="28"/>
        </w:rPr>
        <w:t xml:space="preserve"> millions de FCFA</w:t>
      </w:r>
      <w:r w:rsidRPr="00215B3D">
        <w:rPr>
          <w:rFonts w:ascii="Segoe UI" w:hAnsi="Segoe UI" w:cs="Segoe UI"/>
          <w:sz w:val="24"/>
          <w:szCs w:val="28"/>
        </w:rPr>
        <w:t xml:space="preserve"> au titre du semestre </w:t>
      </w:r>
      <w:r w:rsidR="004E0846" w:rsidRPr="00215B3D">
        <w:rPr>
          <w:rFonts w:ascii="Segoe UI" w:hAnsi="Segoe UI" w:cs="Segoe UI"/>
          <w:sz w:val="24"/>
          <w:szCs w:val="28"/>
        </w:rPr>
        <w:t>sous-revue</w:t>
      </w:r>
      <w:r w:rsidRPr="00215B3D">
        <w:rPr>
          <w:rFonts w:ascii="Segoe UI" w:hAnsi="Segoe UI" w:cs="Segoe UI"/>
          <w:sz w:val="24"/>
          <w:szCs w:val="28"/>
        </w:rPr>
        <w:t>.</w:t>
      </w:r>
      <w:r w:rsidR="001F00B8" w:rsidRPr="00215B3D">
        <w:rPr>
          <w:rFonts w:ascii="Segoe UI" w:hAnsi="Segoe UI" w:cs="Segoe UI"/>
          <w:sz w:val="24"/>
          <w:szCs w:val="28"/>
        </w:rPr>
        <w:t xml:space="preserve"> Comparativement à la même période en 2016, le taux d’engagement </w:t>
      </w:r>
      <w:r w:rsidR="004E0846" w:rsidRPr="00215B3D">
        <w:rPr>
          <w:rFonts w:ascii="Segoe UI" w:hAnsi="Segoe UI" w:cs="Segoe UI"/>
          <w:sz w:val="24"/>
          <w:szCs w:val="28"/>
        </w:rPr>
        <w:t>révèle un recul</w:t>
      </w:r>
      <w:r w:rsidR="001F00B8" w:rsidRPr="00215B3D">
        <w:rPr>
          <w:rFonts w:ascii="Segoe UI" w:hAnsi="Segoe UI" w:cs="Segoe UI"/>
          <w:sz w:val="24"/>
          <w:szCs w:val="28"/>
        </w:rPr>
        <w:t xml:space="preserve"> de </w:t>
      </w:r>
      <w:r w:rsidR="00FE3542">
        <w:rPr>
          <w:rFonts w:ascii="Segoe UI" w:hAnsi="Segoe UI" w:cs="Segoe UI"/>
          <w:sz w:val="24"/>
          <w:szCs w:val="28"/>
        </w:rPr>
        <w:t>15,6</w:t>
      </w:r>
      <w:r w:rsidR="001F00B8" w:rsidRPr="00215B3D">
        <w:rPr>
          <w:rFonts w:ascii="Segoe UI" w:hAnsi="Segoe UI" w:cs="Segoe UI"/>
          <w:sz w:val="24"/>
          <w:szCs w:val="28"/>
        </w:rPr>
        <w:t xml:space="preserve"> points de pourcentage.</w:t>
      </w:r>
    </w:p>
    <w:p w:rsidR="004E0846" w:rsidRPr="00215B3D" w:rsidRDefault="00C56C56" w:rsidP="0009357E">
      <w:pPr>
        <w:spacing w:line="360" w:lineRule="auto"/>
        <w:jc w:val="both"/>
        <w:rPr>
          <w:rFonts w:ascii="Segoe UI" w:hAnsi="Segoe UI" w:cs="Segoe UI"/>
          <w:sz w:val="24"/>
          <w:szCs w:val="28"/>
        </w:rPr>
      </w:pPr>
      <w:r>
        <w:rPr>
          <w:rFonts w:ascii="Segoe UI" w:hAnsi="Segoe UI" w:cs="Segoe UI"/>
          <w:sz w:val="24"/>
          <w:szCs w:val="28"/>
        </w:rPr>
        <w:t xml:space="preserve">Le recul de 15,6 points de performance observé, loin d’être une contreperformance,  est conforme à la programmation de consommation des crédits inscrite en loi de finances. </w:t>
      </w:r>
    </w:p>
    <w:p w:rsidR="004E0846" w:rsidRPr="00215B3D" w:rsidRDefault="004E0846" w:rsidP="0009357E">
      <w:pPr>
        <w:spacing w:line="360" w:lineRule="auto"/>
        <w:jc w:val="both"/>
        <w:rPr>
          <w:rFonts w:ascii="Segoe UI" w:hAnsi="Segoe UI" w:cs="Segoe UI"/>
          <w:sz w:val="24"/>
          <w:szCs w:val="28"/>
        </w:rPr>
      </w:pPr>
      <w:r w:rsidRPr="00215B3D">
        <w:rPr>
          <w:rFonts w:ascii="Segoe UI" w:hAnsi="Segoe UI" w:cs="Segoe UI"/>
          <w:sz w:val="24"/>
          <w:szCs w:val="28"/>
        </w:rPr>
        <w:t xml:space="preserve">Le présent rapport démontre, par ailleurs, la capacité du Gouvernement à mobiliser les ressources nécessaires pour le </w:t>
      </w:r>
      <w:r w:rsidR="00C56C56">
        <w:rPr>
          <w:rFonts w:ascii="Segoe UI" w:hAnsi="Segoe UI" w:cs="Segoe UI"/>
          <w:sz w:val="24"/>
          <w:szCs w:val="28"/>
        </w:rPr>
        <w:t xml:space="preserve">financement du </w:t>
      </w:r>
      <w:r w:rsidRPr="00215B3D">
        <w:rPr>
          <w:rFonts w:ascii="Segoe UI" w:hAnsi="Segoe UI" w:cs="Segoe UI"/>
          <w:sz w:val="24"/>
          <w:szCs w:val="28"/>
        </w:rPr>
        <w:t>déficit</w:t>
      </w:r>
      <w:r w:rsidR="00C56C56">
        <w:rPr>
          <w:rFonts w:ascii="Segoe UI" w:hAnsi="Segoe UI" w:cs="Segoe UI"/>
          <w:sz w:val="24"/>
          <w:szCs w:val="28"/>
        </w:rPr>
        <w:t xml:space="preserve"> budgétaire</w:t>
      </w:r>
      <w:r w:rsidRPr="00215B3D">
        <w:rPr>
          <w:rFonts w:ascii="Segoe UI" w:hAnsi="Segoe UI" w:cs="Segoe UI"/>
          <w:sz w:val="24"/>
          <w:szCs w:val="28"/>
        </w:rPr>
        <w:t>.</w:t>
      </w:r>
    </w:p>
    <w:p w:rsidR="009A66FB" w:rsidRPr="00215B3D" w:rsidRDefault="009A66FB" w:rsidP="007E49CF">
      <w:pPr>
        <w:jc w:val="both"/>
        <w:rPr>
          <w:rFonts w:ascii="Segoe UI" w:hAnsi="Segoe UI" w:cs="Segoe UI"/>
          <w:sz w:val="24"/>
          <w:szCs w:val="28"/>
        </w:rPr>
      </w:pPr>
    </w:p>
    <w:p w:rsidR="008B2B2D" w:rsidRPr="00215B3D" w:rsidRDefault="000C6B3A" w:rsidP="000310BC">
      <w:pPr>
        <w:spacing w:line="360" w:lineRule="auto"/>
        <w:jc w:val="both"/>
        <w:rPr>
          <w:rFonts w:ascii="Segoe UI" w:hAnsi="Segoe UI" w:cs="Segoe UI"/>
          <w:sz w:val="24"/>
          <w:szCs w:val="26"/>
        </w:rPr>
      </w:pPr>
      <w:r w:rsidRPr="00215B3D">
        <w:rPr>
          <w:rFonts w:ascii="Segoe UI" w:hAnsi="Segoe UI" w:cs="Segoe UI"/>
          <w:sz w:val="24"/>
          <w:szCs w:val="26"/>
        </w:rPr>
        <w:t xml:space="preserve">                                                                                     </w:t>
      </w:r>
      <w:r w:rsidR="008B2B2D" w:rsidRPr="00215B3D">
        <w:rPr>
          <w:rFonts w:ascii="Segoe UI" w:hAnsi="Segoe UI" w:cs="Segoe UI"/>
          <w:sz w:val="24"/>
          <w:szCs w:val="26"/>
        </w:rPr>
        <w:t>Cotonou, le</w:t>
      </w:r>
    </w:p>
    <w:p w:rsidR="009A66FB" w:rsidRPr="00215B3D" w:rsidRDefault="009A66FB" w:rsidP="000310BC">
      <w:pPr>
        <w:spacing w:line="360" w:lineRule="auto"/>
        <w:jc w:val="both"/>
        <w:rPr>
          <w:rFonts w:ascii="Segoe UI" w:hAnsi="Segoe UI" w:cs="Segoe UI"/>
          <w:sz w:val="24"/>
          <w:szCs w:val="26"/>
        </w:rPr>
      </w:pPr>
    </w:p>
    <w:p w:rsidR="008B2B2D" w:rsidRPr="00215B3D" w:rsidRDefault="008B2B2D" w:rsidP="000C6B3A">
      <w:pPr>
        <w:tabs>
          <w:tab w:val="left" w:pos="5103"/>
          <w:tab w:val="left" w:pos="6237"/>
        </w:tabs>
        <w:spacing w:after="0" w:line="240" w:lineRule="auto"/>
        <w:ind w:left="1416"/>
        <w:jc w:val="center"/>
        <w:rPr>
          <w:rFonts w:ascii="Segoe UI" w:hAnsi="Segoe UI" w:cs="Segoe UI"/>
          <w:b/>
          <w:sz w:val="24"/>
          <w:szCs w:val="26"/>
        </w:rPr>
      </w:pPr>
      <w:r w:rsidRPr="00215B3D">
        <w:rPr>
          <w:rFonts w:ascii="Segoe UI" w:hAnsi="Segoe UI" w:cs="Segoe UI"/>
          <w:b/>
          <w:sz w:val="24"/>
          <w:szCs w:val="26"/>
        </w:rPr>
        <w:t>LE DIRECTEUR</w:t>
      </w:r>
      <w:r w:rsidR="00BB1592" w:rsidRPr="00215B3D">
        <w:rPr>
          <w:rFonts w:ascii="Segoe UI" w:hAnsi="Segoe UI" w:cs="Segoe UI"/>
          <w:b/>
          <w:sz w:val="24"/>
          <w:szCs w:val="26"/>
        </w:rPr>
        <w:t xml:space="preserve"> </w:t>
      </w:r>
      <w:r w:rsidRPr="00215B3D">
        <w:rPr>
          <w:rFonts w:ascii="Segoe UI" w:hAnsi="Segoe UI" w:cs="Segoe UI"/>
          <w:b/>
          <w:sz w:val="24"/>
          <w:szCs w:val="26"/>
        </w:rPr>
        <w:t>GENERAL</w:t>
      </w:r>
    </w:p>
    <w:p w:rsidR="008B2B2D" w:rsidRPr="00215B3D" w:rsidRDefault="00592A7F" w:rsidP="00592A7F">
      <w:pPr>
        <w:tabs>
          <w:tab w:val="left" w:pos="5103"/>
          <w:tab w:val="left" w:pos="6237"/>
        </w:tabs>
        <w:spacing w:after="0" w:line="240" w:lineRule="auto"/>
        <w:ind w:left="1416"/>
        <w:jc w:val="center"/>
        <w:rPr>
          <w:rFonts w:ascii="Segoe UI" w:hAnsi="Segoe UI" w:cs="Segoe UI"/>
          <w:b/>
          <w:sz w:val="24"/>
          <w:szCs w:val="26"/>
        </w:rPr>
      </w:pPr>
      <w:r w:rsidRPr="00215B3D">
        <w:rPr>
          <w:rFonts w:ascii="Segoe UI" w:hAnsi="Segoe UI" w:cs="Segoe UI"/>
          <w:b/>
          <w:sz w:val="24"/>
          <w:szCs w:val="26"/>
        </w:rPr>
        <w:t>DU BUDGET</w:t>
      </w:r>
    </w:p>
    <w:p w:rsidR="009A66FB" w:rsidRPr="00215B3D" w:rsidRDefault="009A66FB" w:rsidP="00592A7F">
      <w:pPr>
        <w:tabs>
          <w:tab w:val="left" w:pos="5103"/>
          <w:tab w:val="left" w:pos="6237"/>
        </w:tabs>
        <w:spacing w:after="0" w:line="240" w:lineRule="auto"/>
        <w:ind w:left="1416"/>
        <w:jc w:val="center"/>
        <w:rPr>
          <w:rFonts w:ascii="Segoe UI" w:hAnsi="Segoe UI" w:cs="Segoe UI"/>
          <w:b/>
          <w:sz w:val="24"/>
          <w:szCs w:val="26"/>
        </w:rPr>
      </w:pPr>
    </w:p>
    <w:p w:rsidR="009A66FB" w:rsidRPr="00215B3D" w:rsidRDefault="009A66FB" w:rsidP="00592A7F">
      <w:pPr>
        <w:tabs>
          <w:tab w:val="left" w:pos="5103"/>
          <w:tab w:val="left" w:pos="6237"/>
        </w:tabs>
        <w:spacing w:after="0" w:line="240" w:lineRule="auto"/>
        <w:ind w:left="1416"/>
        <w:jc w:val="center"/>
        <w:rPr>
          <w:rFonts w:ascii="Segoe UI" w:hAnsi="Segoe UI" w:cs="Segoe UI"/>
          <w:b/>
          <w:sz w:val="24"/>
          <w:szCs w:val="26"/>
        </w:rPr>
      </w:pPr>
    </w:p>
    <w:p w:rsidR="009A66FB" w:rsidRPr="00215B3D" w:rsidRDefault="009A66FB" w:rsidP="00592A7F">
      <w:pPr>
        <w:tabs>
          <w:tab w:val="left" w:pos="5103"/>
          <w:tab w:val="left" w:pos="6237"/>
        </w:tabs>
        <w:spacing w:after="0" w:line="240" w:lineRule="auto"/>
        <w:ind w:left="1416"/>
        <w:jc w:val="center"/>
        <w:rPr>
          <w:rFonts w:ascii="Segoe UI" w:hAnsi="Segoe UI" w:cs="Segoe UI"/>
          <w:b/>
          <w:sz w:val="24"/>
          <w:szCs w:val="26"/>
        </w:rPr>
      </w:pPr>
    </w:p>
    <w:p w:rsidR="009A66FB" w:rsidRPr="00215B3D" w:rsidRDefault="009A66FB" w:rsidP="00592A7F">
      <w:pPr>
        <w:tabs>
          <w:tab w:val="left" w:pos="5103"/>
          <w:tab w:val="left" w:pos="6237"/>
        </w:tabs>
        <w:spacing w:after="0" w:line="240" w:lineRule="auto"/>
        <w:ind w:left="1416"/>
        <w:jc w:val="center"/>
        <w:rPr>
          <w:rFonts w:ascii="Segoe UI" w:hAnsi="Segoe UI" w:cs="Segoe UI"/>
          <w:b/>
          <w:sz w:val="24"/>
          <w:szCs w:val="26"/>
        </w:rPr>
      </w:pPr>
    </w:p>
    <w:p w:rsidR="004A7383" w:rsidRPr="003F7242" w:rsidRDefault="0051279C" w:rsidP="009114B6">
      <w:pPr>
        <w:jc w:val="center"/>
        <w:rPr>
          <w:rFonts w:ascii="Segoe UI" w:hAnsi="Segoe UI" w:cs="Segoe UI"/>
          <w:sz w:val="20"/>
        </w:rPr>
      </w:pPr>
      <w:r w:rsidRPr="00215B3D">
        <w:rPr>
          <w:rFonts w:ascii="Segoe UI" w:hAnsi="Segoe UI" w:cs="Segoe UI"/>
          <w:b/>
          <w:sz w:val="24"/>
          <w:szCs w:val="26"/>
        </w:rPr>
        <w:t xml:space="preserve">                            </w:t>
      </w:r>
      <w:r w:rsidR="00C56263" w:rsidRPr="00215B3D">
        <w:rPr>
          <w:rFonts w:ascii="Segoe UI" w:hAnsi="Segoe UI" w:cs="Segoe UI"/>
          <w:b/>
          <w:sz w:val="24"/>
          <w:szCs w:val="26"/>
        </w:rPr>
        <w:t>Rodrigue</w:t>
      </w:r>
      <w:r w:rsidR="008B2B2D" w:rsidRPr="00215B3D">
        <w:rPr>
          <w:rFonts w:ascii="Segoe UI" w:hAnsi="Segoe UI" w:cs="Segoe UI"/>
          <w:b/>
          <w:sz w:val="24"/>
          <w:szCs w:val="26"/>
        </w:rPr>
        <w:t xml:space="preserve"> S. </w:t>
      </w:r>
      <w:r w:rsidR="00440F1E" w:rsidRPr="00215B3D">
        <w:rPr>
          <w:rFonts w:ascii="Segoe UI" w:hAnsi="Segoe UI" w:cs="Segoe UI"/>
          <w:b/>
          <w:sz w:val="24"/>
          <w:szCs w:val="26"/>
        </w:rPr>
        <w:t>CHA</w:t>
      </w:r>
      <w:r w:rsidR="008B2B2D" w:rsidRPr="00215B3D">
        <w:rPr>
          <w:rFonts w:ascii="Segoe UI" w:hAnsi="Segoe UI" w:cs="Segoe UI"/>
          <w:b/>
          <w:sz w:val="24"/>
          <w:szCs w:val="26"/>
        </w:rPr>
        <w:t>OU</w:t>
      </w:r>
    </w:p>
    <w:sectPr w:rsidR="004A7383" w:rsidRPr="003F7242" w:rsidSect="006C7B3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E7B" w:rsidRDefault="00572E7B" w:rsidP="006B53EB">
      <w:pPr>
        <w:spacing w:after="0" w:line="240" w:lineRule="auto"/>
      </w:pPr>
      <w:r>
        <w:separator/>
      </w:r>
    </w:p>
  </w:endnote>
  <w:endnote w:type="continuationSeparator" w:id="0">
    <w:p w:rsidR="00572E7B" w:rsidRDefault="00572E7B" w:rsidP="006B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OldStyle">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72D" w:rsidRDefault="00F8272D">
    <w:pPr>
      <w:pStyle w:val="Pieddepage"/>
      <w:jc w:val="right"/>
    </w:pPr>
  </w:p>
  <w:p w:rsidR="00F8272D" w:rsidRDefault="00F8272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72D" w:rsidRDefault="00F8272D">
    <w:pPr>
      <w:pStyle w:val="Pieddepage"/>
      <w:jc w:val="right"/>
    </w:pPr>
    <w:r>
      <w:fldChar w:fldCharType="begin"/>
    </w:r>
    <w:r>
      <w:instrText xml:space="preserve"> PAGE   \* MERGEFORMAT </w:instrText>
    </w:r>
    <w:r>
      <w:fldChar w:fldCharType="separate"/>
    </w:r>
    <w:r w:rsidR="00DF4C34">
      <w:rPr>
        <w:noProof/>
      </w:rPr>
      <w:t>42</w:t>
    </w:r>
    <w:r>
      <w:fldChar w:fldCharType="end"/>
    </w:r>
  </w:p>
  <w:p w:rsidR="00F8272D" w:rsidRDefault="00F8272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E7B" w:rsidRDefault="00572E7B" w:rsidP="006B53EB">
      <w:pPr>
        <w:spacing w:after="0" w:line="240" w:lineRule="auto"/>
      </w:pPr>
      <w:r>
        <w:separator/>
      </w:r>
    </w:p>
  </w:footnote>
  <w:footnote w:type="continuationSeparator" w:id="0">
    <w:p w:rsidR="00572E7B" w:rsidRDefault="00572E7B" w:rsidP="006B53EB">
      <w:pPr>
        <w:spacing w:after="0" w:line="240" w:lineRule="auto"/>
      </w:pPr>
      <w:r>
        <w:continuationSeparator/>
      </w:r>
    </w:p>
  </w:footnote>
  <w:footnote w:id="1">
    <w:p w:rsidR="00F8272D" w:rsidRPr="0013433B" w:rsidRDefault="00F8272D">
      <w:pPr>
        <w:pStyle w:val="Notedebasdepage"/>
        <w:rPr>
          <w:sz w:val="22"/>
        </w:rPr>
      </w:pPr>
      <w:r w:rsidRPr="0013433B">
        <w:rPr>
          <w:rStyle w:val="Appelnotedebasdep"/>
          <w:sz w:val="22"/>
        </w:rPr>
        <w:footnoteRef/>
      </w:r>
      <w:r w:rsidRPr="0013433B">
        <w:rPr>
          <w:sz w:val="22"/>
        </w:rPr>
        <w:t xml:space="preserve"> Données provisoires</w:t>
      </w:r>
    </w:p>
  </w:footnote>
  <w:footnote w:id="2">
    <w:p w:rsidR="00F8272D" w:rsidRPr="0013433B" w:rsidRDefault="00F8272D">
      <w:pPr>
        <w:pStyle w:val="Notedebasdepage"/>
        <w:rPr>
          <w:rFonts w:ascii="Segoe UI" w:hAnsi="Segoe UI" w:cs="Segoe UI"/>
          <w:sz w:val="22"/>
        </w:rPr>
      </w:pPr>
      <w:r w:rsidRPr="0013433B">
        <w:rPr>
          <w:rStyle w:val="Appelnotedebasdep"/>
          <w:rFonts w:ascii="Segoe UI" w:hAnsi="Segoe UI" w:cs="Segoe UI"/>
          <w:sz w:val="22"/>
        </w:rPr>
        <w:footnoteRef/>
      </w:r>
      <w:r w:rsidRPr="0013433B">
        <w:rPr>
          <w:rFonts w:ascii="Segoe UI" w:hAnsi="Segoe UI" w:cs="Segoe UI"/>
          <w:sz w:val="22"/>
        </w:rPr>
        <w:t xml:space="preserve"> BCEAO</w:t>
      </w:r>
      <w:r>
        <w:rPr>
          <w:rFonts w:ascii="Segoe UI" w:hAnsi="Segoe UI" w:cs="Segoe UI"/>
          <w:sz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17DB"/>
    <w:multiLevelType w:val="hybridMultilevel"/>
    <w:tmpl w:val="CB8E8642"/>
    <w:lvl w:ilvl="0" w:tplc="F7622304">
      <w:numFmt w:val="bullet"/>
      <w:lvlText w:val="-"/>
      <w:lvlJc w:val="left"/>
      <w:pPr>
        <w:ind w:left="1068" w:hanging="360"/>
      </w:pPr>
      <w:rPr>
        <w:rFonts w:ascii="Garamond" w:eastAsia="Times New Roman" w:hAnsi="Garamond"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11A47C3F"/>
    <w:multiLevelType w:val="hybridMultilevel"/>
    <w:tmpl w:val="AB26690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9E5BC6"/>
    <w:multiLevelType w:val="hybridMultilevel"/>
    <w:tmpl w:val="95E4BCFA"/>
    <w:lvl w:ilvl="0" w:tplc="65A833EE">
      <w:start w:val="1"/>
      <w:numFmt w:val="upp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nsid w:val="12C37F74"/>
    <w:multiLevelType w:val="multilevel"/>
    <w:tmpl w:val="3C584D14"/>
    <w:lvl w:ilvl="0">
      <w:start w:val="1"/>
      <w:numFmt w:val="decimal"/>
      <w:lvlText w:val="%1."/>
      <w:lvlJc w:val="left"/>
      <w:pPr>
        <w:ind w:left="720" w:hanging="360"/>
      </w:pPr>
      <w:rPr>
        <w:rFonts w:ascii="Garamond" w:hAnsi="Garamond" w:cs="Times New Roman" w:hint="default"/>
        <w:b w:val="0"/>
        <w:sz w:val="28"/>
        <w:szCs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4">
    <w:nsid w:val="13B64E1A"/>
    <w:multiLevelType w:val="hybridMultilevel"/>
    <w:tmpl w:val="7C0A2670"/>
    <w:lvl w:ilvl="0" w:tplc="BDCA819A">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151505AB"/>
    <w:multiLevelType w:val="hybridMultilevel"/>
    <w:tmpl w:val="D610B92E"/>
    <w:lvl w:ilvl="0" w:tplc="64A69A96">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18FE7521"/>
    <w:multiLevelType w:val="hybridMultilevel"/>
    <w:tmpl w:val="172EB40C"/>
    <w:lvl w:ilvl="0" w:tplc="AF748B36">
      <w:start w:val="50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19FB68D9"/>
    <w:multiLevelType w:val="hybridMultilevel"/>
    <w:tmpl w:val="5C8AA010"/>
    <w:lvl w:ilvl="0" w:tplc="02F83F6C">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1AC1015F"/>
    <w:multiLevelType w:val="hybridMultilevel"/>
    <w:tmpl w:val="44028A4A"/>
    <w:lvl w:ilvl="0" w:tplc="040C0015">
      <w:start w:val="2"/>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20564135"/>
    <w:multiLevelType w:val="hybridMultilevel"/>
    <w:tmpl w:val="5C8AA010"/>
    <w:lvl w:ilvl="0" w:tplc="02F83F6C">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218A69C5"/>
    <w:multiLevelType w:val="hybridMultilevel"/>
    <w:tmpl w:val="F0C8EF72"/>
    <w:lvl w:ilvl="0" w:tplc="883E20F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CB3B1C"/>
    <w:multiLevelType w:val="hybridMultilevel"/>
    <w:tmpl w:val="0A84BAEA"/>
    <w:lvl w:ilvl="0" w:tplc="2C14466C">
      <w:start w:val="1"/>
      <w:numFmt w:val="decimal"/>
      <w:lvlText w:val="%1-"/>
      <w:lvlJc w:val="left"/>
      <w:pPr>
        <w:ind w:left="720" w:hanging="360"/>
      </w:pPr>
      <w:rPr>
        <w:rFonts w:cs="BookmanOldStyle" w:hint="default"/>
        <w:b/>
        <w:sz w:val="26"/>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25654AB3"/>
    <w:multiLevelType w:val="hybridMultilevel"/>
    <w:tmpl w:val="35C29FE6"/>
    <w:lvl w:ilvl="0" w:tplc="8FB6B946">
      <w:start w:val="2"/>
      <w:numFmt w:val="bullet"/>
      <w:lvlText w:val="-"/>
      <w:lvlJc w:val="left"/>
      <w:pPr>
        <w:ind w:left="720" w:hanging="360"/>
      </w:pPr>
      <w:rPr>
        <w:rFonts w:ascii="Bookman Old Style" w:eastAsia="Times New Roman" w:hAnsi="Bookman Old Style"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7023EC5"/>
    <w:multiLevelType w:val="hybridMultilevel"/>
    <w:tmpl w:val="8EDC1966"/>
    <w:lvl w:ilvl="0" w:tplc="F7F8967C">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2A233AC9"/>
    <w:multiLevelType w:val="hybridMultilevel"/>
    <w:tmpl w:val="05AAB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A9B2F72"/>
    <w:multiLevelType w:val="hybridMultilevel"/>
    <w:tmpl w:val="6D9A4DB2"/>
    <w:lvl w:ilvl="0" w:tplc="48B48324">
      <w:start w:val="168"/>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2B6C0A88"/>
    <w:multiLevelType w:val="hybridMultilevel"/>
    <w:tmpl w:val="0A84BAEA"/>
    <w:lvl w:ilvl="0" w:tplc="2C14466C">
      <w:start w:val="1"/>
      <w:numFmt w:val="decimal"/>
      <w:lvlText w:val="%1-"/>
      <w:lvlJc w:val="left"/>
      <w:pPr>
        <w:ind w:left="720" w:hanging="360"/>
      </w:pPr>
      <w:rPr>
        <w:rFonts w:cs="BookmanOldStyle" w:hint="default"/>
        <w:b/>
        <w:sz w:val="26"/>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33AF7142"/>
    <w:multiLevelType w:val="hybridMultilevel"/>
    <w:tmpl w:val="87F8D114"/>
    <w:lvl w:ilvl="0" w:tplc="040C0001">
      <w:start w:val="1"/>
      <w:numFmt w:val="bullet"/>
      <w:lvlText w:val=""/>
      <w:lvlJc w:val="left"/>
      <w:pPr>
        <w:ind w:left="940" w:hanging="360"/>
      </w:pPr>
      <w:rPr>
        <w:rFonts w:ascii="Symbol" w:hAnsi="Symbol" w:hint="default"/>
      </w:rPr>
    </w:lvl>
    <w:lvl w:ilvl="1" w:tplc="040C0003" w:tentative="1">
      <w:start w:val="1"/>
      <w:numFmt w:val="bullet"/>
      <w:lvlText w:val="o"/>
      <w:lvlJc w:val="left"/>
      <w:pPr>
        <w:ind w:left="1660" w:hanging="360"/>
      </w:pPr>
      <w:rPr>
        <w:rFonts w:ascii="Courier New" w:hAnsi="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8">
    <w:nsid w:val="33FB5692"/>
    <w:multiLevelType w:val="hybridMultilevel"/>
    <w:tmpl w:val="CCAA1F96"/>
    <w:lvl w:ilvl="0" w:tplc="411A0A84">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38FB2D17"/>
    <w:multiLevelType w:val="hybridMultilevel"/>
    <w:tmpl w:val="D7601FB6"/>
    <w:lvl w:ilvl="0" w:tplc="16E8277A">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3C5A051D"/>
    <w:multiLevelType w:val="hybridMultilevel"/>
    <w:tmpl w:val="EE2CC39A"/>
    <w:lvl w:ilvl="0" w:tplc="289897E6">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C8567F1"/>
    <w:multiLevelType w:val="hybridMultilevel"/>
    <w:tmpl w:val="073CD8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3D4E182A"/>
    <w:multiLevelType w:val="hybridMultilevel"/>
    <w:tmpl w:val="F7C27A6E"/>
    <w:lvl w:ilvl="0" w:tplc="08F27D14">
      <w:start w:val="1"/>
      <w:numFmt w:val="bullet"/>
      <w:lvlText w:val="-"/>
      <w:lvlJc w:val="left"/>
      <w:pPr>
        <w:ind w:left="720" w:hanging="360"/>
      </w:pPr>
      <w:rPr>
        <w:rFonts w:ascii="Bookman Old Style" w:eastAsia="Times New Roman" w:hAnsi="Bookman Old Style"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2E392D"/>
    <w:multiLevelType w:val="hybridMultilevel"/>
    <w:tmpl w:val="5D46C6C6"/>
    <w:lvl w:ilvl="0" w:tplc="40BA90D2">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4330509E"/>
    <w:multiLevelType w:val="hybridMultilevel"/>
    <w:tmpl w:val="A0927F90"/>
    <w:lvl w:ilvl="0" w:tplc="A32418EE">
      <w:start w:val="2015"/>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7932338"/>
    <w:multiLevelType w:val="hybridMultilevel"/>
    <w:tmpl w:val="CE88EE76"/>
    <w:lvl w:ilvl="0" w:tplc="92207908">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6">
    <w:nsid w:val="48CD2AD4"/>
    <w:multiLevelType w:val="hybridMultilevel"/>
    <w:tmpl w:val="121C3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F622A75"/>
    <w:multiLevelType w:val="hybridMultilevel"/>
    <w:tmpl w:val="76A63D26"/>
    <w:lvl w:ilvl="0" w:tplc="A004501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1CF3F4E"/>
    <w:multiLevelType w:val="hybridMultilevel"/>
    <w:tmpl w:val="E7F0889A"/>
    <w:lvl w:ilvl="0" w:tplc="1784A51E">
      <w:start w:val="9"/>
      <w:numFmt w:val="bullet"/>
      <w:lvlText w:val=""/>
      <w:lvlJc w:val="left"/>
      <w:pPr>
        <w:ind w:left="1429" w:hanging="360"/>
      </w:pPr>
      <w:rPr>
        <w:rFonts w:ascii="Symbol" w:eastAsia="Times New Roman"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nsid w:val="531812C2"/>
    <w:multiLevelType w:val="hybridMultilevel"/>
    <w:tmpl w:val="FA508C84"/>
    <w:lvl w:ilvl="0" w:tplc="192615A0">
      <w:start w:val="2"/>
      <w:numFmt w:val="bullet"/>
      <w:lvlText w:val="-"/>
      <w:lvlJc w:val="left"/>
      <w:pPr>
        <w:ind w:left="720" w:hanging="360"/>
      </w:pPr>
      <w:rPr>
        <w:rFonts w:ascii="Garamond" w:eastAsia="Times New Roman" w:hAnsi="Garamond"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3AE122D"/>
    <w:multiLevelType w:val="hybridMultilevel"/>
    <w:tmpl w:val="B608C7F8"/>
    <w:lvl w:ilvl="0" w:tplc="08F27D14">
      <w:start w:val="1"/>
      <w:numFmt w:val="bullet"/>
      <w:lvlText w:val="-"/>
      <w:lvlJc w:val="left"/>
      <w:pPr>
        <w:ind w:left="720" w:hanging="360"/>
      </w:pPr>
      <w:rPr>
        <w:rFonts w:ascii="Bookman Old Style" w:eastAsia="Times New Roman" w:hAnsi="Bookman Old Style"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ECA2CAC"/>
    <w:multiLevelType w:val="hybridMultilevel"/>
    <w:tmpl w:val="25826E5E"/>
    <w:lvl w:ilvl="0" w:tplc="68DC3420">
      <w:numFmt w:val="bullet"/>
      <w:lvlText w:val="-"/>
      <w:lvlJc w:val="left"/>
      <w:pPr>
        <w:ind w:left="720" w:hanging="360"/>
      </w:pPr>
      <w:rPr>
        <w:rFonts w:ascii="Garamond" w:eastAsia="Times New Roman" w:hAnsi="Garamond"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EDA10FF"/>
    <w:multiLevelType w:val="hybridMultilevel"/>
    <w:tmpl w:val="855C9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39C171D"/>
    <w:multiLevelType w:val="hybridMultilevel"/>
    <w:tmpl w:val="A524F690"/>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nsid w:val="64572AD1"/>
    <w:multiLevelType w:val="hybridMultilevel"/>
    <w:tmpl w:val="18D61C52"/>
    <w:lvl w:ilvl="0" w:tplc="4B16E126">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5">
    <w:nsid w:val="64A607E9"/>
    <w:multiLevelType w:val="hybridMultilevel"/>
    <w:tmpl w:val="94167B3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6">
    <w:nsid w:val="66087CBF"/>
    <w:multiLevelType w:val="hybridMultilevel"/>
    <w:tmpl w:val="FEEEA3C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7B96EA5"/>
    <w:multiLevelType w:val="hybridMultilevel"/>
    <w:tmpl w:val="B8DA2EFA"/>
    <w:lvl w:ilvl="0" w:tplc="6FA23188">
      <w:start w:val="43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A4F1B71"/>
    <w:multiLevelType w:val="hybridMultilevel"/>
    <w:tmpl w:val="F0CC652E"/>
    <w:lvl w:ilvl="0" w:tplc="3DF66D84">
      <w:start w:val="43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C1A5DF0"/>
    <w:multiLevelType w:val="hybridMultilevel"/>
    <w:tmpl w:val="19DC70D4"/>
    <w:lvl w:ilvl="0" w:tplc="D05CF086">
      <w:start w:val="1"/>
      <w:numFmt w:val="decimal"/>
      <w:lvlText w:val="%1."/>
      <w:lvlJc w:val="left"/>
      <w:pPr>
        <w:ind w:left="720" w:hanging="360"/>
      </w:pPr>
      <w:rPr>
        <w:rFonts w:ascii="Garamond" w:hAnsi="Garamond" w:cs="Times New Roman" w:hint="default"/>
        <w:b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0">
    <w:nsid w:val="6E8235B6"/>
    <w:multiLevelType w:val="hybridMultilevel"/>
    <w:tmpl w:val="61788FBA"/>
    <w:lvl w:ilvl="0" w:tplc="EAF2E73A">
      <w:start w:val="1"/>
      <w:numFmt w:val="bullet"/>
      <w:lvlText w:val=""/>
      <w:lvlJc w:val="left"/>
      <w:pPr>
        <w:ind w:left="1080" w:hanging="360"/>
      </w:pPr>
      <w:rPr>
        <w:rFonts w:ascii="Symbol" w:eastAsia="Times New Roman" w:hAnsi="Symbol" w:cs="Segoe U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nsid w:val="70802B3E"/>
    <w:multiLevelType w:val="hybridMultilevel"/>
    <w:tmpl w:val="EE2CC39A"/>
    <w:lvl w:ilvl="0" w:tplc="289897E6">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41B0D92"/>
    <w:multiLevelType w:val="hybridMultilevel"/>
    <w:tmpl w:val="5C8AA010"/>
    <w:lvl w:ilvl="0" w:tplc="02F83F6C">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3">
    <w:nsid w:val="7BD562D9"/>
    <w:multiLevelType w:val="hybridMultilevel"/>
    <w:tmpl w:val="C44C4574"/>
    <w:lvl w:ilvl="0" w:tplc="038A34E0">
      <w:start w:val="1"/>
      <w:numFmt w:val="decimal"/>
      <w:lvlText w:val="%1."/>
      <w:lvlJc w:val="left"/>
      <w:pPr>
        <w:ind w:left="720" w:hanging="360"/>
      </w:pPr>
      <w:rPr>
        <w:rFonts w:ascii="Garamond" w:hAnsi="Garamond" w:cs="Times New Roman" w:hint="default"/>
        <w:b w:val="0"/>
        <w:sz w:val="28"/>
        <w:szCs w:val="28"/>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4">
    <w:nsid w:val="7C9951B1"/>
    <w:multiLevelType w:val="hybridMultilevel"/>
    <w:tmpl w:val="5C8AA010"/>
    <w:lvl w:ilvl="0" w:tplc="02F83F6C">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5">
    <w:nsid w:val="7FF9498E"/>
    <w:multiLevelType w:val="hybridMultilevel"/>
    <w:tmpl w:val="1E1448C0"/>
    <w:lvl w:ilvl="0" w:tplc="2C6A657E">
      <w:start w:val="1"/>
      <w:numFmt w:val="upperLetter"/>
      <w:lvlText w:val="%1-"/>
      <w:lvlJc w:val="left"/>
      <w:pPr>
        <w:ind w:left="36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2"/>
  </w:num>
  <w:num w:numId="2">
    <w:abstractNumId w:val="45"/>
  </w:num>
  <w:num w:numId="3">
    <w:abstractNumId w:val="4"/>
  </w:num>
  <w:num w:numId="4">
    <w:abstractNumId w:val="9"/>
  </w:num>
  <w:num w:numId="5">
    <w:abstractNumId w:val="13"/>
  </w:num>
  <w:num w:numId="6">
    <w:abstractNumId w:val="19"/>
  </w:num>
  <w:num w:numId="7">
    <w:abstractNumId w:val="3"/>
  </w:num>
  <w:num w:numId="8">
    <w:abstractNumId w:val="31"/>
  </w:num>
  <w:num w:numId="9">
    <w:abstractNumId w:val="43"/>
  </w:num>
  <w:num w:numId="10">
    <w:abstractNumId w:val="10"/>
  </w:num>
  <w:num w:numId="11">
    <w:abstractNumId w:val="35"/>
  </w:num>
  <w:num w:numId="12">
    <w:abstractNumId w:val="21"/>
  </w:num>
  <w:num w:numId="13">
    <w:abstractNumId w:val="39"/>
  </w:num>
  <w:num w:numId="14">
    <w:abstractNumId w:val="36"/>
  </w:num>
  <w:num w:numId="15">
    <w:abstractNumId w:val="29"/>
  </w:num>
  <w:num w:numId="16">
    <w:abstractNumId w:val="28"/>
  </w:num>
  <w:num w:numId="17">
    <w:abstractNumId w:val="18"/>
  </w:num>
  <w:num w:numId="18">
    <w:abstractNumId w:val="34"/>
  </w:num>
  <w:num w:numId="19">
    <w:abstractNumId w:val="26"/>
  </w:num>
  <w:num w:numId="20">
    <w:abstractNumId w:val="12"/>
  </w:num>
  <w:num w:numId="21">
    <w:abstractNumId w:val="23"/>
  </w:num>
  <w:num w:numId="22">
    <w:abstractNumId w:val="0"/>
  </w:num>
  <w:num w:numId="23">
    <w:abstractNumId w:val="16"/>
  </w:num>
  <w:num w:numId="24">
    <w:abstractNumId w:val="30"/>
  </w:num>
  <w:num w:numId="25">
    <w:abstractNumId w:val="32"/>
  </w:num>
  <w:num w:numId="26">
    <w:abstractNumId w:val="14"/>
  </w:num>
  <w:num w:numId="27">
    <w:abstractNumId w:val="17"/>
  </w:num>
  <w:num w:numId="28">
    <w:abstractNumId w:val="24"/>
  </w:num>
  <w:num w:numId="29">
    <w:abstractNumId w:val="11"/>
  </w:num>
  <w:num w:numId="30">
    <w:abstractNumId w:val="33"/>
  </w:num>
  <w:num w:numId="31">
    <w:abstractNumId w:val="8"/>
  </w:num>
  <w:num w:numId="32">
    <w:abstractNumId w:val="15"/>
  </w:num>
  <w:num w:numId="33">
    <w:abstractNumId w:val="6"/>
  </w:num>
  <w:num w:numId="34">
    <w:abstractNumId w:val="20"/>
  </w:num>
  <w:num w:numId="35">
    <w:abstractNumId w:val="41"/>
  </w:num>
  <w:num w:numId="36">
    <w:abstractNumId w:val="25"/>
  </w:num>
  <w:num w:numId="37">
    <w:abstractNumId w:val="40"/>
  </w:num>
  <w:num w:numId="38">
    <w:abstractNumId w:val="5"/>
  </w:num>
  <w:num w:numId="39">
    <w:abstractNumId w:val="27"/>
  </w:num>
  <w:num w:numId="40">
    <w:abstractNumId w:val="37"/>
  </w:num>
  <w:num w:numId="41">
    <w:abstractNumId w:val="38"/>
  </w:num>
  <w:num w:numId="42">
    <w:abstractNumId w:val="7"/>
  </w:num>
  <w:num w:numId="43">
    <w:abstractNumId w:val="42"/>
  </w:num>
  <w:num w:numId="44">
    <w:abstractNumId w:val="1"/>
  </w:num>
  <w:num w:numId="45">
    <w:abstractNumId w:val="44"/>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83"/>
    <w:rsid w:val="00000FC2"/>
    <w:rsid w:val="000015B5"/>
    <w:rsid w:val="00001D16"/>
    <w:rsid w:val="000026DD"/>
    <w:rsid w:val="00002916"/>
    <w:rsid w:val="00002B83"/>
    <w:rsid w:val="00002CB8"/>
    <w:rsid w:val="00003034"/>
    <w:rsid w:val="00003229"/>
    <w:rsid w:val="00003688"/>
    <w:rsid w:val="00003A30"/>
    <w:rsid w:val="00003AA3"/>
    <w:rsid w:val="00003AA9"/>
    <w:rsid w:val="00003C6A"/>
    <w:rsid w:val="00004AE8"/>
    <w:rsid w:val="00004C0D"/>
    <w:rsid w:val="00004C69"/>
    <w:rsid w:val="00005B5F"/>
    <w:rsid w:val="00006237"/>
    <w:rsid w:val="00006478"/>
    <w:rsid w:val="000070F0"/>
    <w:rsid w:val="00007571"/>
    <w:rsid w:val="00007755"/>
    <w:rsid w:val="000108D2"/>
    <w:rsid w:val="00010A83"/>
    <w:rsid w:val="00010CF0"/>
    <w:rsid w:val="000119BC"/>
    <w:rsid w:val="000123E7"/>
    <w:rsid w:val="00012586"/>
    <w:rsid w:val="00012806"/>
    <w:rsid w:val="00012BD8"/>
    <w:rsid w:val="00012E04"/>
    <w:rsid w:val="000132BA"/>
    <w:rsid w:val="0001416F"/>
    <w:rsid w:val="000143AB"/>
    <w:rsid w:val="000143EC"/>
    <w:rsid w:val="00014940"/>
    <w:rsid w:val="00014B93"/>
    <w:rsid w:val="00014CB0"/>
    <w:rsid w:val="000154CA"/>
    <w:rsid w:val="00015666"/>
    <w:rsid w:val="00015EEC"/>
    <w:rsid w:val="00016134"/>
    <w:rsid w:val="00016355"/>
    <w:rsid w:val="000164CC"/>
    <w:rsid w:val="00016828"/>
    <w:rsid w:val="0001689D"/>
    <w:rsid w:val="00016B41"/>
    <w:rsid w:val="0001722C"/>
    <w:rsid w:val="0001773E"/>
    <w:rsid w:val="00017903"/>
    <w:rsid w:val="00017BE0"/>
    <w:rsid w:val="000202F5"/>
    <w:rsid w:val="0002064C"/>
    <w:rsid w:val="0002095D"/>
    <w:rsid w:val="00020E1D"/>
    <w:rsid w:val="00021141"/>
    <w:rsid w:val="00021910"/>
    <w:rsid w:val="00021C4E"/>
    <w:rsid w:val="0002245F"/>
    <w:rsid w:val="00022CD5"/>
    <w:rsid w:val="00022D3B"/>
    <w:rsid w:val="00022EC7"/>
    <w:rsid w:val="00023160"/>
    <w:rsid w:val="000234D1"/>
    <w:rsid w:val="0002383F"/>
    <w:rsid w:val="00023C97"/>
    <w:rsid w:val="00023D7D"/>
    <w:rsid w:val="000243F1"/>
    <w:rsid w:val="000246A5"/>
    <w:rsid w:val="00024B8C"/>
    <w:rsid w:val="000253F7"/>
    <w:rsid w:val="00025CFD"/>
    <w:rsid w:val="00025DD5"/>
    <w:rsid w:val="000265D5"/>
    <w:rsid w:val="000272A4"/>
    <w:rsid w:val="000274BC"/>
    <w:rsid w:val="000277FF"/>
    <w:rsid w:val="00027B58"/>
    <w:rsid w:val="00027BC6"/>
    <w:rsid w:val="00027CFF"/>
    <w:rsid w:val="00027DE2"/>
    <w:rsid w:val="00030218"/>
    <w:rsid w:val="0003024B"/>
    <w:rsid w:val="000306BB"/>
    <w:rsid w:val="00030887"/>
    <w:rsid w:val="00030891"/>
    <w:rsid w:val="00030943"/>
    <w:rsid w:val="00030A4F"/>
    <w:rsid w:val="000310BC"/>
    <w:rsid w:val="00033645"/>
    <w:rsid w:val="00033B81"/>
    <w:rsid w:val="00033E90"/>
    <w:rsid w:val="00033EE3"/>
    <w:rsid w:val="0003459C"/>
    <w:rsid w:val="00034BD7"/>
    <w:rsid w:val="00034C79"/>
    <w:rsid w:val="00036035"/>
    <w:rsid w:val="0003663F"/>
    <w:rsid w:val="0003701C"/>
    <w:rsid w:val="00037C80"/>
    <w:rsid w:val="00037F58"/>
    <w:rsid w:val="00040C7D"/>
    <w:rsid w:val="00040C86"/>
    <w:rsid w:val="00040CF0"/>
    <w:rsid w:val="000411A9"/>
    <w:rsid w:val="00041240"/>
    <w:rsid w:val="0004141E"/>
    <w:rsid w:val="0004157D"/>
    <w:rsid w:val="00041725"/>
    <w:rsid w:val="0004177A"/>
    <w:rsid w:val="00041BF7"/>
    <w:rsid w:val="000420B6"/>
    <w:rsid w:val="00042B32"/>
    <w:rsid w:val="00042BE5"/>
    <w:rsid w:val="00042CCC"/>
    <w:rsid w:val="00043D9B"/>
    <w:rsid w:val="00043D9F"/>
    <w:rsid w:val="00044157"/>
    <w:rsid w:val="000441BF"/>
    <w:rsid w:val="00044248"/>
    <w:rsid w:val="0004480A"/>
    <w:rsid w:val="00044EE8"/>
    <w:rsid w:val="00045582"/>
    <w:rsid w:val="000456B2"/>
    <w:rsid w:val="000457B6"/>
    <w:rsid w:val="00045946"/>
    <w:rsid w:val="00045F3F"/>
    <w:rsid w:val="00046B58"/>
    <w:rsid w:val="0004760D"/>
    <w:rsid w:val="00047931"/>
    <w:rsid w:val="00047B42"/>
    <w:rsid w:val="00047E44"/>
    <w:rsid w:val="00047EF1"/>
    <w:rsid w:val="00050107"/>
    <w:rsid w:val="00050113"/>
    <w:rsid w:val="000505FF"/>
    <w:rsid w:val="00050F83"/>
    <w:rsid w:val="000513A0"/>
    <w:rsid w:val="00051444"/>
    <w:rsid w:val="00051679"/>
    <w:rsid w:val="00052172"/>
    <w:rsid w:val="0005253A"/>
    <w:rsid w:val="00052667"/>
    <w:rsid w:val="00052B01"/>
    <w:rsid w:val="00052CFE"/>
    <w:rsid w:val="00052F6B"/>
    <w:rsid w:val="00053573"/>
    <w:rsid w:val="000541B8"/>
    <w:rsid w:val="000544E6"/>
    <w:rsid w:val="00054561"/>
    <w:rsid w:val="00054B72"/>
    <w:rsid w:val="00055663"/>
    <w:rsid w:val="00055BB1"/>
    <w:rsid w:val="00056203"/>
    <w:rsid w:val="00057289"/>
    <w:rsid w:val="00057294"/>
    <w:rsid w:val="000575A6"/>
    <w:rsid w:val="00057B7C"/>
    <w:rsid w:val="00057BB9"/>
    <w:rsid w:val="00060695"/>
    <w:rsid w:val="00060D4F"/>
    <w:rsid w:val="00060D5D"/>
    <w:rsid w:val="00060DB5"/>
    <w:rsid w:val="00060DE0"/>
    <w:rsid w:val="000613A1"/>
    <w:rsid w:val="00061777"/>
    <w:rsid w:val="000620CE"/>
    <w:rsid w:val="0006221B"/>
    <w:rsid w:val="0006235F"/>
    <w:rsid w:val="00062503"/>
    <w:rsid w:val="000628CD"/>
    <w:rsid w:val="00063A14"/>
    <w:rsid w:val="00063B12"/>
    <w:rsid w:val="000641C5"/>
    <w:rsid w:val="00064589"/>
    <w:rsid w:val="00064A04"/>
    <w:rsid w:val="00064AF4"/>
    <w:rsid w:val="00064DF0"/>
    <w:rsid w:val="00064FEA"/>
    <w:rsid w:val="00065959"/>
    <w:rsid w:val="00065A1E"/>
    <w:rsid w:val="00065C8C"/>
    <w:rsid w:val="00066368"/>
    <w:rsid w:val="00066C83"/>
    <w:rsid w:val="000670FC"/>
    <w:rsid w:val="000673A5"/>
    <w:rsid w:val="00067558"/>
    <w:rsid w:val="00067641"/>
    <w:rsid w:val="00070073"/>
    <w:rsid w:val="0007021B"/>
    <w:rsid w:val="00070238"/>
    <w:rsid w:val="0007057D"/>
    <w:rsid w:val="000713D3"/>
    <w:rsid w:val="000716D3"/>
    <w:rsid w:val="000721AB"/>
    <w:rsid w:val="000736A3"/>
    <w:rsid w:val="0007509C"/>
    <w:rsid w:val="000750C9"/>
    <w:rsid w:val="0007526B"/>
    <w:rsid w:val="000755CA"/>
    <w:rsid w:val="00075A13"/>
    <w:rsid w:val="00075AAB"/>
    <w:rsid w:val="0007655A"/>
    <w:rsid w:val="000765E2"/>
    <w:rsid w:val="00076677"/>
    <w:rsid w:val="00076BF6"/>
    <w:rsid w:val="00076D16"/>
    <w:rsid w:val="00077599"/>
    <w:rsid w:val="00077D75"/>
    <w:rsid w:val="00077EB6"/>
    <w:rsid w:val="000801C2"/>
    <w:rsid w:val="00080E9E"/>
    <w:rsid w:val="00081F9D"/>
    <w:rsid w:val="00082BEE"/>
    <w:rsid w:val="00083495"/>
    <w:rsid w:val="00083523"/>
    <w:rsid w:val="00083756"/>
    <w:rsid w:val="00083C14"/>
    <w:rsid w:val="00083FC3"/>
    <w:rsid w:val="000846D2"/>
    <w:rsid w:val="00084A27"/>
    <w:rsid w:val="00084BE6"/>
    <w:rsid w:val="00084D21"/>
    <w:rsid w:val="000850D4"/>
    <w:rsid w:val="00085281"/>
    <w:rsid w:val="00085A9C"/>
    <w:rsid w:val="00086C90"/>
    <w:rsid w:val="00086FAE"/>
    <w:rsid w:val="00087DB4"/>
    <w:rsid w:val="000903EF"/>
    <w:rsid w:val="000903FD"/>
    <w:rsid w:val="0009104F"/>
    <w:rsid w:val="0009137E"/>
    <w:rsid w:val="000917D6"/>
    <w:rsid w:val="000918B2"/>
    <w:rsid w:val="00091D0C"/>
    <w:rsid w:val="00091F17"/>
    <w:rsid w:val="00092154"/>
    <w:rsid w:val="000922AC"/>
    <w:rsid w:val="000928FE"/>
    <w:rsid w:val="00092AB0"/>
    <w:rsid w:val="000931B8"/>
    <w:rsid w:val="0009357E"/>
    <w:rsid w:val="000935B7"/>
    <w:rsid w:val="000935EC"/>
    <w:rsid w:val="000937ED"/>
    <w:rsid w:val="00093A9A"/>
    <w:rsid w:val="00093DFC"/>
    <w:rsid w:val="00094105"/>
    <w:rsid w:val="000943E8"/>
    <w:rsid w:val="000947CF"/>
    <w:rsid w:val="00094A8A"/>
    <w:rsid w:val="0009551A"/>
    <w:rsid w:val="00095B96"/>
    <w:rsid w:val="00095D79"/>
    <w:rsid w:val="00095F4A"/>
    <w:rsid w:val="00095FE2"/>
    <w:rsid w:val="00096BB6"/>
    <w:rsid w:val="00097589"/>
    <w:rsid w:val="000976EB"/>
    <w:rsid w:val="00097C02"/>
    <w:rsid w:val="00097EF8"/>
    <w:rsid w:val="000A0238"/>
    <w:rsid w:val="000A081A"/>
    <w:rsid w:val="000A09F4"/>
    <w:rsid w:val="000A2470"/>
    <w:rsid w:val="000A256E"/>
    <w:rsid w:val="000A2ED3"/>
    <w:rsid w:val="000A38B0"/>
    <w:rsid w:val="000A393C"/>
    <w:rsid w:val="000A4104"/>
    <w:rsid w:val="000A4B3C"/>
    <w:rsid w:val="000A4C24"/>
    <w:rsid w:val="000A58A9"/>
    <w:rsid w:val="000A58ED"/>
    <w:rsid w:val="000A6D74"/>
    <w:rsid w:val="000A70D8"/>
    <w:rsid w:val="000A740A"/>
    <w:rsid w:val="000A777E"/>
    <w:rsid w:val="000A7B1C"/>
    <w:rsid w:val="000A7CD0"/>
    <w:rsid w:val="000A7F10"/>
    <w:rsid w:val="000B0081"/>
    <w:rsid w:val="000B013C"/>
    <w:rsid w:val="000B163F"/>
    <w:rsid w:val="000B2357"/>
    <w:rsid w:val="000B2560"/>
    <w:rsid w:val="000B25C2"/>
    <w:rsid w:val="000B2C3F"/>
    <w:rsid w:val="000B35AD"/>
    <w:rsid w:val="000B365E"/>
    <w:rsid w:val="000B3EE3"/>
    <w:rsid w:val="000B445B"/>
    <w:rsid w:val="000B484C"/>
    <w:rsid w:val="000B4DB6"/>
    <w:rsid w:val="000B4E32"/>
    <w:rsid w:val="000B4EDB"/>
    <w:rsid w:val="000B4F74"/>
    <w:rsid w:val="000B5135"/>
    <w:rsid w:val="000B52EE"/>
    <w:rsid w:val="000B57AE"/>
    <w:rsid w:val="000B5C09"/>
    <w:rsid w:val="000B62CE"/>
    <w:rsid w:val="000B68E4"/>
    <w:rsid w:val="000B762F"/>
    <w:rsid w:val="000B781A"/>
    <w:rsid w:val="000B7AF7"/>
    <w:rsid w:val="000B7C68"/>
    <w:rsid w:val="000C0694"/>
    <w:rsid w:val="000C178C"/>
    <w:rsid w:val="000C1C65"/>
    <w:rsid w:val="000C207C"/>
    <w:rsid w:val="000C2725"/>
    <w:rsid w:val="000C3155"/>
    <w:rsid w:val="000C3285"/>
    <w:rsid w:val="000C4116"/>
    <w:rsid w:val="000C5393"/>
    <w:rsid w:val="000C5CAA"/>
    <w:rsid w:val="000C5E78"/>
    <w:rsid w:val="000C5E98"/>
    <w:rsid w:val="000C660F"/>
    <w:rsid w:val="000C682C"/>
    <w:rsid w:val="000C6A27"/>
    <w:rsid w:val="000C6B3A"/>
    <w:rsid w:val="000C6E3F"/>
    <w:rsid w:val="000C79BC"/>
    <w:rsid w:val="000C7C40"/>
    <w:rsid w:val="000D04E8"/>
    <w:rsid w:val="000D0A2C"/>
    <w:rsid w:val="000D0F81"/>
    <w:rsid w:val="000D107C"/>
    <w:rsid w:val="000D17B7"/>
    <w:rsid w:val="000D1A61"/>
    <w:rsid w:val="000D24A5"/>
    <w:rsid w:val="000D2D12"/>
    <w:rsid w:val="000D2E95"/>
    <w:rsid w:val="000D306F"/>
    <w:rsid w:val="000D3FCE"/>
    <w:rsid w:val="000D455C"/>
    <w:rsid w:val="000D4D64"/>
    <w:rsid w:val="000D4FD9"/>
    <w:rsid w:val="000D523A"/>
    <w:rsid w:val="000D5F9C"/>
    <w:rsid w:val="000D6756"/>
    <w:rsid w:val="000D675D"/>
    <w:rsid w:val="000D73C1"/>
    <w:rsid w:val="000D73CC"/>
    <w:rsid w:val="000D79A6"/>
    <w:rsid w:val="000D7B2E"/>
    <w:rsid w:val="000D7F7F"/>
    <w:rsid w:val="000E08AD"/>
    <w:rsid w:val="000E095D"/>
    <w:rsid w:val="000E0CC6"/>
    <w:rsid w:val="000E0EB4"/>
    <w:rsid w:val="000E14CC"/>
    <w:rsid w:val="000E160B"/>
    <w:rsid w:val="000E195F"/>
    <w:rsid w:val="000E1BE2"/>
    <w:rsid w:val="000E1CA3"/>
    <w:rsid w:val="000E38A6"/>
    <w:rsid w:val="000E3CBE"/>
    <w:rsid w:val="000E47E2"/>
    <w:rsid w:val="000E482D"/>
    <w:rsid w:val="000E4DA7"/>
    <w:rsid w:val="000E540E"/>
    <w:rsid w:val="000E54F6"/>
    <w:rsid w:val="000E5DB6"/>
    <w:rsid w:val="000E66A7"/>
    <w:rsid w:val="000E6837"/>
    <w:rsid w:val="000E6F9B"/>
    <w:rsid w:val="000E7598"/>
    <w:rsid w:val="000E7B16"/>
    <w:rsid w:val="000F0F3A"/>
    <w:rsid w:val="000F251A"/>
    <w:rsid w:val="000F290B"/>
    <w:rsid w:val="000F2BD7"/>
    <w:rsid w:val="000F3456"/>
    <w:rsid w:val="000F34C2"/>
    <w:rsid w:val="000F3FC2"/>
    <w:rsid w:val="000F429C"/>
    <w:rsid w:val="000F4344"/>
    <w:rsid w:val="000F498B"/>
    <w:rsid w:val="000F531C"/>
    <w:rsid w:val="000F5503"/>
    <w:rsid w:val="000F57D5"/>
    <w:rsid w:val="000F5B19"/>
    <w:rsid w:val="000F63EF"/>
    <w:rsid w:val="000F6830"/>
    <w:rsid w:val="000F6B53"/>
    <w:rsid w:val="000F766C"/>
    <w:rsid w:val="000F7E3B"/>
    <w:rsid w:val="00100A7A"/>
    <w:rsid w:val="00100CBB"/>
    <w:rsid w:val="00100DA6"/>
    <w:rsid w:val="001011D4"/>
    <w:rsid w:val="00101D5C"/>
    <w:rsid w:val="00102996"/>
    <w:rsid w:val="00103402"/>
    <w:rsid w:val="001035B8"/>
    <w:rsid w:val="00103A7F"/>
    <w:rsid w:val="00103AFA"/>
    <w:rsid w:val="00103BAD"/>
    <w:rsid w:val="001049D8"/>
    <w:rsid w:val="001055EA"/>
    <w:rsid w:val="00105DC8"/>
    <w:rsid w:val="001069AE"/>
    <w:rsid w:val="00106AF2"/>
    <w:rsid w:val="00106E0A"/>
    <w:rsid w:val="0010703C"/>
    <w:rsid w:val="001078C5"/>
    <w:rsid w:val="00107B20"/>
    <w:rsid w:val="00107C9D"/>
    <w:rsid w:val="00107D78"/>
    <w:rsid w:val="00110542"/>
    <w:rsid w:val="0011171F"/>
    <w:rsid w:val="00112BAB"/>
    <w:rsid w:val="00112C32"/>
    <w:rsid w:val="00112C51"/>
    <w:rsid w:val="00112E80"/>
    <w:rsid w:val="00113932"/>
    <w:rsid w:val="00113A38"/>
    <w:rsid w:val="00113A40"/>
    <w:rsid w:val="00114195"/>
    <w:rsid w:val="0011450F"/>
    <w:rsid w:val="00114510"/>
    <w:rsid w:val="00114C05"/>
    <w:rsid w:val="00114CED"/>
    <w:rsid w:val="00115B5B"/>
    <w:rsid w:val="00115D20"/>
    <w:rsid w:val="00116062"/>
    <w:rsid w:val="00116F45"/>
    <w:rsid w:val="00117870"/>
    <w:rsid w:val="00120275"/>
    <w:rsid w:val="00120511"/>
    <w:rsid w:val="00120858"/>
    <w:rsid w:val="0012099C"/>
    <w:rsid w:val="00120ECB"/>
    <w:rsid w:val="00121A06"/>
    <w:rsid w:val="001220D5"/>
    <w:rsid w:val="00122307"/>
    <w:rsid w:val="00123069"/>
    <w:rsid w:val="00123285"/>
    <w:rsid w:val="001238FB"/>
    <w:rsid w:val="00123C36"/>
    <w:rsid w:val="00124B37"/>
    <w:rsid w:val="001259A0"/>
    <w:rsid w:val="00126193"/>
    <w:rsid w:val="00126285"/>
    <w:rsid w:val="00126447"/>
    <w:rsid w:val="001265D8"/>
    <w:rsid w:val="00126794"/>
    <w:rsid w:val="00126CAA"/>
    <w:rsid w:val="00126D23"/>
    <w:rsid w:val="00126E34"/>
    <w:rsid w:val="001270A8"/>
    <w:rsid w:val="0012762F"/>
    <w:rsid w:val="00127F44"/>
    <w:rsid w:val="001301A7"/>
    <w:rsid w:val="001303BE"/>
    <w:rsid w:val="0013055F"/>
    <w:rsid w:val="00130965"/>
    <w:rsid w:val="00130A0C"/>
    <w:rsid w:val="00130C24"/>
    <w:rsid w:val="00130D84"/>
    <w:rsid w:val="001310C7"/>
    <w:rsid w:val="00131CEF"/>
    <w:rsid w:val="00132146"/>
    <w:rsid w:val="00132745"/>
    <w:rsid w:val="00132C12"/>
    <w:rsid w:val="00132C2D"/>
    <w:rsid w:val="001334AA"/>
    <w:rsid w:val="0013355A"/>
    <w:rsid w:val="001335A8"/>
    <w:rsid w:val="00133803"/>
    <w:rsid w:val="00133C65"/>
    <w:rsid w:val="0013433B"/>
    <w:rsid w:val="00134AEA"/>
    <w:rsid w:val="00134DB0"/>
    <w:rsid w:val="00134F51"/>
    <w:rsid w:val="0013589C"/>
    <w:rsid w:val="00136805"/>
    <w:rsid w:val="001372A6"/>
    <w:rsid w:val="00137566"/>
    <w:rsid w:val="00137B72"/>
    <w:rsid w:val="00137BF0"/>
    <w:rsid w:val="00140DAB"/>
    <w:rsid w:val="00140FEA"/>
    <w:rsid w:val="001414D8"/>
    <w:rsid w:val="001415BD"/>
    <w:rsid w:val="001415D2"/>
    <w:rsid w:val="001415FE"/>
    <w:rsid w:val="00141817"/>
    <w:rsid w:val="00141C66"/>
    <w:rsid w:val="001434A3"/>
    <w:rsid w:val="00143CF5"/>
    <w:rsid w:val="00143CFC"/>
    <w:rsid w:val="00144195"/>
    <w:rsid w:val="00144BE5"/>
    <w:rsid w:val="0014501C"/>
    <w:rsid w:val="00146136"/>
    <w:rsid w:val="00146425"/>
    <w:rsid w:val="00146602"/>
    <w:rsid w:val="001473E2"/>
    <w:rsid w:val="00150887"/>
    <w:rsid w:val="00150B67"/>
    <w:rsid w:val="00150E35"/>
    <w:rsid w:val="00151276"/>
    <w:rsid w:val="0015198F"/>
    <w:rsid w:val="001519A1"/>
    <w:rsid w:val="001523C3"/>
    <w:rsid w:val="00152916"/>
    <w:rsid w:val="00152958"/>
    <w:rsid w:val="00152996"/>
    <w:rsid w:val="00152DC4"/>
    <w:rsid w:val="00153076"/>
    <w:rsid w:val="00154C3D"/>
    <w:rsid w:val="00154FED"/>
    <w:rsid w:val="00155B35"/>
    <w:rsid w:val="00155D7A"/>
    <w:rsid w:val="001564ED"/>
    <w:rsid w:val="00156753"/>
    <w:rsid w:val="00157197"/>
    <w:rsid w:val="0015757A"/>
    <w:rsid w:val="00157604"/>
    <w:rsid w:val="00157DB3"/>
    <w:rsid w:val="00157FC4"/>
    <w:rsid w:val="00160590"/>
    <w:rsid w:val="00160998"/>
    <w:rsid w:val="00160AE8"/>
    <w:rsid w:val="00160CAB"/>
    <w:rsid w:val="00162330"/>
    <w:rsid w:val="00162638"/>
    <w:rsid w:val="00162A5A"/>
    <w:rsid w:val="00162B4B"/>
    <w:rsid w:val="00163A95"/>
    <w:rsid w:val="00163AFB"/>
    <w:rsid w:val="001642C4"/>
    <w:rsid w:val="00164619"/>
    <w:rsid w:val="00164657"/>
    <w:rsid w:val="0016475D"/>
    <w:rsid w:val="00165134"/>
    <w:rsid w:val="001656E1"/>
    <w:rsid w:val="00165BDD"/>
    <w:rsid w:val="001667E0"/>
    <w:rsid w:val="00167518"/>
    <w:rsid w:val="00167767"/>
    <w:rsid w:val="0016784D"/>
    <w:rsid w:val="00167CF0"/>
    <w:rsid w:val="00167F0F"/>
    <w:rsid w:val="001701A0"/>
    <w:rsid w:val="001705B7"/>
    <w:rsid w:val="0017097E"/>
    <w:rsid w:val="00170F73"/>
    <w:rsid w:val="00171746"/>
    <w:rsid w:val="00171AB0"/>
    <w:rsid w:val="00172307"/>
    <w:rsid w:val="0017285F"/>
    <w:rsid w:val="00172CE0"/>
    <w:rsid w:val="0017363D"/>
    <w:rsid w:val="00173ADB"/>
    <w:rsid w:val="0017411C"/>
    <w:rsid w:val="00174A7F"/>
    <w:rsid w:val="0017585E"/>
    <w:rsid w:val="0017603A"/>
    <w:rsid w:val="00177206"/>
    <w:rsid w:val="00177468"/>
    <w:rsid w:val="00180AC8"/>
    <w:rsid w:val="00180CBB"/>
    <w:rsid w:val="00180D74"/>
    <w:rsid w:val="001813E7"/>
    <w:rsid w:val="00181BFA"/>
    <w:rsid w:val="00181C37"/>
    <w:rsid w:val="00182D2F"/>
    <w:rsid w:val="00183270"/>
    <w:rsid w:val="001833A4"/>
    <w:rsid w:val="00183501"/>
    <w:rsid w:val="001845F0"/>
    <w:rsid w:val="00184CA7"/>
    <w:rsid w:val="0018547A"/>
    <w:rsid w:val="00185D95"/>
    <w:rsid w:val="0018643B"/>
    <w:rsid w:val="001867F7"/>
    <w:rsid w:val="001872D6"/>
    <w:rsid w:val="0018787F"/>
    <w:rsid w:val="00190390"/>
    <w:rsid w:val="001907D2"/>
    <w:rsid w:val="001908BA"/>
    <w:rsid w:val="00190C54"/>
    <w:rsid w:val="00191808"/>
    <w:rsid w:val="0019186D"/>
    <w:rsid w:val="0019206B"/>
    <w:rsid w:val="001924BF"/>
    <w:rsid w:val="001924EB"/>
    <w:rsid w:val="0019334F"/>
    <w:rsid w:val="00193F02"/>
    <w:rsid w:val="00194100"/>
    <w:rsid w:val="0019457D"/>
    <w:rsid w:val="00194688"/>
    <w:rsid w:val="00194C31"/>
    <w:rsid w:val="0019532B"/>
    <w:rsid w:val="001957D8"/>
    <w:rsid w:val="0019596D"/>
    <w:rsid w:val="00195B80"/>
    <w:rsid w:val="00195C7C"/>
    <w:rsid w:val="00195D67"/>
    <w:rsid w:val="00195F8E"/>
    <w:rsid w:val="001962DD"/>
    <w:rsid w:val="001962F1"/>
    <w:rsid w:val="00196510"/>
    <w:rsid w:val="00196703"/>
    <w:rsid w:val="0019699D"/>
    <w:rsid w:val="001969EC"/>
    <w:rsid w:val="001973EE"/>
    <w:rsid w:val="0019763E"/>
    <w:rsid w:val="001979EC"/>
    <w:rsid w:val="00197FDF"/>
    <w:rsid w:val="001A0638"/>
    <w:rsid w:val="001A06A6"/>
    <w:rsid w:val="001A0914"/>
    <w:rsid w:val="001A0A38"/>
    <w:rsid w:val="001A0CBA"/>
    <w:rsid w:val="001A0F64"/>
    <w:rsid w:val="001A13E2"/>
    <w:rsid w:val="001A1A1D"/>
    <w:rsid w:val="001A1BEB"/>
    <w:rsid w:val="001A1DEE"/>
    <w:rsid w:val="001A203E"/>
    <w:rsid w:val="001A2F41"/>
    <w:rsid w:val="001A3217"/>
    <w:rsid w:val="001A391D"/>
    <w:rsid w:val="001A3CA9"/>
    <w:rsid w:val="001A3E6F"/>
    <w:rsid w:val="001A4227"/>
    <w:rsid w:val="001A4E8D"/>
    <w:rsid w:val="001A55F8"/>
    <w:rsid w:val="001A569C"/>
    <w:rsid w:val="001A5825"/>
    <w:rsid w:val="001A5CEB"/>
    <w:rsid w:val="001A5F90"/>
    <w:rsid w:val="001A6356"/>
    <w:rsid w:val="001A645B"/>
    <w:rsid w:val="001A68B3"/>
    <w:rsid w:val="001A69D9"/>
    <w:rsid w:val="001A6AF3"/>
    <w:rsid w:val="001A7658"/>
    <w:rsid w:val="001A7D2F"/>
    <w:rsid w:val="001A7DB3"/>
    <w:rsid w:val="001B0882"/>
    <w:rsid w:val="001B0BD4"/>
    <w:rsid w:val="001B110D"/>
    <w:rsid w:val="001B1373"/>
    <w:rsid w:val="001B1451"/>
    <w:rsid w:val="001B1CFE"/>
    <w:rsid w:val="001B1D15"/>
    <w:rsid w:val="001B2431"/>
    <w:rsid w:val="001B29A4"/>
    <w:rsid w:val="001B2B32"/>
    <w:rsid w:val="001B2BFA"/>
    <w:rsid w:val="001B2E9F"/>
    <w:rsid w:val="001B335F"/>
    <w:rsid w:val="001B427D"/>
    <w:rsid w:val="001B5FE8"/>
    <w:rsid w:val="001B5FF2"/>
    <w:rsid w:val="001B642F"/>
    <w:rsid w:val="001B6AF4"/>
    <w:rsid w:val="001B6D53"/>
    <w:rsid w:val="001B70F5"/>
    <w:rsid w:val="001B7453"/>
    <w:rsid w:val="001B7555"/>
    <w:rsid w:val="001C12A3"/>
    <w:rsid w:val="001C1F2B"/>
    <w:rsid w:val="001C2AFB"/>
    <w:rsid w:val="001C2C22"/>
    <w:rsid w:val="001C325C"/>
    <w:rsid w:val="001C38D0"/>
    <w:rsid w:val="001C3CD2"/>
    <w:rsid w:val="001C44B0"/>
    <w:rsid w:val="001C5EF1"/>
    <w:rsid w:val="001C617E"/>
    <w:rsid w:val="001C6775"/>
    <w:rsid w:val="001C6C09"/>
    <w:rsid w:val="001C6E66"/>
    <w:rsid w:val="001C6E6C"/>
    <w:rsid w:val="001C735E"/>
    <w:rsid w:val="001C7485"/>
    <w:rsid w:val="001C7F1E"/>
    <w:rsid w:val="001D09D5"/>
    <w:rsid w:val="001D0EB6"/>
    <w:rsid w:val="001D1039"/>
    <w:rsid w:val="001D14AB"/>
    <w:rsid w:val="001D1A31"/>
    <w:rsid w:val="001D1B6D"/>
    <w:rsid w:val="001D2970"/>
    <w:rsid w:val="001D2E6A"/>
    <w:rsid w:val="001D382E"/>
    <w:rsid w:val="001D3CFF"/>
    <w:rsid w:val="001D4076"/>
    <w:rsid w:val="001D4936"/>
    <w:rsid w:val="001D4999"/>
    <w:rsid w:val="001D4B6B"/>
    <w:rsid w:val="001D4FB1"/>
    <w:rsid w:val="001D5060"/>
    <w:rsid w:val="001D53CB"/>
    <w:rsid w:val="001D5A3B"/>
    <w:rsid w:val="001D6447"/>
    <w:rsid w:val="001D69B0"/>
    <w:rsid w:val="001D6BE8"/>
    <w:rsid w:val="001D6D84"/>
    <w:rsid w:val="001D7244"/>
    <w:rsid w:val="001D7269"/>
    <w:rsid w:val="001D7602"/>
    <w:rsid w:val="001D7B4A"/>
    <w:rsid w:val="001D7DA2"/>
    <w:rsid w:val="001D7F40"/>
    <w:rsid w:val="001D7FDD"/>
    <w:rsid w:val="001E036C"/>
    <w:rsid w:val="001E0BD3"/>
    <w:rsid w:val="001E0C93"/>
    <w:rsid w:val="001E0F18"/>
    <w:rsid w:val="001E102D"/>
    <w:rsid w:val="001E1D6F"/>
    <w:rsid w:val="001E21FD"/>
    <w:rsid w:val="001E2552"/>
    <w:rsid w:val="001E2CB8"/>
    <w:rsid w:val="001E35DC"/>
    <w:rsid w:val="001E3863"/>
    <w:rsid w:val="001E3922"/>
    <w:rsid w:val="001E3C99"/>
    <w:rsid w:val="001E4231"/>
    <w:rsid w:val="001E4A75"/>
    <w:rsid w:val="001E4D39"/>
    <w:rsid w:val="001E578A"/>
    <w:rsid w:val="001E6017"/>
    <w:rsid w:val="001E65D6"/>
    <w:rsid w:val="001E68DF"/>
    <w:rsid w:val="001E6CE4"/>
    <w:rsid w:val="001E6EE4"/>
    <w:rsid w:val="001E6F7C"/>
    <w:rsid w:val="001E74D0"/>
    <w:rsid w:val="001E780C"/>
    <w:rsid w:val="001E7FCA"/>
    <w:rsid w:val="001F00B8"/>
    <w:rsid w:val="001F0994"/>
    <w:rsid w:val="001F0AEC"/>
    <w:rsid w:val="001F0C26"/>
    <w:rsid w:val="001F0DBA"/>
    <w:rsid w:val="001F1053"/>
    <w:rsid w:val="001F1792"/>
    <w:rsid w:val="001F49A7"/>
    <w:rsid w:val="001F4D82"/>
    <w:rsid w:val="001F52E0"/>
    <w:rsid w:val="001F52FE"/>
    <w:rsid w:val="001F539C"/>
    <w:rsid w:val="001F5573"/>
    <w:rsid w:val="001F56D2"/>
    <w:rsid w:val="001F5B2E"/>
    <w:rsid w:val="001F67B1"/>
    <w:rsid w:val="001F697F"/>
    <w:rsid w:val="001F7084"/>
    <w:rsid w:val="001F75E1"/>
    <w:rsid w:val="001F7EED"/>
    <w:rsid w:val="00201A2A"/>
    <w:rsid w:val="00201DE0"/>
    <w:rsid w:val="00201FE2"/>
    <w:rsid w:val="00202837"/>
    <w:rsid w:val="002038DA"/>
    <w:rsid w:val="0020391F"/>
    <w:rsid w:val="00203972"/>
    <w:rsid w:val="00203D76"/>
    <w:rsid w:val="0020420B"/>
    <w:rsid w:val="00204500"/>
    <w:rsid w:val="00204A58"/>
    <w:rsid w:val="00204ED2"/>
    <w:rsid w:val="00205109"/>
    <w:rsid w:val="00205403"/>
    <w:rsid w:val="00205851"/>
    <w:rsid w:val="00205CA8"/>
    <w:rsid w:val="00206038"/>
    <w:rsid w:val="0020620D"/>
    <w:rsid w:val="0020648F"/>
    <w:rsid w:val="00206716"/>
    <w:rsid w:val="00206A84"/>
    <w:rsid w:val="00206C02"/>
    <w:rsid w:val="00207359"/>
    <w:rsid w:val="002079C2"/>
    <w:rsid w:val="00207E67"/>
    <w:rsid w:val="002104F6"/>
    <w:rsid w:val="0021051A"/>
    <w:rsid w:val="002106C3"/>
    <w:rsid w:val="00210A2C"/>
    <w:rsid w:val="002112B9"/>
    <w:rsid w:val="00211939"/>
    <w:rsid w:val="00211D60"/>
    <w:rsid w:val="00212859"/>
    <w:rsid w:val="00212C59"/>
    <w:rsid w:val="00212FA3"/>
    <w:rsid w:val="00213152"/>
    <w:rsid w:val="002133B6"/>
    <w:rsid w:val="00213503"/>
    <w:rsid w:val="00213AB7"/>
    <w:rsid w:val="00213B1C"/>
    <w:rsid w:val="00214007"/>
    <w:rsid w:val="00214884"/>
    <w:rsid w:val="002159B7"/>
    <w:rsid w:val="00215B3D"/>
    <w:rsid w:val="002161A9"/>
    <w:rsid w:val="002163CD"/>
    <w:rsid w:val="002167DF"/>
    <w:rsid w:val="002169A3"/>
    <w:rsid w:val="00220B29"/>
    <w:rsid w:val="0022117A"/>
    <w:rsid w:val="00221ADA"/>
    <w:rsid w:val="002224FC"/>
    <w:rsid w:val="0022290D"/>
    <w:rsid w:val="00222B1B"/>
    <w:rsid w:val="002235D0"/>
    <w:rsid w:val="00223771"/>
    <w:rsid w:val="00223839"/>
    <w:rsid w:val="00224038"/>
    <w:rsid w:val="00224708"/>
    <w:rsid w:val="002249BC"/>
    <w:rsid w:val="00224E60"/>
    <w:rsid w:val="00225219"/>
    <w:rsid w:val="00225E6F"/>
    <w:rsid w:val="00226BC1"/>
    <w:rsid w:val="00227154"/>
    <w:rsid w:val="00227256"/>
    <w:rsid w:val="00227B73"/>
    <w:rsid w:val="00227B9E"/>
    <w:rsid w:val="00227DC2"/>
    <w:rsid w:val="00230124"/>
    <w:rsid w:val="00230139"/>
    <w:rsid w:val="00230368"/>
    <w:rsid w:val="00230511"/>
    <w:rsid w:val="00230A24"/>
    <w:rsid w:val="00230DFC"/>
    <w:rsid w:val="00232589"/>
    <w:rsid w:val="0023295B"/>
    <w:rsid w:val="00232CDA"/>
    <w:rsid w:val="00233787"/>
    <w:rsid w:val="002339EB"/>
    <w:rsid w:val="00233E4C"/>
    <w:rsid w:val="00233F47"/>
    <w:rsid w:val="00234CE1"/>
    <w:rsid w:val="00234F2B"/>
    <w:rsid w:val="00234FC6"/>
    <w:rsid w:val="0023560D"/>
    <w:rsid w:val="00235823"/>
    <w:rsid w:val="00236083"/>
    <w:rsid w:val="002370AF"/>
    <w:rsid w:val="00237A01"/>
    <w:rsid w:val="00237A90"/>
    <w:rsid w:val="002400F9"/>
    <w:rsid w:val="002402B8"/>
    <w:rsid w:val="00241192"/>
    <w:rsid w:val="002414C9"/>
    <w:rsid w:val="00241730"/>
    <w:rsid w:val="00241D55"/>
    <w:rsid w:val="002428B1"/>
    <w:rsid w:val="00242A0C"/>
    <w:rsid w:val="00242CCE"/>
    <w:rsid w:val="00242D6E"/>
    <w:rsid w:val="00243115"/>
    <w:rsid w:val="00243210"/>
    <w:rsid w:val="00243C5D"/>
    <w:rsid w:val="00244835"/>
    <w:rsid w:val="0024503B"/>
    <w:rsid w:val="00245A18"/>
    <w:rsid w:val="00245A53"/>
    <w:rsid w:val="00245F50"/>
    <w:rsid w:val="002466C6"/>
    <w:rsid w:val="002466D4"/>
    <w:rsid w:val="0024686B"/>
    <w:rsid w:val="00247640"/>
    <w:rsid w:val="002503DB"/>
    <w:rsid w:val="0025056C"/>
    <w:rsid w:val="00250F81"/>
    <w:rsid w:val="002518A5"/>
    <w:rsid w:val="00251D5F"/>
    <w:rsid w:val="00252251"/>
    <w:rsid w:val="00252D88"/>
    <w:rsid w:val="002531FD"/>
    <w:rsid w:val="002539F2"/>
    <w:rsid w:val="002539F3"/>
    <w:rsid w:val="00253E06"/>
    <w:rsid w:val="00253FD2"/>
    <w:rsid w:val="0025437F"/>
    <w:rsid w:val="0025448B"/>
    <w:rsid w:val="0025487B"/>
    <w:rsid w:val="0025492B"/>
    <w:rsid w:val="00254BE3"/>
    <w:rsid w:val="00254EF0"/>
    <w:rsid w:val="00255144"/>
    <w:rsid w:val="0025536D"/>
    <w:rsid w:val="00255629"/>
    <w:rsid w:val="0025589D"/>
    <w:rsid w:val="00256019"/>
    <w:rsid w:val="00256370"/>
    <w:rsid w:val="002564D5"/>
    <w:rsid w:val="00256606"/>
    <w:rsid w:val="00256C86"/>
    <w:rsid w:val="00256DC9"/>
    <w:rsid w:val="0025794C"/>
    <w:rsid w:val="002600E1"/>
    <w:rsid w:val="0026125A"/>
    <w:rsid w:val="00261809"/>
    <w:rsid w:val="00261AC3"/>
    <w:rsid w:val="00261F01"/>
    <w:rsid w:val="002620B6"/>
    <w:rsid w:val="0026231C"/>
    <w:rsid w:val="00263A07"/>
    <w:rsid w:val="00263A1F"/>
    <w:rsid w:val="00263A99"/>
    <w:rsid w:val="00264033"/>
    <w:rsid w:val="002640CE"/>
    <w:rsid w:val="00264C0A"/>
    <w:rsid w:val="00264F58"/>
    <w:rsid w:val="0026502A"/>
    <w:rsid w:val="00265575"/>
    <w:rsid w:val="002656C5"/>
    <w:rsid w:val="0026577D"/>
    <w:rsid w:val="00265C45"/>
    <w:rsid w:val="00265E65"/>
    <w:rsid w:val="00266252"/>
    <w:rsid w:val="00266C18"/>
    <w:rsid w:val="0026723A"/>
    <w:rsid w:val="002700D3"/>
    <w:rsid w:val="0027012D"/>
    <w:rsid w:val="00270378"/>
    <w:rsid w:val="00271393"/>
    <w:rsid w:val="0027188A"/>
    <w:rsid w:val="002723C8"/>
    <w:rsid w:val="00272417"/>
    <w:rsid w:val="0027271B"/>
    <w:rsid w:val="00272C66"/>
    <w:rsid w:val="00272DA9"/>
    <w:rsid w:val="0027361F"/>
    <w:rsid w:val="002737EA"/>
    <w:rsid w:val="00273B54"/>
    <w:rsid w:val="00273F4A"/>
    <w:rsid w:val="002740AD"/>
    <w:rsid w:val="002744A8"/>
    <w:rsid w:val="0027462B"/>
    <w:rsid w:val="00274858"/>
    <w:rsid w:val="00274B10"/>
    <w:rsid w:val="00274B55"/>
    <w:rsid w:val="00274F6D"/>
    <w:rsid w:val="0027501C"/>
    <w:rsid w:val="0027568E"/>
    <w:rsid w:val="002765CF"/>
    <w:rsid w:val="00276CDD"/>
    <w:rsid w:val="00277206"/>
    <w:rsid w:val="00277367"/>
    <w:rsid w:val="0027789D"/>
    <w:rsid w:val="002779B7"/>
    <w:rsid w:val="00277E16"/>
    <w:rsid w:val="00277F3E"/>
    <w:rsid w:val="00280285"/>
    <w:rsid w:val="00280541"/>
    <w:rsid w:val="002805A6"/>
    <w:rsid w:val="00280CF0"/>
    <w:rsid w:val="00280FA2"/>
    <w:rsid w:val="002810AE"/>
    <w:rsid w:val="00281281"/>
    <w:rsid w:val="0028159E"/>
    <w:rsid w:val="0028163E"/>
    <w:rsid w:val="00281CA5"/>
    <w:rsid w:val="00281FC6"/>
    <w:rsid w:val="00282042"/>
    <w:rsid w:val="0028234A"/>
    <w:rsid w:val="00282823"/>
    <w:rsid w:val="00283033"/>
    <w:rsid w:val="0028304C"/>
    <w:rsid w:val="0028325C"/>
    <w:rsid w:val="0028344E"/>
    <w:rsid w:val="00283C48"/>
    <w:rsid w:val="00284A7A"/>
    <w:rsid w:val="00284C5A"/>
    <w:rsid w:val="00284DEA"/>
    <w:rsid w:val="00284E34"/>
    <w:rsid w:val="00284EBB"/>
    <w:rsid w:val="00284EC1"/>
    <w:rsid w:val="00284FE4"/>
    <w:rsid w:val="002859E7"/>
    <w:rsid w:val="00285BC3"/>
    <w:rsid w:val="00285C70"/>
    <w:rsid w:val="00285F5E"/>
    <w:rsid w:val="00286336"/>
    <w:rsid w:val="00286F22"/>
    <w:rsid w:val="0028709B"/>
    <w:rsid w:val="00287536"/>
    <w:rsid w:val="00287587"/>
    <w:rsid w:val="0029066A"/>
    <w:rsid w:val="00290CDD"/>
    <w:rsid w:val="00290E9B"/>
    <w:rsid w:val="002910EE"/>
    <w:rsid w:val="00291304"/>
    <w:rsid w:val="00291840"/>
    <w:rsid w:val="00291C20"/>
    <w:rsid w:val="00292CF4"/>
    <w:rsid w:val="00292F11"/>
    <w:rsid w:val="002930E5"/>
    <w:rsid w:val="0029315F"/>
    <w:rsid w:val="002936DF"/>
    <w:rsid w:val="00293D0A"/>
    <w:rsid w:val="00294458"/>
    <w:rsid w:val="0029446D"/>
    <w:rsid w:val="00294C65"/>
    <w:rsid w:val="00295F05"/>
    <w:rsid w:val="00296B0F"/>
    <w:rsid w:val="00296D16"/>
    <w:rsid w:val="002972B3"/>
    <w:rsid w:val="002974A8"/>
    <w:rsid w:val="002974CA"/>
    <w:rsid w:val="00297D8A"/>
    <w:rsid w:val="002A01BB"/>
    <w:rsid w:val="002A01CB"/>
    <w:rsid w:val="002A0DF4"/>
    <w:rsid w:val="002A1205"/>
    <w:rsid w:val="002A1234"/>
    <w:rsid w:val="002A13FF"/>
    <w:rsid w:val="002A1B35"/>
    <w:rsid w:val="002A243C"/>
    <w:rsid w:val="002A2493"/>
    <w:rsid w:val="002A24DA"/>
    <w:rsid w:val="002A2C34"/>
    <w:rsid w:val="002A2D5B"/>
    <w:rsid w:val="002A3BA5"/>
    <w:rsid w:val="002A3BB6"/>
    <w:rsid w:val="002A3D95"/>
    <w:rsid w:val="002A4194"/>
    <w:rsid w:val="002A44E4"/>
    <w:rsid w:val="002A4507"/>
    <w:rsid w:val="002A4903"/>
    <w:rsid w:val="002A4B83"/>
    <w:rsid w:val="002A5129"/>
    <w:rsid w:val="002A5173"/>
    <w:rsid w:val="002A52A3"/>
    <w:rsid w:val="002A5304"/>
    <w:rsid w:val="002A56B6"/>
    <w:rsid w:val="002A5808"/>
    <w:rsid w:val="002A64AF"/>
    <w:rsid w:val="002A6E45"/>
    <w:rsid w:val="002A6E8C"/>
    <w:rsid w:val="002A7516"/>
    <w:rsid w:val="002A7BC0"/>
    <w:rsid w:val="002A7FDE"/>
    <w:rsid w:val="002B033C"/>
    <w:rsid w:val="002B0965"/>
    <w:rsid w:val="002B0DA9"/>
    <w:rsid w:val="002B10F9"/>
    <w:rsid w:val="002B115B"/>
    <w:rsid w:val="002B1C28"/>
    <w:rsid w:val="002B2202"/>
    <w:rsid w:val="002B317A"/>
    <w:rsid w:val="002B3F01"/>
    <w:rsid w:val="002B3FB4"/>
    <w:rsid w:val="002B45D7"/>
    <w:rsid w:val="002B4798"/>
    <w:rsid w:val="002B4FDA"/>
    <w:rsid w:val="002B5285"/>
    <w:rsid w:val="002B5C11"/>
    <w:rsid w:val="002B638F"/>
    <w:rsid w:val="002B6898"/>
    <w:rsid w:val="002B7875"/>
    <w:rsid w:val="002B7ACF"/>
    <w:rsid w:val="002B7C91"/>
    <w:rsid w:val="002B7E53"/>
    <w:rsid w:val="002C0847"/>
    <w:rsid w:val="002C11DF"/>
    <w:rsid w:val="002C1AEE"/>
    <w:rsid w:val="002C1FD8"/>
    <w:rsid w:val="002C2173"/>
    <w:rsid w:val="002C2783"/>
    <w:rsid w:val="002C2944"/>
    <w:rsid w:val="002C340A"/>
    <w:rsid w:val="002C3569"/>
    <w:rsid w:val="002C3997"/>
    <w:rsid w:val="002C4567"/>
    <w:rsid w:val="002C4906"/>
    <w:rsid w:val="002C505B"/>
    <w:rsid w:val="002C5ED3"/>
    <w:rsid w:val="002C6947"/>
    <w:rsid w:val="002C697C"/>
    <w:rsid w:val="002C6BAD"/>
    <w:rsid w:val="002C7474"/>
    <w:rsid w:val="002C761E"/>
    <w:rsid w:val="002C765C"/>
    <w:rsid w:val="002C791C"/>
    <w:rsid w:val="002C7CAD"/>
    <w:rsid w:val="002C7EFC"/>
    <w:rsid w:val="002D0367"/>
    <w:rsid w:val="002D0477"/>
    <w:rsid w:val="002D0BBC"/>
    <w:rsid w:val="002D0EA6"/>
    <w:rsid w:val="002D12D3"/>
    <w:rsid w:val="002D17F8"/>
    <w:rsid w:val="002D1ACF"/>
    <w:rsid w:val="002D1AF5"/>
    <w:rsid w:val="002D2054"/>
    <w:rsid w:val="002D27CF"/>
    <w:rsid w:val="002D2CAC"/>
    <w:rsid w:val="002D2E7E"/>
    <w:rsid w:val="002D3184"/>
    <w:rsid w:val="002D3AAB"/>
    <w:rsid w:val="002D3D14"/>
    <w:rsid w:val="002D3DC3"/>
    <w:rsid w:val="002D43AC"/>
    <w:rsid w:val="002D481F"/>
    <w:rsid w:val="002D57BA"/>
    <w:rsid w:val="002D5ED7"/>
    <w:rsid w:val="002D68C4"/>
    <w:rsid w:val="002D6BFC"/>
    <w:rsid w:val="002D6CAD"/>
    <w:rsid w:val="002D70DD"/>
    <w:rsid w:val="002D75C4"/>
    <w:rsid w:val="002D76DF"/>
    <w:rsid w:val="002D7A88"/>
    <w:rsid w:val="002D7DB3"/>
    <w:rsid w:val="002E11E8"/>
    <w:rsid w:val="002E1291"/>
    <w:rsid w:val="002E24DF"/>
    <w:rsid w:val="002E27A9"/>
    <w:rsid w:val="002E3C32"/>
    <w:rsid w:val="002E3DD4"/>
    <w:rsid w:val="002E47DA"/>
    <w:rsid w:val="002E4934"/>
    <w:rsid w:val="002E4C9B"/>
    <w:rsid w:val="002E539C"/>
    <w:rsid w:val="002E53C1"/>
    <w:rsid w:val="002E5793"/>
    <w:rsid w:val="002E57D3"/>
    <w:rsid w:val="002E5A10"/>
    <w:rsid w:val="002E5DAC"/>
    <w:rsid w:val="002E5F34"/>
    <w:rsid w:val="002E606D"/>
    <w:rsid w:val="002E6376"/>
    <w:rsid w:val="002E6F57"/>
    <w:rsid w:val="002E6FE4"/>
    <w:rsid w:val="002E749B"/>
    <w:rsid w:val="002E7B0F"/>
    <w:rsid w:val="002F0249"/>
    <w:rsid w:val="002F0362"/>
    <w:rsid w:val="002F03A4"/>
    <w:rsid w:val="002F0F42"/>
    <w:rsid w:val="002F15C3"/>
    <w:rsid w:val="002F1A87"/>
    <w:rsid w:val="002F205F"/>
    <w:rsid w:val="002F21AA"/>
    <w:rsid w:val="002F25D2"/>
    <w:rsid w:val="002F2CB8"/>
    <w:rsid w:val="002F36A1"/>
    <w:rsid w:val="002F3D5F"/>
    <w:rsid w:val="002F3FCB"/>
    <w:rsid w:val="002F485B"/>
    <w:rsid w:val="002F4933"/>
    <w:rsid w:val="002F4966"/>
    <w:rsid w:val="002F4A44"/>
    <w:rsid w:val="002F4F22"/>
    <w:rsid w:val="002F5792"/>
    <w:rsid w:val="002F581F"/>
    <w:rsid w:val="002F593A"/>
    <w:rsid w:val="002F5BD4"/>
    <w:rsid w:val="002F5D00"/>
    <w:rsid w:val="002F6094"/>
    <w:rsid w:val="002F6234"/>
    <w:rsid w:val="002F633E"/>
    <w:rsid w:val="002F6561"/>
    <w:rsid w:val="002F6980"/>
    <w:rsid w:val="002F7CA2"/>
    <w:rsid w:val="002F7D7D"/>
    <w:rsid w:val="0030022D"/>
    <w:rsid w:val="00300A26"/>
    <w:rsid w:val="00300AF2"/>
    <w:rsid w:val="00300DA3"/>
    <w:rsid w:val="00300ED5"/>
    <w:rsid w:val="00300ED9"/>
    <w:rsid w:val="00301198"/>
    <w:rsid w:val="00301568"/>
    <w:rsid w:val="0030226C"/>
    <w:rsid w:val="00302BCE"/>
    <w:rsid w:val="00303179"/>
    <w:rsid w:val="00303BAA"/>
    <w:rsid w:val="00303CE6"/>
    <w:rsid w:val="00304A4B"/>
    <w:rsid w:val="00304B5D"/>
    <w:rsid w:val="003054F3"/>
    <w:rsid w:val="00305B15"/>
    <w:rsid w:val="003062F0"/>
    <w:rsid w:val="003070EC"/>
    <w:rsid w:val="00307786"/>
    <w:rsid w:val="0031016A"/>
    <w:rsid w:val="0031065E"/>
    <w:rsid w:val="00310DBA"/>
    <w:rsid w:val="00310F23"/>
    <w:rsid w:val="00311378"/>
    <w:rsid w:val="003119DA"/>
    <w:rsid w:val="00311B73"/>
    <w:rsid w:val="00311CE8"/>
    <w:rsid w:val="003128FB"/>
    <w:rsid w:val="00312ADF"/>
    <w:rsid w:val="003133E3"/>
    <w:rsid w:val="00313A28"/>
    <w:rsid w:val="00313E22"/>
    <w:rsid w:val="00314213"/>
    <w:rsid w:val="00314302"/>
    <w:rsid w:val="003149BB"/>
    <w:rsid w:val="00315172"/>
    <w:rsid w:val="00315AB1"/>
    <w:rsid w:val="00315D83"/>
    <w:rsid w:val="00316181"/>
    <w:rsid w:val="003167FA"/>
    <w:rsid w:val="00316AA6"/>
    <w:rsid w:val="00317787"/>
    <w:rsid w:val="00317ADE"/>
    <w:rsid w:val="00317E3D"/>
    <w:rsid w:val="00320973"/>
    <w:rsid w:val="00320E42"/>
    <w:rsid w:val="00321009"/>
    <w:rsid w:val="003210BD"/>
    <w:rsid w:val="00321492"/>
    <w:rsid w:val="00322011"/>
    <w:rsid w:val="00322564"/>
    <w:rsid w:val="00322E75"/>
    <w:rsid w:val="00323E0A"/>
    <w:rsid w:val="00323F64"/>
    <w:rsid w:val="00324277"/>
    <w:rsid w:val="00324761"/>
    <w:rsid w:val="00324B17"/>
    <w:rsid w:val="00324BEF"/>
    <w:rsid w:val="00325077"/>
    <w:rsid w:val="00327514"/>
    <w:rsid w:val="003275F3"/>
    <w:rsid w:val="00330348"/>
    <w:rsid w:val="00330AA2"/>
    <w:rsid w:val="00330BA9"/>
    <w:rsid w:val="00331E2F"/>
    <w:rsid w:val="00331F43"/>
    <w:rsid w:val="003327B0"/>
    <w:rsid w:val="00332D1A"/>
    <w:rsid w:val="00332F8C"/>
    <w:rsid w:val="0033311F"/>
    <w:rsid w:val="003331AB"/>
    <w:rsid w:val="00333749"/>
    <w:rsid w:val="00333C1A"/>
    <w:rsid w:val="00333DE1"/>
    <w:rsid w:val="00334AC0"/>
    <w:rsid w:val="0033520A"/>
    <w:rsid w:val="00335630"/>
    <w:rsid w:val="003358AE"/>
    <w:rsid w:val="003359AE"/>
    <w:rsid w:val="00335D3D"/>
    <w:rsid w:val="00336E76"/>
    <w:rsid w:val="00336E8F"/>
    <w:rsid w:val="003374B1"/>
    <w:rsid w:val="003376E5"/>
    <w:rsid w:val="00337720"/>
    <w:rsid w:val="00337BE4"/>
    <w:rsid w:val="00337C2C"/>
    <w:rsid w:val="0034025D"/>
    <w:rsid w:val="0034051A"/>
    <w:rsid w:val="003407E3"/>
    <w:rsid w:val="00340849"/>
    <w:rsid w:val="00341085"/>
    <w:rsid w:val="003411AB"/>
    <w:rsid w:val="003412F6"/>
    <w:rsid w:val="00341596"/>
    <w:rsid w:val="003416FA"/>
    <w:rsid w:val="00342305"/>
    <w:rsid w:val="00342428"/>
    <w:rsid w:val="00342C11"/>
    <w:rsid w:val="00342FA2"/>
    <w:rsid w:val="0034349F"/>
    <w:rsid w:val="00343DE3"/>
    <w:rsid w:val="003447C9"/>
    <w:rsid w:val="00344EF3"/>
    <w:rsid w:val="00345279"/>
    <w:rsid w:val="0034545C"/>
    <w:rsid w:val="00345567"/>
    <w:rsid w:val="00346B45"/>
    <w:rsid w:val="00346B6E"/>
    <w:rsid w:val="0034704F"/>
    <w:rsid w:val="00347990"/>
    <w:rsid w:val="00347BE6"/>
    <w:rsid w:val="00347C71"/>
    <w:rsid w:val="00350C64"/>
    <w:rsid w:val="00351657"/>
    <w:rsid w:val="00352117"/>
    <w:rsid w:val="0035297C"/>
    <w:rsid w:val="00352A33"/>
    <w:rsid w:val="00352B8D"/>
    <w:rsid w:val="00352BF5"/>
    <w:rsid w:val="00352C5E"/>
    <w:rsid w:val="00352F58"/>
    <w:rsid w:val="00353156"/>
    <w:rsid w:val="00353166"/>
    <w:rsid w:val="00353A34"/>
    <w:rsid w:val="00353A3F"/>
    <w:rsid w:val="00353E4F"/>
    <w:rsid w:val="0035521D"/>
    <w:rsid w:val="0035549E"/>
    <w:rsid w:val="0035588C"/>
    <w:rsid w:val="00355BF9"/>
    <w:rsid w:val="00355E6F"/>
    <w:rsid w:val="003564C6"/>
    <w:rsid w:val="003564D8"/>
    <w:rsid w:val="00356783"/>
    <w:rsid w:val="003567D2"/>
    <w:rsid w:val="0035680C"/>
    <w:rsid w:val="003569FF"/>
    <w:rsid w:val="003572AA"/>
    <w:rsid w:val="0035794B"/>
    <w:rsid w:val="003579E4"/>
    <w:rsid w:val="00357DA5"/>
    <w:rsid w:val="00360017"/>
    <w:rsid w:val="00360139"/>
    <w:rsid w:val="0036033E"/>
    <w:rsid w:val="003603FA"/>
    <w:rsid w:val="003612CF"/>
    <w:rsid w:val="0036161C"/>
    <w:rsid w:val="0036333F"/>
    <w:rsid w:val="003635A2"/>
    <w:rsid w:val="003637BF"/>
    <w:rsid w:val="00364117"/>
    <w:rsid w:val="003645CD"/>
    <w:rsid w:val="00364B99"/>
    <w:rsid w:val="00364B9F"/>
    <w:rsid w:val="00364D4B"/>
    <w:rsid w:val="00365E56"/>
    <w:rsid w:val="00367163"/>
    <w:rsid w:val="003671D8"/>
    <w:rsid w:val="003673C3"/>
    <w:rsid w:val="003678B1"/>
    <w:rsid w:val="00367D5B"/>
    <w:rsid w:val="0037051E"/>
    <w:rsid w:val="0037079F"/>
    <w:rsid w:val="00370A03"/>
    <w:rsid w:val="00371408"/>
    <w:rsid w:val="003729F6"/>
    <w:rsid w:val="00372E13"/>
    <w:rsid w:val="0037376D"/>
    <w:rsid w:val="00373C17"/>
    <w:rsid w:val="00373F8C"/>
    <w:rsid w:val="00374A3C"/>
    <w:rsid w:val="00374E8C"/>
    <w:rsid w:val="003753F0"/>
    <w:rsid w:val="003756B6"/>
    <w:rsid w:val="003757C0"/>
    <w:rsid w:val="00375EB8"/>
    <w:rsid w:val="0037675E"/>
    <w:rsid w:val="00376B9B"/>
    <w:rsid w:val="0037700F"/>
    <w:rsid w:val="00377616"/>
    <w:rsid w:val="00377722"/>
    <w:rsid w:val="003778C5"/>
    <w:rsid w:val="00377C89"/>
    <w:rsid w:val="0038077C"/>
    <w:rsid w:val="00381301"/>
    <w:rsid w:val="0038133E"/>
    <w:rsid w:val="00381653"/>
    <w:rsid w:val="00381F7F"/>
    <w:rsid w:val="00382546"/>
    <w:rsid w:val="00382567"/>
    <w:rsid w:val="00382CF9"/>
    <w:rsid w:val="00383AEF"/>
    <w:rsid w:val="00383DEC"/>
    <w:rsid w:val="00383FF8"/>
    <w:rsid w:val="00384D30"/>
    <w:rsid w:val="00384DB1"/>
    <w:rsid w:val="00384E5A"/>
    <w:rsid w:val="003851DA"/>
    <w:rsid w:val="00386919"/>
    <w:rsid w:val="00386A06"/>
    <w:rsid w:val="00387179"/>
    <w:rsid w:val="003871C4"/>
    <w:rsid w:val="00387C31"/>
    <w:rsid w:val="00390034"/>
    <w:rsid w:val="003909F3"/>
    <w:rsid w:val="00390BD5"/>
    <w:rsid w:val="00391605"/>
    <w:rsid w:val="00391C8C"/>
    <w:rsid w:val="00391EE7"/>
    <w:rsid w:val="00392221"/>
    <w:rsid w:val="00392360"/>
    <w:rsid w:val="003929BF"/>
    <w:rsid w:val="003948AF"/>
    <w:rsid w:val="0039513B"/>
    <w:rsid w:val="003952D6"/>
    <w:rsid w:val="003955CB"/>
    <w:rsid w:val="00395981"/>
    <w:rsid w:val="00395FFD"/>
    <w:rsid w:val="00396288"/>
    <w:rsid w:val="0039635D"/>
    <w:rsid w:val="00397493"/>
    <w:rsid w:val="003A004F"/>
    <w:rsid w:val="003A030F"/>
    <w:rsid w:val="003A0412"/>
    <w:rsid w:val="003A04BF"/>
    <w:rsid w:val="003A0886"/>
    <w:rsid w:val="003A091A"/>
    <w:rsid w:val="003A09D9"/>
    <w:rsid w:val="003A112F"/>
    <w:rsid w:val="003A1250"/>
    <w:rsid w:val="003A1BCB"/>
    <w:rsid w:val="003A202F"/>
    <w:rsid w:val="003A266B"/>
    <w:rsid w:val="003A27B5"/>
    <w:rsid w:val="003A32F1"/>
    <w:rsid w:val="003A3314"/>
    <w:rsid w:val="003A3FB7"/>
    <w:rsid w:val="003A4046"/>
    <w:rsid w:val="003A44B6"/>
    <w:rsid w:val="003A4C29"/>
    <w:rsid w:val="003A5A1B"/>
    <w:rsid w:val="003A5BDE"/>
    <w:rsid w:val="003A636F"/>
    <w:rsid w:val="003A6418"/>
    <w:rsid w:val="003A6B61"/>
    <w:rsid w:val="003A7262"/>
    <w:rsid w:val="003A7968"/>
    <w:rsid w:val="003B0795"/>
    <w:rsid w:val="003B0DCE"/>
    <w:rsid w:val="003B201E"/>
    <w:rsid w:val="003B2150"/>
    <w:rsid w:val="003B21F3"/>
    <w:rsid w:val="003B275F"/>
    <w:rsid w:val="003B2B88"/>
    <w:rsid w:val="003B3629"/>
    <w:rsid w:val="003B3CD1"/>
    <w:rsid w:val="003B42AD"/>
    <w:rsid w:val="003B4A80"/>
    <w:rsid w:val="003B5481"/>
    <w:rsid w:val="003B5834"/>
    <w:rsid w:val="003B629E"/>
    <w:rsid w:val="003B667F"/>
    <w:rsid w:val="003B66B0"/>
    <w:rsid w:val="003B7222"/>
    <w:rsid w:val="003B7503"/>
    <w:rsid w:val="003B7875"/>
    <w:rsid w:val="003B790F"/>
    <w:rsid w:val="003B79ED"/>
    <w:rsid w:val="003B7A37"/>
    <w:rsid w:val="003C002E"/>
    <w:rsid w:val="003C01EA"/>
    <w:rsid w:val="003C034B"/>
    <w:rsid w:val="003C08E6"/>
    <w:rsid w:val="003C091E"/>
    <w:rsid w:val="003C0E0A"/>
    <w:rsid w:val="003C1042"/>
    <w:rsid w:val="003C20FE"/>
    <w:rsid w:val="003C29E0"/>
    <w:rsid w:val="003C332F"/>
    <w:rsid w:val="003C3A8F"/>
    <w:rsid w:val="003C4A7E"/>
    <w:rsid w:val="003C4B69"/>
    <w:rsid w:val="003C4EE9"/>
    <w:rsid w:val="003C53B5"/>
    <w:rsid w:val="003C58AC"/>
    <w:rsid w:val="003C676E"/>
    <w:rsid w:val="003C6DD6"/>
    <w:rsid w:val="003C7BFF"/>
    <w:rsid w:val="003C7E24"/>
    <w:rsid w:val="003C7E4E"/>
    <w:rsid w:val="003D066D"/>
    <w:rsid w:val="003D0770"/>
    <w:rsid w:val="003D0E9E"/>
    <w:rsid w:val="003D1191"/>
    <w:rsid w:val="003D1E32"/>
    <w:rsid w:val="003D1E43"/>
    <w:rsid w:val="003D2144"/>
    <w:rsid w:val="003D24B1"/>
    <w:rsid w:val="003D3036"/>
    <w:rsid w:val="003D3A80"/>
    <w:rsid w:val="003D3B82"/>
    <w:rsid w:val="003D3F07"/>
    <w:rsid w:val="003D4267"/>
    <w:rsid w:val="003D43C6"/>
    <w:rsid w:val="003D44BB"/>
    <w:rsid w:val="003D4B12"/>
    <w:rsid w:val="003D4F66"/>
    <w:rsid w:val="003D5067"/>
    <w:rsid w:val="003D508F"/>
    <w:rsid w:val="003D529D"/>
    <w:rsid w:val="003D53AA"/>
    <w:rsid w:val="003D55B8"/>
    <w:rsid w:val="003D599D"/>
    <w:rsid w:val="003D5AA4"/>
    <w:rsid w:val="003D60D5"/>
    <w:rsid w:val="003D6391"/>
    <w:rsid w:val="003D65DF"/>
    <w:rsid w:val="003D6DEE"/>
    <w:rsid w:val="003D6F5B"/>
    <w:rsid w:val="003D75E6"/>
    <w:rsid w:val="003D7765"/>
    <w:rsid w:val="003D7B2D"/>
    <w:rsid w:val="003E0BA3"/>
    <w:rsid w:val="003E1383"/>
    <w:rsid w:val="003E29BE"/>
    <w:rsid w:val="003E2BAA"/>
    <w:rsid w:val="003E390E"/>
    <w:rsid w:val="003E4437"/>
    <w:rsid w:val="003E5356"/>
    <w:rsid w:val="003E5455"/>
    <w:rsid w:val="003E582B"/>
    <w:rsid w:val="003E6AB7"/>
    <w:rsid w:val="003E73D1"/>
    <w:rsid w:val="003E7589"/>
    <w:rsid w:val="003E7DB7"/>
    <w:rsid w:val="003E7DEF"/>
    <w:rsid w:val="003F05D7"/>
    <w:rsid w:val="003F073E"/>
    <w:rsid w:val="003F0930"/>
    <w:rsid w:val="003F0A5C"/>
    <w:rsid w:val="003F1200"/>
    <w:rsid w:val="003F1333"/>
    <w:rsid w:val="003F14C2"/>
    <w:rsid w:val="003F1B9F"/>
    <w:rsid w:val="003F1DB7"/>
    <w:rsid w:val="003F1FCB"/>
    <w:rsid w:val="003F2143"/>
    <w:rsid w:val="003F2274"/>
    <w:rsid w:val="003F2927"/>
    <w:rsid w:val="003F310B"/>
    <w:rsid w:val="003F404D"/>
    <w:rsid w:val="003F41CA"/>
    <w:rsid w:val="003F4392"/>
    <w:rsid w:val="003F4CDF"/>
    <w:rsid w:val="003F542D"/>
    <w:rsid w:val="003F5507"/>
    <w:rsid w:val="003F573B"/>
    <w:rsid w:val="003F5CF9"/>
    <w:rsid w:val="003F5D4B"/>
    <w:rsid w:val="003F63F0"/>
    <w:rsid w:val="003F6523"/>
    <w:rsid w:val="003F661C"/>
    <w:rsid w:val="003F7242"/>
    <w:rsid w:val="003F7964"/>
    <w:rsid w:val="003F7C8F"/>
    <w:rsid w:val="00400199"/>
    <w:rsid w:val="00400DD6"/>
    <w:rsid w:val="00400F6E"/>
    <w:rsid w:val="00401230"/>
    <w:rsid w:val="004012AD"/>
    <w:rsid w:val="004017D8"/>
    <w:rsid w:val="00401F77"/>
    <w:rsid w:val="0040233C"/>
    <w:rsid w:val="004029CF"/>
    <w:rsid w:val="00402E68"/>
    <w:rsid w:val="004031A5"/>
    <w:rsid w:val="00403B22"/>
    <w:rsid w:val="00403C9D"/>
    <w:rsid w:val="00404AB4"/>
    <w:rsid w:val="00404AD3"/>
    <w:rsid w:val="00404F07"/>
    <w:rsid w:val="00405132"/>
    <w:rsid w:val="00405BA4"/>
    <w:rsid w:val="00405E25"/>
    <w:rsid w:val="004066B9"/>
    <w:rsid w:val="004076EC"/>
    <w:rsid w:val="004077FD"/>
    <w:rsid w:val="0041090F"/>
    <w:rsid w:val="004109D4"/>
    <w:rsid w:val="00411645"/>
    <w:rsid w:val="00411678"/>
    <w:rsid w:val="00411DC7"/>
    <w:rsid w:val="00412395"/>
    <w:rsid w:val="00412526"/>
    <w:rsid w:val="004136CA"/>
    <w:rsid w:val="00414407"/>
    <w:rsid w:val="00414644"/>
    <w:rsid w:val="004149B2"/>
    <w:rsid w:val="00414EFD"/>
    <w:rsid w:val="004154E5"/>
    <w:rsid w:val="00415A0B"/>
    <w:rsid w:val="00415A82"/>
    <w:rsid w:val="004162ED"/>
    <w:rsid w:val="004166EE"/>
    <w:rsid w:val="00416D38"/>
    <w:rsid w:val="0041757B"/>
    <w:rsid w:val="00417A0B"/>
    <w:rsid w:val="00420483"/>
    <w:rsid w:val="004204D8"/>
    <w:rsid w:val="00420701"/>
    <w:rsid w:val="0042085A"/>
    <w:rsid w:val="00420B88"/>
    <w:rsid w:val="00420E8F"/>
    <w:rsid w:val="00421130"/>
    <w:rsid w:val="0042188C"/>
    <w:rsid w:val="00421A23"/>
    <w:rsid w:val="00422E66"/>
    <w:rsid w:val="00423116"/>
    <w:rsid w:val="004239CA"/>
    <w:rsid w:val="004239FA"/>
    <w:rsid w:val="0042447E"/>
    <w:rsid w:val="004244C4"/>
    <w:rsid w:val="004247DF"/>
    <w:rsid w:val="00424DD9"/>
    <w:rsid w:val="00425693"/>
    <w:rsid w:val="0042579F"/>
    <w:rsid w:val="00425ED6"/>
    <w:rsid w:val="004262A3"/>
    <w:rsid w:val="004263C0"/>
    <w:rsid w:val="00426809"/>
    <w:rsid w:val="00426851"/>
    <w:rsid w:val="00426ADC"/>
    <w:rsid w:val="00426CD9"/>
    <w:rsid w:val="00426D2D"/>
    <w:rsid w:val="00427650"/>
    <w:rsid w:val="00427AB3"/>
    <w:rsid w:val="00427D2B"/>
    <w:rsid w:val="00427F37"/>
    <w:rsid w:val="0043066E"/>
    <w:rsid w:val="00430D21"/>
    <w:rsid w:val="00430DC4"/>
    <w:rsid w:val="0043142B"/>
    <w:rsid w:val="00431480"/>
    <w:rsid w:val="0043195F"/>
    <w:rsid w:val="00431C5C"/>
    <w:rsid w:val="00431FEA"/>
    <w:rsid w:val="00432119"/>
    <w:rsid w:val="0043249E"/>
    <w:rsid w:val="004329EF"/>
    <w:rsid w:val="004337DF"/>
    <w:rsid w:val="00433934"/>
    <w:rsid w:val="0043398A"/>
    <w:rsid w:val="00433FC1"/>
    <w:rsid w:val="00434008"/>
    <w:rsid w:val="004347BC"/>
    <w:rsid w:val="00434815"/>
    <w:rsid w:val="00434FBB"/>
    <w:rsid w:val="004350A8"/>
    <w:rsid w:val="004354A6"/>
    <w:rsid w:val="00435C5F"/>
    <w:rsid w:val="00436885"/>
    <w:rsid w:val="00436BFE"/>
    <w:rsid w:val="00440031"/>
    <w:rsid w:val="0044037E"/>
    <w:rsid w:val="0044056B"/>
    <w:rsid w:val="004409BF"/>
    <w:rsid w:val="00440F1E"/>
    <w:rsid w:val="00441225"/>
    <w:rsid w:val="00441371"/>
    <w:rsid w:val="00441B12"/>
    <w:rsid w:val="00441FFA"/>
    <w:rsid w:val="0044336E"/>
    <w:rsid w:val="004451D4"/>
    <w:rsid w:val="004451FD"/>
    <w:rsid w:val="0044524C"/>
    <w:rsid w:val="00445D2B"/>
    <w:rsid w:val="00445E3B"/>
    <w:rsid w:val="00446520"/>
    <w:rsid w:val="00446522"/>
    <w:rsid w:val="00447056"/>
    <w:rsid w:val="0044754B"/>
    <w:rsid w:val="0044763D"/>
    <w:rsid w:val="0044793C"/>
    <w:rsid w:val="004500E4"/>
    <w:rsid w:val="00450394"/>
    <w:rsid w:val="004505A9"/>
    <w:rsid w:val="00450603"/>
    <w:rsid w:val="004512DA"/>
    <w:rsid w:val="00451823"/>
    <w:rsid w:val="00451A4A"/>
    <w:rsid w:val="00451D92"/>
    <w:rsid w:val="00452519"/>
    <w:rsid w:val="00452999"/>
    <w:rsid w:val="00452CB4"/>
    <w:rsid w:val="00452D91"/>
    <w:rsid w:val="00452FAA"/>
    <w:rsid w:val="0045355A"/>
    <w:rsid w:val="00453C08"/>
    <w:rsid w:val="00453DB7"/>
    <w:rsid w:val="004544AD"/>
    <w:rsid w:val="004549BB"/>
    <w:rsid w:val="00454F4C"/>
    <w:rsid w:val="004554BE"/>
    <w:rsid w:val="004559FF"/>
    <w:rsid w:val="004564B8"/>
    <w:rsid w:val="00456B26"/>
    <w:rsid w:val="00456C40"/>
    <w:rsid w:val="00456F9E"/>
    <w:rsid w:val="00456FC1"/>
    <w:rsid w:val="00457385"/>
    <w:rsid w:val="00457949"/>
    <w:rsid w:val="004603B0"/>
    <w:rsid w:val="0046042B"/>
    <w:rsid w:val="00461306"/>
    <w:rsid w:val="00461DC8"/>
    <w:rsid w:val="004620D8"/>
    <w:rsid w:val="00462AAA"/>
    <w:rsid w:val="00462CD4"/>
    <w:rsid w:val="00462DDB"/>
    <w:rsid w:val="00462DEA"/>
    <w:rsid w:val="00463062"/>
    <w:rsid w:val="00463738"/>
    <w:rsid w:val="004637F3"/>
    <w:rsid w:val="00463AD3"/>
    <w:rsid w:val="00464879"/>
    <w:rsid w:val="00464D8D"/>
    <w:rsid w:val="00464E37"/>
    <w:rsid w:val="00465031"/>
    <w:rsid w:val="004652F3"/>
    <w:rsid w:val="004655E4"/>
    <w:rsid w:val="00465BEA"/>
    <w:rsid w:val="004662CC"/>
    <w:rsid w:val="00466385"/>
    <w:rsid w:val="00466D25"/>
    <w:rsid w:val="00467B46"/>
    <w:rsid w:val="00467D84"/>
    <w:rsid w:val="00470604"/>
    <w:rsid w:val="00470909"/>
    <w:rsid w:val="00470FD3"/>
    <w:rsid w:val="00471242"/>
    <w:rsid w:val="0047255A"/>
    <w:rsid w:val="00472BAF"/>
    <w:rsid w:val="00472D86"/>
    <w:rsid w:val="004736D3"/>
    <w:rsid w:val="00473926"/>
    <w:rsid w:val="00474DA7"/>
    <w:rsid w:val="00475121"/>
    <w:rsid w:val="004757F9"/>
    <w:rsid w:val="00475A5A"/>
    <w:rsid w:val="00475CD1"/>
    <w:rsid w:val="00475D70"/>
    <w:rsid w:val="00475DCC"/>
    <w:rsid w:val="00476151"/>
    <w:rsid w:val="00476175"/>
    <w:rsid w:val="00476276"/>
    <w:rsid w:val="00476EC3"/>
    <w:rsid w:val="0047738D"/>
    <w:rsid w:val="0048195C"/>
    <w:rsid w:val="00481D0A"/>
    <w:rsid w:val="0048367E"/>
    <w:rsid w:val="00483A18"/>
    <w:rsid w:val="00483F6C"/>
    <w:rsid w:val="00484162"/>
    <w:rsid w:val="00484FCE"/>
    <w:rsid w:val="00485169"/>
    <w:rsid w:val="004851D6"/>
    <w:rsid w:val="0048551E"/>
    <w:rsid w:val="004859BF"/>
    <w:rsid w:val="00485D29"/>
    <w:rsid w:val="004866C5"/>
    <w:rsid w:val="00486ABD"/>
    <w:rsid w:val="0049073C"/>
    <w:rsid w:val="00490C95"/>
    <w:rsid w:val="00490F59"/>
    <w:rsid w:val="00491391"/>
    <w:rsid w:val="004918EC"/>
    <w:rsid w:val="00492577"/>
    <w:rsid w:val="004927BD"/>
    <w:rsid w:val="00492A1C"/>
    <w:rsid w:val="00492AD3"/>
    <w:rsid w:val="00492F54"/>
    <w:rsid w:val="004930B2"/>
    <w:rsid w:val="0049391B"/>
    <w:rsid w:val="00493954"/>
    <w:rsid w:val="00493AE1"/>
    <w:rsid w:val="00493B7C"/>
    <w:rsid w:val="00494039"/>
    <w:rsid w:val="0049460E"/>
    <w:rsid w:val="004956B6"/>
    <w:rsid w:val="004956EC"/>
    <w:rsid w:val="00495AE4"/>
    <w:rsid w:val="004961C9"/>
    <w:rsid w:val="00496216"/>
    <w:rsid w:val="00496358"/>
    <w:rsid w:val="0049642C"/>
    <w:rsid w:val="00496506"/>
    <w:rsid w:val="00496642"/>
    <w:rsid w:val="00496E23"/>
    <w:rsid w:val="004970C2"/>
    <w:rsid w:val="0049777E"/>
    <w:rsid w:val="004978D2"/>
    <w:rsid w:val="004A000F"/>
    <w:rsid w:val="004A0B8B"/>
    <w:rsid w:val="004A0E92"/>
    <w:rsid w:val="004A1038"/>
    <w:rsid w:val="004A186A"/>
    <w:rsid w:val="004A1CAD"/>
    <w:rsid w:val="004A212C"/>
    <w:rsid w:val="004A2AC9"/>
    <w:rsid w:val="004A2F0B"/>
    <w:rsid w:val="004A3183"/>
    <w:rsid w:val="004A40FA"/>
    <w:rsid w:val="004A5572"/>
    <w:rsid w:val="004A59B9"/>
    <w:rsid w:val="004A5B40"/>
    <w:rsid w:val="004A5FFF"/>
    <w:rsid w:val="004A6825"/>
    <w:rsid w:val="004A6886"/>
    <w:rsid w:val="004A729D"/>
    <w:rsid w:val="004A7383"/>
    <w:rsid w:val="004A7880"/>
    <w:rsid w:val="004A78EF"/>
    <w:rsid w:val="004A7A82"/>
    <w:rsid w:val="004B0190"/>
    <w:rsid w:val="004B0273"/>
    <w:rsid w:val="004B02B3"/>
    <w:rsid w:val="004B0B2F"/>
    <w:rsid w:val="004B0B8D"/>
    <w:rsid w:val="004B1112"/>
    <w:rsid w:val="004B18A5"/>
    <w:rsid w:val="004B281D"/>
    <w:rsid w:val="004B3100"/>
    <w:rsid w:val="004B3141"/>
    <w:rsid w:val="004B31F7"/>
    <w:rsid w:val="004B3DFD"/>
    <w:rsid w:val="004B4203"/>
    <w:rsid w:val="004B464A"/>
    <w:rsid w:val="004B48C7"/>
    <w:rsid w:val="004B4D64"/>
    <w:rsid w:val="004B522B"/>
    <w:rsid w:val="004B5DBA"/>
    <w:rsid w:val="004B5E77"/>
    <w:rsid w:val="004B5E8E"/>
    <w:rsid w:val="004B6663"/>
    <w:rsid w:val="004B6898"/>
    <w:rsid w:val="004B76FC"/>
    <w:rsid w:val="004B7BCB"/>
    <w:rsid w:val="004B7C25"/>
    <w:rsid w:val="004C106E"/>
    <w:rsid w:val="004C108E"/>
    <w:rsid w:val="004C1B4B"/>
    <w:rsid w:val="004C1B9F"/>
    <w:rsid w:val="004C1FA3"/>
    <w:rsid w:val="004C2069"/>
    <w:rsid w:val="004C2AD1"/>
    <w:rsid w:val="004C2B96"/>
    <w:rsid w:val="004C2FEB"/>
    <w:rsid w:val="004C4151"/>
    <w:rsid w:val="004C4259"/>
    <w:rsid w:val="004C42BB"/>
    <w:rsid w:val="004C4966"/>
    <w:rsid w:val="004C4B23"/>
    <w:rsid w:val="004C4C23"/>
    <w:rsid w:val="004C4C69"/>
    <w:rsid w:val="004C576E"/>
    <w:rsid w:val="004C5811"/>
    <w:rsid w:val="004C58C4"/>
    <w:rsid w:val="004C5B06"/>
    <w:rsid w:val="004C5B27"/>
    <w:rsid w:val="004C5EB3"/>
    <w:rsid w:val="004C600E"/>
    <w:rsid w:val="004C67F8"/>
    <w:rsid w:val="004C6E01"/>
    <w:rsid w:val="004C7239"/>
    <w:rsid w:val="004C7B29"/>
    <w:rsid w:val="004C7FAA"/>
    <w:rsid w:val="004D01E0"/>
    <w:rsid w:val="004D0868"/>
    <w:rsid w:val="004D0D94"/>
    <w:rsid w:val="004D0FAF"/>
    <w:rsid w:val="004D1066"/>
    <w:rsid w:val="004D129D"/>
    <w:rsid w:val="004D1316"/>
    <w:rsid w:val="004D14E7"/>
    <w:rsid w:val="004D14F4"/>
    <w:rsid w:val="004D167A"/>
    <w:rsid w:val="004D226D"/>
    <w:rsid w:val="004D28E6"/>
    <w:rsid w:val="004D387B"/>
    <w:rsid w:val="004D4123"/>
    <w:rsid w:val="004D439D"/>
    <w:rsid w:val="004D4968"/>
    <w:rsid w:val="004D4C43"/>
    <w:rsid w:val="004D4D12"/>
    <w:rsid w:val="004D4FFF"/>
    <w:rsid w:val="004D50A4"/>
    <w:rsid w:val="004D580C"/>
    <w:rsid w:val="004D5873"/>
    <w:rsid w:val="004D62EC"/>
    <w:rsid w:val="004D65A0"/>
    <w:rsid w:val="004D6E1D"/>
    <w:rsid w:val="004D7177"/>
    <w:rsid w:val="004D7A23"/>
    <w:rsid w:val="004E0025"/>
    <w:rsid w:val="004E06F3"/>
    <w:rsid w:val="004E0846"/>
    <w:rsid w:val="004E1C17"/>
    <w:rsid w:val="004E1DAD"/>
    <w:rsid w:val="004E20AB"/>
    <w:rsid w:val="004E23B5"/>
    <w:rsid w:val="004E2797"/>
    <w:rsid w:val="004E2827"/>
    <w:rsid w:val="004E2CEE"/>
    <w:rsid w:val="004E325E"/>
    <w:rsid w:val="004E388C"/>
    <w:rsid w:val="004E403C"/>
    <w:rsid w:val="004E4CF7"/>
    <w:rsid w:val="004E4FE0"/>
    <w:rsid w:val="004E59F8"/>
    <w:rsid w:val="004E5B7F"/>
    <w:rsid w:val="004E6027"/>
    <w:rsid w:val="004E65E4"/>
    <w:rsid w:val="004E6D1A"/>
    <w:rsid w:val="004E765F"/>
    <w:rsid w:val="004E7A09"/>
    <w:rsid w:val="004E7AB2"/>
    <w:rsid w:val="004E7B28"/>
    <w:rsid w:val="004F008E"/>
    <w:rsid w:val="004F01B9"/>
    <w:rsid w:val="004F050C"/>
    <w:rsid w:val="004F0C5D"/>
    <w:rsid w:val="004F1866"/>
    <w:rsid w:val="004F194F"/>
    <w:rsid w:val="004F1ADB"/>
    <w:rsid w:val="004F1E7C"/>
    <w:rsid w:val="004F213B"/>
    <w:rsid w:val="004F2A06"/>
    <w:rsid w:val="004F2A83"/>
    <w:rsid w:val="004F2FFC"/>
    <w:rsid w:val="004F3A98"/>
    <w:rsid w:val="004F430A"/>
    <w:rsid w:val="004F46D8"/>
    <w:rsid w:val="004F5089"/>
    <w:rsid w:val="004F577A"/>
    <w:rsid w:val="004F5B8D"/>
    <w:rsid w:val="004F5C56"/>
    <w:rsid w:val="004F6424"/>
    <w:rsid w:val="004F6877"/>
    <w:rsid w:val="004F6936"/>
    <w:rsid w:val="004F6940"/>
    <w:rsid w:val="004F7A5A"/>
    <w:rsid w:val="004F7FF4"/>
    <w:rsid w:val="0050059A"/>
    <w:rsid w:val="00500626"/>
    <w:rsid w:val="0050079E"/>
    <w:rsid w:val="00500A80"/>
    <w:rsid w:val="00501A30"/>
    <w:rsid w:val="005021FA"/>
    <w:rsid w:val="00502246"/>
    <w:rsid w:val="005025B4"/>
    <w:rsid w:val="00502823"/>
    <w:rsid w:val="005028D4"/>
    <w:rsid w:val="005030BA"/>
    <w:rsid w:val="00504664"/>
    <w:rsid w:val="005060AE"/>
    <w:rsid w:val="00506315"/>
    <w:rsid w:val="0050669C"/>
    <w:rsid w:val="00506A81"/>
    <w:rsid w:val="00507131"/>
    <w:rsid w:val="005074CF"/>
    <w:rsid w:val="00507CE1"/>
    <w:rsid w:val="00510097"/>
    <w:rsid w:val="00510107"/>
    <w:rsid w:val="005101AF"/>
    <w:rsid w:val="0051052C"/>
    <w:rsid w:val="00510A64"/>
    <w:rsid w:val="005114EF"/>
    <w:rsid w:val="005118C3"/>
    <w:rsid w:val="0051279C"/>
    <w:rsid w:val="0051287C"/>
    <w:rsid w:val="00513126"/>
    <w:rsid w:val="00513D4D"/>
    <w:rsid w:val="00513F06"/>
    <w:rsid w:val="00514153"/>
    <w:rsid w:val="00514291"/>
    <w:rsid w:val="00514713"/>
    <w:rsid w:val="0051482D"/>
    <w:rsid w:val="005152B4"/>
    <w:rsid w:val="0051596B"/>
    <w:rsid w:val="005159D5"/>
    <w:rsid w:val="00515C43"/>
    <w:rsid w:val="00516810"/>
    <w:rsid w:val="00516BF4"/>
    <w:rsid w:val="00517F1C"/>
    <w:rsid w:val="00520706"/>
    <w:rsid w:val="00520A52"/>
    <w:rsid w:val="00520CE0"/>
    <w:rsid w:val="005214F6"/>
    <w:rsid w:val="00521714"/>
    <w:rsid w:val="00521C4E"/>
    <w:rsid w:val="00521C5C"/>
    <w:rsid w:val="00523B13"/>
    <w:rsid w:val="00523B34"/>
    <w:rsid w:val="00523C74"/>
    <w:rsid w:val="00523D47"/>
    <w:rsid w:val="00524076"/>
    <w:rsid w:val="00524216"/>
    <w:rsid w:val="00524A77"/>
    <w:rsid w:val="00524E9D"/>
    <w:rsid w:val="005253E6"/>
    <w:rsid w:val="00525573"/>
    <w:rsid w:val="005255C5"/>
    <w:rsid w:val="00525829"/>
    <w:rsid w:val="00525A24"/>
    <w:rsid w:val="00525BA8"/>
    <w:rsid w:val="00526389"/>
    <w:rsid w:val="0052685A"/>
    <w:rsid w:val="005268DB"/>
    <w:rsid w:val="00526B0A"/>
    <w:rsid w:val="00526B42"/>
    <w:rsid w:val="00526BF4"/>
    <w:rsid w:val="00527F12"/>
    <w:rsid w:val="0053028E"/>
    <w:rsid w:val="00530688"/>
    <w:rsid w:val="005306F9"/>
    <w:rsid w:val="00531304"/>
    <w:rsid w:val="00531365"/>
    <w:rsid w:val="00531517"/>
    <w:rsid w:val="005321A1"/>
    <w:rsid w:val="00532DAD"/>
    <w:rsid w:val="00533268"/>
    <w:rsid w:val="00533449"/>
    <w:rsid w:val="0053356C"/>
    <w:rsid w:val="00533871"/>
    <w:rsid w:val="00533983"/>
    <w:rsid w:val="00533ACC"/>
    <w:rsid w:val="00533C67"/>
    <w:rsid w:val="005346D2"/>
    <w:rsid w:val="00534970"/>
    <w:rsid w:val="00534ABC"/>
    <w:rsid w:val="00534CBD"/>
    <w:rsid w:val="00534FC6"/>
    <w:rsid w:val="0053562A"/>
    <w:rsid w:val="00535867"/>
    <w:rsid w:val="005359C5"/>
    <w:rsid w:val="00536A66"/>
    <w:rsid w:val="00537700"/>
    <w:rsid w:val="005378F7"/>
    <w:rsid w:val="005379F2"/>
    <w:rsid w:val="005406D7"/>
    <w:rsid w:val="005408B6"/>
    <w:rsid w:val="0054099D"/>
    <w:rsid w:val="00540FF8"/>
    <w:rsid w:val="0054171B"/>
    <w:rsid w:val="00541911"/>
    <w:rsid w:val="00541C2D"/>
    <w:rsid w:val="0054226A"/>
    <w:rsid w:val="00542385"/>
    <w:rsid w:val="00542588"/>
    <w:rsid w:val="00542702"/>
    <w:rsid w:val="0054292C"/>
    <w:rsid w:val="00542F7F"/>
    <w:rsid w:val="0054328E"/>
    <w:rsid w:val="005435D3"/>
    <w:rsid w:val="00543AA0"/>
    <w:rsid w:val="00543AA3"/>
    <w:rsid w:val="00543DAA"/>
    <w:rsid w:val="00544153"/>
    <w:rsid w:val="00544383"/>
    <w:rsid w:val="005448FB"/>
    <w:rsid w:val="00545097"/>
    <w:rsid w:val="00545AC5"/>
    <w:rsid w:val="00545B80"/>
    <w:rsid w:val="00546777"/>
    <w:rsid w:val="00546AA7"/>
    <w:rsid w:val="00546AF4"/>
    <w:rsid w:val="0054700A"/>
    <w:rsid w:val="00547D7B"/>
    <w:rsid w:val="00550071"/>
    <w:rsid w:val="00550143"/>
    <w:rsid w:val="0055031D"/>
    <w:rsid w:val="00550820"/>
    <w:rsid w:val="00552020"/>
    <w:rsid w:val="00552151"/>
    <w:rsid w:val="00552350"/>
    <w:rsid w:val="00552454"/>
    <w:rsid w:val="00552718"/>
    <w:rsid w:val="005527D2"/>
    <w:rsid w:val="00552AE8"/>
    <w:rsid w:val="00552B85"/>
    <w:rsid w:val="00553147"/>
    <w:rsid w:val="005535F1"/>
    <w:rsid w:val="00553920"/>
    <w:rsid w:val="00554138"/>
    <w:rsid w:val="00554833"/>
    <w:rsid w:val="00555606"/>
    <w:rsid w:val="005556CC"/>
    <w:rsid w:val="00555E14"/>
    <w:rsid w:val="005568C2"/>
    <w:rsid w:val="00556A53"/>
    <w:rsid w:val="00556A55"/>
    <w:rsid w:val="00557007"/>
    <w:rsid w:val="0055707B"/>
    <w:rsid w:val="005570AD"/>
    <w:rsid w:val="005573F2"/>
    <w:rsid w:val="00557478"/>
    <w:rsid w:val="0055773E"/>
    <w:rsid w:val="005607F7"/>
    <w:rsid w:val="005611A8"/>
    <w:rsid w:val="0056150F"/>
    <w:rsid w:val="0056160E"/>
    <w:rsid w:val="005618E5"/>
    <w:rsid w:val="00561CAC"/>
    <w:rsid w:val="00561F3F"/>
    <w:rsid w:val="0056245F"/>
    <w:rsid w:val="00562631"/>
    <w:rsid w:val="00562761"/>
    <w:rsid w:val="0056276B"/>
    <w:rsid w:val="00563FF7"/>
    <w:rsid w:val="005648DF"/>
    <w:rsid w:val="00566214"/>
    <w:rsid w:val="0056684A"/>
    <w:rsid w:val="00566BB4"/>
    <w:rsid w:val="00566E10"/>
    <w:rsid w:val="00567591"/>
    <w:rsid w:val="00567895"/>
    <w:rsid w:val="00570663"/>
    <w:rsid w:val="0057124B"/>
    <w:rsid w:val="0057142F"/>
    <w:rsid w:val="005716DB"/>
    <w:rsid w:val="005721F0"/>
    <w:rsid w:val="00572284"/>
    <w:rsid w:val="00572B09"/>
    <w:rsid w:val="00572DB2"/>
    <w:rsid w:val="00572E7B"/>
    <w:rsid w:val="005730C7"/>
    <w:rsid w:val="0057328F"/>
    <w:rsid w:val="0057341B"/>
    <w:rsid w:val="00573CEB"/>
    <w:rsid w:val="00573F5B"/>
    <w:rsid w:val="005746B0"/>
    <w:rsid w:val="00574DBD"/>
    <w:rsid w:val="00574E80"/>
    <w:rsid w:val="0057508C"/>
    <w:rsid w:val="0057512F"/>
    <w:rsid w:val="005752DB"/>
    <w:rsid w:val="0057557B"/>
    <w:rsid w:val="005761FD"/>
    <w:rsid w:val="00576690"/>
    <w:rsid w:val="00576EBA"/>
    <w:rsid w:val="005771BB"/>
    <w:rsid w:val="0057746B"/>
    <w:rsid w:val="00577D2E"/>
    <w:rsid w:val="00577E2B"/>
    <w:rsid w:val="00577FB0"/>
    <w:rsid w:val="00580AF1"/>
    <w:rsid w:val="00580E1C"/>
    <w:rsid w:val="0058163B"/>
    <w:rsid w:val="00581BA6"/>
    <w:rsid w:val="00582307"/>
    <w:rsid w:val="005824FB"/>
    <w:rsid w:val="005828CC"/>
    <w:rsid w:val="00582BB3"/>
    <w:rsid w:val="00582E02"/>
    <w:rsid w:val="005830CE"/>
    <w:rsid w:val="005832E8"/>
    <w:rsid w:val="005833B2"/>
    <w:rsid w:val="0058348B"/>
    <w:rsid w:val="0058349A"/>
    <w:rsid w:val="00583899"/>
    <w:rsid w:val="005838F5"/>
    <w:rsid w:val="00583A56"/>
    <w:rsid w:val="00583C14"/>
    <w:rsid w:val="005841B7"/>
    <w:rsid w:val="00584A4A"/>
    <w:rsid w:val="00584E81"/>
    <w:rsid w:val="00585231"/>
    <w:rsid w:val="005856A5"/>
    <w:rsid w:val="00586270"/>
    <w:rsid w:val="00587024"/>
    <w:rsid w:val="00587A98"/>
    <w:rsid w:val="0059023D"/>
    <w:rsid w:val="005904C7"/>
    <w:rsid w:val="00590C26"/>
    <w:rsid w:val="00591F89"/>
    <w:rsid w:val="005925F0"/>
    <w:rsid w:val="00592853"/>
    <w:rsid w:val="00592A7F"/>
    <w:rsid w:val="00592A8D"/>
    <w:rsid w:val="00592CFC"/>
    <w:rsid w:val="00593759"/>
    <w:rsid w:val="005939E9"/>
    <w:rsid w:val="00593B4B"/>
    <w:rsid w:val="00594D7B"/>
    <w:rsid w:val="0059512B"/>
    <w:rsid w:val="00595513"/>
    <w:rsid w:val="005955EB"/>
    <w:rsid w:val="005956D4"/>
    <w:rsid w:val="00595CC1"/>
    <w:rsid w:val="00595E7C"/>
    <w:rsid w:val="00595FCD"/>
    <w:rsid w:val="005962D3"/>
    <w:rsid w:val="005968BB"/>
    <w:rsid w:val="00597B18"/>
    <w:rsid w:val="005A0067"/>
    <w:rsid w:val="005A0438"/>
    <w:rsid w:val="005A095A"/>
    <w:rsid w:val="005A0CE7"/>
    <w:rsid w:val="005A0E37"/>
    <w:rsid w:val="005A1221"/>
    <w:rsid w:val="005A1275"/>
    <w:rsid w:val="005A1B1B"/>
    <w:rsid w:val="005A1BF0"/>
    <w:rsid w:val="005A254F"/>
    <w:rsid w:val="005A2796"/>
    <w:rsid w:val="005A30B4"/>
    <w:rsid w:val="005A34F3"/>
    <w:rsid w:val="005A377E"/>
    <w:rsid w:val="005A37DC"/>
    <w:rsid w:val="005A3865"/>
    <w:rsid w:val="005A3EBE"/>
    <w:rsid w:val="005A3EE6"/>
    <w:rsid w:val="005A40FB"/>
    <w:rsid w:val="005A4143"/>
    <w:rsid w:val="005A5359"/>
    <w:rsid w:val="005A53B9"/>
    <w:rsid w:val="005A53D4"/>
    <w:rsid w:val="005A5585"/>
    <w:rsid w:val="005A6259"/>
    <w:rsid w:val="005A65B9"/>
    <w:rsid w:val="005A6831"/>
    <w:rsid w:val="005A6DA7"/>
    <w:rsid w:val="005A72D5"/>
    <w:rsid w:val="005A7AF1"/>
    <w:rsid w:val="005B01D1"/>
    <w:rsid w:val="005B026D"/>
    <w:rsid w:val="005B04A1"/>
    <w:rsid w:val="005B100B"/>
    <w:rsid w:val="005B115D"/>
    <w:rsid w:val="005B1EB4"/>
    <w:rsid w:val="005B21EE"/>
    <w:rsid w:val="005B29A3"/>
    <w:rsid w:val="005B30DD"/>
    <w:rsid w:val="005B3119"/>
    <w:rsid w:val="005B3B2D"/>
    <w:rsid w:val="005B4147"/>
    <w:rsid w:val="005B4416"/>
    <w:rsid w:val="005B48ED"/>
    <w:rsid w:val="005B4D72"/>
    <w:rsid w:val="005B5048"/>
    <w:rsid w:val="005B57BB"/>
    <w:rsid w:val="005B63B8"/>
    <w:rsid w:val="005B687F"/>
    <w:rsid w:val="005B6956"/>
    <w:rsid w:val="005B7524"/>
    <w:rsid w:val="005B7AD6"/>
    <w:rsid w:val="005B7C89"/>
    <w:rsid w:val="005B7E1D"/>
    <w:rsid w:val="005C011A"/>
    <w:rsid w:val="005C01CE"/>
    <w:rsid w:val="005C0353"/>
    <w:rsid w:val="005C0364"/>
    <w:rsid w:val="005C09A7"/>
    <w:rsid w:val="005C1135"/>
    <w:rsid w:val="005C3206"/>
    <w:rsid w:val="005C32FD"/>
    <w:rsid w:val="005C4AD3"/>
    <w:rsid w:val="005C4F1F"/>
    <w:rsid w:val="005C58DA"/>
    <w:rsid w:val="005C59AA"/>
    <w:rsid w:val="005C5E31"/>
    <w:rsid w:val="005C5EDA"/>
    <w:rsid w:val="005C697C"/>
    <w:rsid w:val="005C6BB3"/>
    <w:rsid w:val="005C6F3D"/>
    <w:rsid w:val="005C7780"/>
    <w:rsid w:val="005D0964"/>
    <w:rsid w:val="005D0EA8"/>
    <w:rsid w:val="005D1CA2"/>
    <w:rsid w:val="005D2751"/>
    <w:rsid w:val="005D2F0C"/>
    <w:rsid w:val="005D34A4"/>
    <w:rsid w:val="005D37C5"/>
    <w:rsid w:val="005D4A19"/>
    <w:rsid w:val="005D4E8B"/>
    <w:rsid w:val="005D54AB"/>
    <w:rsid w:val="005D54E2"/>
    <w:rsid w:val="005D5A70"/>
    <w:rsid w:val="005D5D1B"/>
    <w:rsid w:val="005D5DB8"/>
    <w:rsid w:val="005D5E94"/>
    <w:rsid w:val="005D62CB"/>
    <w:rsid w:val="005D636E"/>
    <w:rsid w:val="005D6561"/>
    <w:rsid w:val="005D6A8A"/>
    <w:rsid w:val="005D6FF0"/>
    <w:rsid w:val="005D77E9"/>
    <w:rsid w:val="005D7BDE"/>
    <w:rsid w:val="005E0C98"/>
    <w:rsid w:val="005E1607"/>
    <w:rsid w:val="005E21ED"/>
    <w:rsid w:val="005E28EA"/>
    <w:rsid w:val="005E3CF5"/>
    <w:rsid w:val="005E4A06"/>
    <w:rsid w:val="005E4B3A"/>
    <w:rsid w:val="005E4B71"/>
    <w:rsid w:val="005E4C9E"/>
    <w:rsid w:val="005E4D95"/>
    <w:rsid w:val="005E5292"/>
    <w:rsid w:val="005E5315"/>
    <w:rsid w:val="005E6AF2"/>
    <w:rsid w:val="005E6D8A"/>
    <w:rsid w:val="005E6E8C"/>
    <w:rsid w:val="005E752B"/>
    <w:rsid w:val="005E794E"/>
    <w:rsid w:val="005F025C"/>
    <w:rsid w:val="005F0598"/>
    <w:rsid w:val="005F0891"/>
    <w:rsid w:val="005F204E"/>
    <w:rsid w:val="005F2249"/>
    <w:rsid w:val="005F26D5"/>
    <w:rsid w:val="005F2A98"/>
    <w:rsid w:val="005F311F"/>
    <w:rsid w:val="005F49D0"/>
    <w:rsid w:val="005F4CB6"/>
    <w:rsid w:val="005F4D28"/>
    <w:rsid w:val="005F5000"/>
    <w:rsid w:val="005F506A"/>
    <w:rsid w:val="005F573A"/>
    <w:rsid w:val="005F6541"/>
    <w:rsid w:val="005F657C"/>
    <w:rsid w:val="005F6756"/>
    <w:rsid w:val="005F682C"/>
    <w:rsid w:val="005F6AC8"/>
    <w:rsid w:val="005F6C03"/>
    <w:rsid w:val="005F6C58"/>
    <w:rsid w:val="005F6CEF"/>
    <w:rsid w:val="005F7B86"/>
    <w:rsid w:val="005F7F68"/>
    <w:rsid w:val="006000F8"/>
    <w:rsid w:val="00600B8E"/>
    <w:rsid w:val="0060159F"/>
    <w:rsid w:val="006015E1"/>
    <w:rsid w:val="00601676"/>
    <w:rsid w:val="00601EAD"/>
    <w:rsid w:val="00602721"/>
    <w:rsid w:val="00602727"/>
    <w:rsid w:val="0060288C"/>
    <w:rsid w:val="006029EC"/>
    <w:rsid w:val="00602C95"/>
    <w:rsid w:val="006034D6"/>
    <w:rsid w:val="00603561"/>
    <w:rsid w:val="00603D41"/>
    <w:rsid w:val="00603E1B"/>
    <w:rsid w:val="00604525"/>
    <w:rsid w:val="00604A87"/>
    <w:rsid w:val="00605527"/>
    <w:rsid w:val="00605F8F"/>
    <w:rsid w:val="00606F63"/>
    <w:rsid w:val="006073A1"/>
    <w:rsid w:val="0060788E"/>
    <w:rsid w:val="00607C94"/>
    <w:rsid w:val="00610057"/>
    <w:rsid w:val="006108EC"/>
    <w:rsid w:val="00613146"/>
    <w:rsid w:val="00613232"/>
    <w:rsid w:val="0061323F"/>
    <w:rsid w:val="00613EE4"/>
    <w:rsid w:val="006145DD"/>
    <w:rsid w:val="00614856"/>
    <w:rsid w:val="00615680"/>
    <w:rsid w:val="00615A17"/>
    <w:rsid w:val="0061641D"/>
    <w:rsid w:val="00617137"/>
    <w:rsid w:val="006172B8"/>
    <w:rsid w:val="00617558"/>
    <w:rsid w:val="00617D9C"/>
    <w:rsid w:val="00620523"/>
    <w:rsid w:val="00621DF0"/>
    <w:rsid w:val="006229CC"/>
    <w:rsid w:val="006235EC"/>
    <w:rsid w:val="00623609"/>
    <w:rsid w:val="006237D2"/>
    <w:rsid w:val="00623C47"/>
    <w:rsid w:val="00623F91"/>
    <w:rsid w:val="00623F97"/>
    <w:rsid w:val="00624318"/>
    <w:rsid w:val="00624941"/>
    <w:rsid w:val="00624F34"/>
    <w:rsid w:val="00624F9A"/>
    <w:rsid w:val="006262EC"/>
    <w:rsid w:val="006266FF"/>
    <w:rsid w:val="00626D98"/>
    <w:rsid w:val="00627848"/>
    <w:rsid w:val="00627DE9"/>
    <w:rsid w:val="00627E55"/>
    <w:rsid w:val="00627F6B"/>
    <w:rsid w:val="00630145"/>
    <w:rsid w:val="00630CBB"/>
    <w:rsid w:val="00630E50"/>
    <w:rsid w:val="00630F3A"/>
    <w:rsid w:val="006316FD"/>
    <w:rsid w:val="00632545"/>
    <w:rsid w:val="0063272C"/>
    <w:rsid w:val="00632B43"/>
    <w:rsid w:val="00632C4D"/>
    <w:rsid w:val="006334F7"/>
    <w:rsid w:val="00633A15"/>
    <w:rsid w:val="00633B38"/>
    <w:rsid w:val="00633DFE"/>
    <w:rsid w:val="006346F7"/>
    <w:rsid w:val="00635058"/>
    <w:rsid w:val="00635183"/>
    <w:rsid w:val="00635371"/>
    <w:rsid w:val="0063596C"/>
    <w:rsid w:val="00635C67"/>
    <w:rsid w:val="00635CF1"/>
    <w:rsid w:val="00637A5D"/>
    <w:rsid w:val="00637A66"/>
    <w:rsid w:val="00637B85"/>
    <w:rsid w:val="0064088C"/>
    <w:rsid w:val="00640AF5"/>
    <w:rsid w:val="006412C1"/>
    <w:rsid w:val="0064141A"/>
    <w:rsid w:val="00641C3F"/>
    <w:rsid w:val="006423C9"/>
    <w:rsid w:val="00642671"/>
    <w:rsid w:val="00642A44"/>
    <w:rsid w:val="00642F51"/>
    <w:rsid w:val="00643858"/>
    <w:rsid w:val="00643954"/>
    <w:rsid w:val="00643CE0"/>
    <w:rsid w:val="00644097"/>
    <w:rsid w:val="00644239"/>
    <w:rsid w:val="006447F7"/>
    <w:rsid w:val="00645353"/>
    <w:rsid w:val="006454E8"/>
    <w:rsid w:val="00646680"/>
    <w:rsid w:val="0064745B"/>
    <w:rsid w:val="0064746D"/>
    <w:rsid w:val="00647A82"/>
    <w:rsid w:val="00647EAF"/>
    <w:rsid w:val="006504CD"/>
    <w:rsid w:val="00650824"/>
    <w:rsid w:val="006508DE"/>
    <w:rsid w:val="00650E07"/>
    <w:rsid w:val="00650E4F"/>
    <w:rsid w:val="00651780"/>
    <w:rsid w:val="00652574"/>
    <w:rsid w:val="006528FD"/>
    <w:rsid w:val="00652A5C"/>
    <w:rsid w:val="00652B26"/>
    <w:rsid w:val="00652BC9"/>
    <w:rsid w:val="00653C93"/>
    <w:rsid w:val="00654467"/>
    <w:rsid w:val="0065504A"/>
    <w:rsid w:val="00655575"/>
    <w:rsid w:val="00656772"/>
    <w:rsid w:val="00656C16"/>
    <w:rsid w:val="00656C1F"/>
    <w:rsid w:val="00656EB7"/>
    <w:rsid w:val="00657A59"/>
    <w:rsid w:val="00657C1B"/>
    <w:rsid w:val="00657DC5"/>
    <w:rsid w:val="00657EBD"/>
    <w:rsid w:val="00660907"/>
    <w:rsid w:val="00660E60"/>
    <w:rsid w:val="006611AD"/>
    <w:rsid w:val="00661394"/>
    <w:rsid w:val="00661470"/>
    <w:rsid w:val="00662149"/>
    <w:rsid w:val="006621B0"/>
    <w:rsid w:val="006623FD"/>
    <w:rsid w:val="00662D98"/>
    <w:rsid w:val="00663D2C"/>
    <w:rsid w:val="00664552"/>
    <w:rsid w:val="00664B73"/>
    <w:rsid w:val="006655DA"/>
    <w:rsid w:val="00665692"/>
    <w:rsid w:val="006657E9"/>
    <w:rsid w:val="006658C6"/>
    <w:rsid w:val="00665CA9"/>
    <w:rsid w:val="006664EA"/>
    <w:rsid w:val="00666A71"/>
    <w:rsid w:val="006678F1"/>
    <w:rsid w:val="0066792B"/>
    <w:rsid w:val="00667AFC"/>
    <w:rsid w:val="00667C3E"/>
    <w:rsid w:val="00670055"/>
    <w:rsid w:val="0067014D"/>
    <w:rsid w:val="00670343"/>
    <w:rsid w:val="006703DB"/>
    <w:rsid w:val="00670540"/>
    <w:rsid w:val="0067054E"/>
    <w:rsid w:val="006709C2"/>
    <w:rsid w:val="00671611"/>
    <w:rsid w:val="00671A2E"/>
    <w:rsid w:val="00671AE9"/>
    <w:rsid w:val="00672180"/>
    <w:rsid w:val="00672362"/>
    <w:rsid w:val="0067262C"/>
    <w:rsid w:val="006727E6"/>
    <w:rsid w:val="0067281F"/>
    <w:rsid w:val="00672839"/>
    <w:rsid w:val="006736DB"/>
    <w:rsid w:val="00673C77"/>
    <w:rsid w:val="00674B27"/>
    <w:rsid w:val="00674FAD"/>
    <w:rsid w:val="006754C6"/>
    <w:rsid w:val="00675873"/>
    <w:rsid w:val="00675E0D"/>
    <w:rsid w:val="00675EEB"/>
    <w:rsid w:val="00675EFB"/>
    <w:rsid w:val="0067637E"/>
    <w:rsid w:val="00676AD2"/>
    <w:rsid w:val="00676CAE"/>
    <w:rsid w:val="0067759E"/>
    <w:rsid w:val="006779C5"/>
    <w:rsid w:val="00680718"/>
    <w:rsid w:val="00680AD8"/>
    <w:rsid w:val="00680C2A"/>
    <w:rsid w:val="00681021"/>
    <w:rsid w:val="00681182"/>
    <w:rsid w:val="0068131A"/>
    <w:rsid w:val="00681A1C"/>
    <w:rsid w:val="00681FA5"/>
    <w:rsid w:val="0068256A"/>
    <w:rsid w:val="00682808"/>
    <w:rsid w:val="00682DFF"/>
    <w:rsid w:val="00683018"/>
    <w:rsid w:val="00683748"/>
    <w:rsid w:val="00683E6B"/>
    <w:rsid w:val="006840C4"/>
    <w:rsid w:val="0068414F"/>
    <w:rsid w:val="006842B8"/>
    <w:rsid w:val="006848CA"/>
    <w:rsid w:val="00684907"/>
    <w:rsid w:val="0068526D"/>
    <w:rsid w:val="006859B2"/>
    <w:rsid w:val="00685DC4"/>
    <w:rsid w:val="00685DEE"/>
    <w:rsid w:val="0068707E"/>
    <w:rsid w:val="006872CA"/>
    <w:rsid w:val="00687BB4"/>
    <w:rsid w:val="0069021E"/>
    <w:rsid w:val="0069064A"/>
    <w:rsid w:val="00690BED"/>
    <w:rsid w:val="0069142C"/>
    <w:rsid w:val="00691824"/>
    <w:rsid w:val="00691980"/>
    <w:rsid w:val="00691C3D"/>
    <w:rsid w:val="006927B2"/>
    <w:rsid w:val="00692E01"/>
    <w:rsid w:val="00692F0D"/>
    <w:rsid w:val="00693D00"/>
    <w:rsid w:val="00694043"/>
    <w:rsid w:val="0069407C"/>
    <w:rsid w:val="006942F7"/>
    <w:rsid w:val="006944F3"/>
    <w:rsid w:val="00694A41"/>
    <w:rsid w:val="00694D7F"/>
    <w:rsid w:val="00694E5E"/>
    <w:rsid w:val="00695086"/>
    <w:rsid w:val="006953F4"/>
    <w:rsid w:val="006958D2"/>
    <w:rsid w:val="00695B13"/>
    <w:rsid w:val="0069646A"/>
    <w:rsid w:val="006966B2"/>
    <w:rsid w:val="00696875"/>
    <w:rsid w:val="006A033C"/>
    <w:rsid w:val="006A07ED"/>
    <w:rsid w:val="006A09E5"/>
    <w:rsid w:val="006A0C91"/>
    <w:rsid w:val="006A0CC4"/>
    <w:rsid w:val="006A14F8"/>
    <w:rsid w:val="006A18FE"/>
    <w:rsid w:val="006A1ABC"/>
    <w:rsid w:val="006A2054"/>
    <w:rsid w:val="006A2529"/>
    <w:rsid w:val="006A3352"/>
    <w:rsid w:val="006A353E"/>
    <w:rsid w:val="006A4D79"/>
    <w:rsid w:val="006A4F68"/>
    <w:rsid w:val="006A50C6"/>
    <w:rsid w:val="006A57DB"/>
    <w:rsid w:val="006A5F75"/>
    <w:rsid w:val="006A5F98"/>
    <w:rsid w:val="006A6084"/>
    <w:rsid w:val="006A614B"/>
    <w:rsid w:val="006A6A59"/>
    <w:rsid w:val="006A7AC3"/>
    <w:rsid w:val="006A7D7B"/>
    <w:rsid w:val="006A7E60"/>
    <w:rsid w:val="006B00A3"/>
    <w:rsid w:val="006B0722"/>
    <w:rsid w:val="006B0B11"/>
    <w:rsid w:val="006B0DC8"/>
    <w:rsid w:val="006B11D5"/>
    <w:rsid w:val="006B2145"/>
    <w:rsid w:val="006B28A1"/>
    <w:rsid w:val="006B2964"/>
    <w:rsid w:val="006B2E2A"/>
    <w:rsid w:val="006B3345"/>
    <w:rsid w:val="006B36EE"/>
    <w:rsid w:val="006B3A70"/>
    <w:rsid w:val="006B3CF7"/>
    <w:rsid w:val="006B3E86"/>
    <w:rsid w:val="006B437C"/>
    <w:rsid w:val="006B4827"/>
    <w:rsid w:val="006B523B"/>
    <w:rsid w:val="006B53EB"/>
    <w:rsid w:val="006B553F"/>
    <w:rsid w:val="006B55AA"/>
    <w:rsid w:val="006B5A27"/>
    <w:rsid w:val="006B5BAD"/>
    <w:rsid w:val="006B5CC0"/>
    <w:rsid w:val="006B633B"/>
    <w:rsid w:val="006B63B9"/>
    <w:rsid w:val="006B774E"/>
    <w:rsid w:val="006C0C90"/>
    <w:rsid w:val="006C0DD8"/>
    <w:rsid w:val="006C1020"/>
    <w:rsid w:val="006C11BE"/>
    <w:rsid w:val="006C2292"/>
    <w:rsid w:val="006C24B8"/>
    <w:rsid w:val="006C27CF"/>
    <w:rsid w:val="006C31F0"/>
    <w:rsid w:val="006C412F"/>
    <w:rsid w:val="006C4815"/>
    <w:rsid w:val="006C4B97"/>
    <w:rsid w:val="006C58BA"/>
    <w:rsid w:val="006C5950"/>
    <w:rsid w:val="006C5C79"/>
    <w:rsid w:val="006C65F2"/>
    <w:rsid w:val="006C6602"/>
    <w:rsid w:val="006C6603"/>
    <w:rsid w:val="006C6C44"/>
    <w:rsid w:val="006C6F03"/>
    <w:rsid w:val="006C78A4"/>
    <w:rsid w:val="006C7B3D"/>
    <w:rsid w:val="006C7FB8"/>
    <w:rsid w:val="006D0179"/>
    <w:rsid w:val="006D043A"/>
    <w:rsid w:val="006D04C3"/>
    <w:rsid w:val="006D0955"/>
    <w:rsid w:val="006D095B"/>
    <w:rsid w:val="006D09DE"/>
    <w:rsid w:val="006D0D22"/>
    <w:rsid w:val="006D0E80"/>
    <w:rsid w:val="006D1208"/>
    <w:rsid w:val="006D13C0"/>
    <w:rsid w:val="006D1447"/>
    <w:rsid w:val="006D1500"/>
    <w:rsid w:val="006D1512"/>
    <w:rsid w:val="006D28AF"/>
    <w:rsid w:val="006D3967"/>
    <w:rsid w:val="006D3BC3"/>
    <w:rsid w:val="006D4373"/>
    <w:rsid w:val="006D4F13"/>
    <w:rsid w:val="006D4F6F"/>
    <w:rsid w:val="006D5AE1"/>
    <w:rsid w:val="006D5D1E"/>
    <w:rsid w:val="006D5D45"/>
    <w:rsid w:val="006D5FBE"/>
    <w:rsid w:val="006D628A"/>
    <w:rsid w:val="006D6DA7"/>
    <w:rsid w:val="006D6E29"/>
    <w:rsid w:val="006D7078"/>
    <w:rsid w:val="006D734A"/>
    <w:rsid w:val="006D7ABB"/>
    <w:rsid w:val="006D7D6F"/>
    <w:rsid w:val="006D7FA2"/>
    <w:rsid w:val="006D7FA3"/>
    <w:rsid w:val="006E03C9"/>
    <w:rsid w:val="006E0B70"/>
    <w:rsid w:val="006E0CFF"/>
    <w:rsid w:val="006E0D47"/>
    <w:rsid w:val="006E0E17"/>
    <w:rsid w:val="006E0F4E"/>
    <w:rsid w:val="006E16C7"/>
    <w:rsid w:val="006E1A52"/>
    <w:rsid w:val="006E1CEA"/>
    <w:rsid w:val="006E1E52"/>
    <w:rsid w:val="006E2AF9"/>
    <w:rsid w:val="006E2CBF"/>
    <w:rsid w:val="006E2CC5"/>
    <w:rsid w:val="006E2D5E"/>
    <w:rsid w:val="006E4BAC"/>
    <w:rsid w:val="006E594F"/>
    <w:rsid w:val="006E61C5"/>
    <w:rsid w:val="006E69B2"/>
    <w:rsid w:val="006E7249"/>
    <w:rsid w:val="006E7B9A"/>
    <w:rsid w:val="006E7D0A"/>
    <w:rsid w:val="006E7EE2"/>
    <w:rsid w:val="006F0632"/>
    <w:rsid w:val="006F084D"/>
    <w:rsid w:val="006F0BA9"/>
    <w:rsid w:val="006F1168"/>
    <w:rsid w:val="006F1DE6"/>
    <w:rsid w:val="006F222C"/>
    <w:rsid w:val="006F2792"/>
    <w:rsid w:val="006F2824"/>
    <w:rsid w:val="006F351F"/>
    <w:rsid w:val="006F3A5C"/>
    <w:rsid w:val="006F40CB"/>
    <w:rsid w:val="006F454A"/>
    <w:rsid w:val="006F4B7C"/>
    <w:rsid w:val="006F5524"/>
    <w:rsid w:val="006F5D3E"/>
    <w:rsid w:val="006F5D70"/>
    <w:rsid w:val="006F62C5"/>
    <w:rsid w:val="006F6A40"/>
    <w:rsid w:val="006F74DB"/>
    <w:rsid w:val="006F7703"/>
    <w:rsid w:val="0070036F"/>
    <w:rsid w:val="007005B8"/>
    <w:rsid w:val="007006F0"/>
    <w:rsid w:val="00700844"/>
    <w:rsid w:val="00700ADF"/>
    <w:rsid w:val="00700D86"/>
    <w:rsid w:val="007018C6"/>
    <w:rsid w:val="00702222"/>
    <w:rsid w:val="007022A1"/>
    <w:rsid w:val="007026A0"/>
    <w:rsid w:val="007027C5"/>
    <w:rsid w:val="00702B45"/>
    <w:rsid w:val="00702BEA"/>
    <w:rsid w:val="00702C46"/>
    <w:rsid w:val="00702D8C"/>
    <w:rsid w:val="0070330B"/>
    <w:rsid w:val="00703F33"/>
    <w:rsid w:val="0070502D"/>
    <w:rsid w:val="00705AD3"/>
    <w:rsid w:val="00705E12"/>
    <w:rsid w:val="0070636B"/>
    <w:rsid w:val="00706E7C"/>
    <w:rsid w:val="00706EB0"/>
    <w:rsid w:val="007075C4"/>
    <w:rsid w:val="007079A4"/>
    <w:rsid w:val="007100E8"/>
    <w:rsid w:val="007107F8"/>
    <w:rsid w:val="00710A1B"/>
    <w:rsid w:val="00710C98"/>
    <w:rsid w:val="007116C1"/>
    <w:rsid w:val="007118DC"/>
    <w:rsid w:val="00711DE4"/>
    <w:rsid w:val="007138C6"/>
    <w:rsid w:val="00713948"/>
    <w:rsid w:val="00714795"/>
    <w:rsid w:val="00715C2A"/>
    <w:rsid w:val="00715E2D"/>
    <w:rsid w:val="00715FE5"/>
    <w:rsid w:val="00716116"/>
    <w:rsid w:val="007161A2"/>
    <w:rsid w:val="00717027"/>
    <w:rsid w:val="0071757C"/>
    <w:rsid w:val="0071788E"/>
    <w:rsid w:val="007179F1"/>
    <w:rsid w:val="00717BAC"/>
    <w:rsid w:val="00717C14"/>
    <w:rsid w:val="00720363"/>
    <w:rsid w:val="007203AD"/>
    <w:rsid w:val="00720D6D"/>
    <w:rsid w:val="007216C8"/>
    <w:rsid w:val="00721D2A"/>
    <w:rsid w:val="007221A3"/>
    <w:rsid w:val="007227EA"/>
    <w:rsid w:val="007230BA"/>
    <w:rsid w:val="0072320D"/>
    <w:rsid w:val="00723BD1"/>
    <w:rsid w:val="00723CD4"/>
    <w:rsid w:val="00723EA3"/>
    <w:rsid w:val="00724031"/>
    <w:rsid w:val="007248E5"/>
    <w:rsid w:val="00724960"/>
    <w:rsid w:val="00724C4D"/>
    <w:rsid w:val="00724F90"/>
    <w:rsid w:val="0072553F"/>
    <w:rsid w:val="007258D5"/>
    <w:rsid w:val="00725B3C"/>
    <w:rsid w:val="007260D9"/>
    <w:rsid w:val="007266E5"/>
    <w:rsid w:val="00726861"/>
    <w:rsid w:val="00726AAA"/>
    <w:rsid w:val="00726BE0"/>
    <w:rsid w:val="007273D7"/>
    <w:rsid w:val="0072743F"/>
    <w:rsid w:val="00727636"/>
    <w:rsid w:val="00727934"/>
    <w:rsid w:val="00727EEC"/>
    <w:rsid w:val="00730597"/>
    <w:rsid w:val="00730B26"/>
    <w:rsid w:val="00730C5F"/>
    <w:rsid w:val="00731C29"/>
    <w:rsid w:val="00732605"/>
    <w:rsid w:val="00732659"/>
    <w:rsid w:val="00732B4B"/>
    <w:rsid w:val="00733AB3"/>
    <w:rsid w:val="00733C85"/>
    <w:rsid w:val="00734686"/>
    <w:rsid w:val="00734691"/>
    <w:rsid w:val="00734EAB"/>
    <w:rsid w:val="00734F82"/>
    <w:rsid w:val="007350AC"/>
    <w:rsid w:val="00735B6C"/>
    <w:rsid w:val="00735E57"/>
    <w:rsid w:val="0073644C"/>
    <w:rsid w:val="007369FC"/>
    <w:rsid w:val="00736BDA"/>
    <w:rsid w:val="0073784C"/>
    <w:rsid w:val="007378A8"/>
    <w:rsid w:val="00737D65"/>
    <w:rsid w:val="00737E7D"/>
    <w:rsid w:val="00737FDD"/>
    <w:rsid w:val="00740270"/>
    <w:rsid w:val="00740452"/>
    <w:rsid w:val="00740551"/>
    <w:rsid w:val="00740DE0"/>
    <w:rsid w:val="007411B7"/>
    <w:rsid w:val="007415C2"/>
    <w:rsid w:val="00742F29"/>
    <w:rsid w:val="00742FF6"/>
    <w:rsid w:val="00743B5B"/>
    <w:rsid w:val="00744147"/>
    <w:rsid w:val="007445AE"/>
    <w:rsid w:val="00744FF6"/>
    <w:rsid w:val="00745017"/>
    <w:rsid w:val="007450E2"/>
    <w:rsid w:val="00745161"/>
    <w:rsid w:val="007455B9"/>
    <w:rsid w:val="0074586D"/>
    <w:rsid w:val="0074636F"/>
    <w:rsid w:val="00746BCB"/>
    <w:rsid w:val="0074747B"/>
    <w:rsid w:val="00750555"/>
    <w:rsid w:val="00750B76"/>
    <w:rsid w:val="00750F05"/>
    <w:rsid w:val="0075140B"/>
    <w:rsid w:val="00752B12"/>
    <w:rsid w:val="00753363"/>
    <w:rsid w:val="00754AF3"/>
    <w:rsid w:val="00754C12"/>
    <w:rsid w:val="0075520E"/>
    <w:rsid w:val="0075553B"/>
    <w:rsid w:val="007557BE"/>
    <w:rsid w:val="00756386"/>
    <w:rsid w:val="0075642A"/>
    <w:rsid w:val="007572C7"/>
    <w:rsid w:val="007579F7"/>
    <w:rsid w:val="00757CB5"/>
    <w:rsid w:val="00757CFC"/>
    <w:rsid w:val="0076036F"/>
    <w:rsid w:val="0076045B"/>
    <w:rsid w:val="007610ED"/>
    <w:rsid w:val="00761382"/>
    <w:rsid w:val="0076169A"/>
    <w:rsid w:val="00761FEC"/>
    <w:rsid w:val="00762A17"/>
    <w:rsid w:val="00762CE8"/>
    <w:rsid w:val="00764021"/>
    <w:rsid w:val="00764139"/>
    <w:rsid w:val="007643AD"/>
    <w:rsid w:val="00764931"/>
    <w:rsid w:val="00764B35"/>
    <w:rsid w:val="00764B61"/>
    <w:rsid w:val="00764F87"/>
    <w:rsid w:val="007653AA"/>
    <w:rsid w:val="00765A49"/>
    <w:rsid w:val="007665DA"/>
    <w:rsid w:val="007666D6"/>
    <w:rsid w:val="007700EE"/>
    <w:rsid w:val="007702F9"/>
    <w:rsid w:val="007713EB"/>
    <w:rsid w:val="0077140F"/>
    <w:rsid w:val="0077168D"/>
    <w:rsid w:val="00771C5B"/>
    <w:rsid w:val="00774222"/>
    <w:rsid w:val="00774E13"/>
    <w:rsid w:val="00774F3B"/>
    <w:rsid w:val="007754B2"/>
    <w:rsid w:val="00775CBD"/>
    <w:rsid w:val="007761F1"/>
    <w:rsid w:val="00776A13"/>
    <w:rsid w:val="00777804"/>
    <w:rsid w:val="00777F5F"/>
    <w:rsid w:val="0078040D"/>
    <w:rsid w:val="0078093B"/>
    <w:rsid w:val="00780999"/>
    <w:rsid w:val="00780F52"/>
    <w:rsid w:val="007814EE"/>
    <w:rsid w:val="007816C5"/>
    <w:rsid w:val="0078174B"/>
    <w:rsid w:val="00781FDE"/>
    <w:rsid w:val="00782010"/>
    <w:rsid w:val="00782071"/>
    <w:rsid w:val="00783256"/>
    <w:rsid w:val="007836AC"/>
    <w:rsid w:val="007843BA"/>
    <w:rsid w:val="007850B7"/>
    <w:rsid w:val="00785ADE"/>
    <w:rsid w:val="00785E13"/>
    <w:rsid w:val="00785EDC"/>
    <w:rsid w:val="00786619"/>
    <w:rsid w:val="00786B6B"/>
    <w:rsid w:val="00787C27"/>
    <w:rsid w:val="00790B12"/>
    <w:rsid w:val="00790BFD"/>
    <w:rsid w:val="0079113D"/>
    <w:rsid w:val="00791E86"/>
    <w:rsid w:val="00791FFC"/>
    <w:rsid w:val="007920CD"/>
    <w:rsid w:val="007929C1"/>
    <w:rsid w:val="00792ACF"/>
    <w:rsid w:val="00793539"/>
    <w:rsid w:val="00793578"/>
    <w:rsid w:val="007940DA"/>
    <w:rsid w:val="00794417"/>
    <w:rsid w:val="00794608"/>
    <w:rsid w:val="00794CEE"/>
    <w:rsid w:val="00795722"/>
    <w:rsid w:val="007959AC"/>
    <w:rsid w:val="00795C50"/>
    <w:rsid w:val="00795F16"/>
    <w:rsid w:val="00796081"/>
    <w:rsid w:val="0079638F"/>
    <w:rsid w:val="00796AF7"/>
    <w:rsid w:val="00796E93"/>
    <w:rsid w:val="00796F0F"/>
    <w:rsid w:val="00797079"/>
    <w:rsid w:val="00797481"/>
    <w:rsid w:val="00797A17"/>
    <w:rsid w:val="007A1C04"/>
    <w:rsid w:val="007A20D0"/>
    <w:rsid w:val="007A26C5"/>
    <w:rsid w:val="007A2B99"/>
    <w:rsid w:val="007A360D"/>
    <w:rsid w:val="007A3740"/>
    <w:rsid w:val="007A392F"/>
    <w:rsid w:val="007A52E9"/>
    <w:rsid w:val="007A5B88"/>
    <w:rsid w:val="007A5D8E"/>
    <w:rsid w:val="007A630D"/>
    <w:rsid w:val="007A7274"/>
    <w:rsid w:val="007A730F"/>
    <w:rsid w:val="007A78CD"/>
    <w:rsid w:val="007A7DCF"/>
    <w:rsid w:val="007B024F"/>
    <w:rsid w:val="007B10BE"/>
    <w:rsid w:val="007B1266"/>
    <w:rsid w:val="007B150D"/>
    <w:rsid w:val="007B1CC5"/>
    <w:rsid w:val="007B1D96"/>
    <w:rsid w:val="007B1E8A"/>
    <w:rsid w:val="007B21EF"/>
    <w:rsid w:val="007B2967"/>
    <w:rsid w:val="007B2C03"/>
    <w:rsid w:val="007B2C10"/>
    <w:rsid w:val="007B341A"/>
    <w:rsid w:val="007B401E"/>
    <w:rsid w:val="007B4627"/>
    <w:rsid w:val="007B486E"/>
    <w:rsid w:val="007B4BE4"/>
    <w:rsid w:val="007B5134"/>
    <w:rsid w:val="007B537E"/>
    <w:rsid w:val="007B576C"/>
    <w:rsid w:val="007B5B5B"/>
    <w:rsid w:val="007B5CDC"/>
    <w:rsid w:val="007B5F27"/>
    <w:rsid w:val="007B5F6F"/>
    <w:rsid w:val="007B6046"/>
    <w:rsid w:val="007B631E"/>
    <w:rsid w:val="007B6DB4"/>
    <w:rsid w:val="007B6F5F"/>
    <w:rsid w:val="007B7505"/>
    <w:rsid w:val="007B7719"/>
    <w:rsid w:val="007B7D8C"/>
    <w:rsid w:val="007C0548"/>
    <w:rsid w:val="007C0647"/>
    <w:rsid w:val="007C0D0B"/>
    <w:rsid w:val="007C0DC9"/>
    <w:rsid w:val="007C10E7"/>
    <w:rsid w:val="007C1532"/>
    <w:rsid w:val="007C17D3"/>
    <w:rsid w:val="007C1A20"/>
    <w:rsid w:val="007C206E"/>
    <w:rsid w:val="007C2676"/>
    <w:rsid w:val="007C2B7A"/>
    <w:rsid w:val="007C2C91"/>
    <w:rsid w:val="007C2EAC"/>
    <w:rsid w:val="007C2F43"/>
    <w:rsid w:val="007C3BAB"/>
    <w:rsid w:val="007C40C3"/>
    <w:rsid w:val="007C41F1"/>
    <w:rsid w:val="007C4A34"/>
    <w:rsid w:val="007C4A70"/>
    <w:rsid w:val="007C4B07"/>
    <w:rsid w:val="007C4DCE"/>
    <w:rsid w:val="007C51B7"/>
    <w:rsid w:val="007C54FF"/>
    <w:rsid w:val="007C5675"/>
    <w:rsid w:val="007C59D4"/>
    <w:rsid w:val="007C6281"/>
    <w:rsid w:val="007C69D0"/>
    <w:rsid w:val="007C6A52"/>
    <w:rsid w:val="007C6CEF"/>
    <w:rsid w:val="007C7149"/>
    <w:rsid w:val="007C71E6"/>
    <w:rsid w:val="007C73B1"/>
    <w:rsid w:val="007C7430"/>
    <w:rsid w:val="007C7473"/>
    <w:rsid w:val="007C7687"/>
    <w:rsid w:val="007C7AF8"/>
    <w:rsid w:val="007C7F83"/>
    <w:rsid w:val="007D01EF"/>
    <w:rsid w:val="007D078F"/>
    <w:rsid w:val="007D113C"/>
    <w:rsid w:val="007D14F6"/>
    <w:rsid w:val="007D1981"/>
    <w:rsid w:val="007D1E20"/>
    <w:rsid w:val="007D1EC5"/>
    <w:rsid w:val="007D289B"/>
    <w:rsid w:val="007D2BBF"/>
    <w:rsid w:val="007D355D"/>
    <w:rsid w:val="007D49EA"/>
    <w:rsid w:val="007D4A86"/>
    <w:rsid w:val="007D4B67"/>
    <w:rsid w:val="007D4C24"/>
    <w:rsid w:val="007D4FFA"/>
    <w:rsid w:val="007D5434"/>
    <w:rsid w:val="007D5B45"/>
    <w:rsid w:val="007D5E09"/>
    <w:rsid w:val="007D5E4F"/>
    <w:rsid w:val="007D5EA9"/>
    <w:rsid w:val="007D6033"/>
    <w:rsid w:val="007D6300"/>
    <w:rsid w:val="007D6C92"/>
    <w:rsid w:val="007D72CA"/>
    <w:rsid w:val="007D7B51"/>
    <w:rsid w:val="007E0907"/>
    <w:rsid w:val="007E0A97"/>
    <w:rsid w:val="007E0E4B"/>
    <w:rsid w:val="007E1879"/>
    <w:rsid w:val="007E1E64"/>
    <w:rsid w:val="007E2B52"/>
    <w:rsid w:val="007E30BC"/>
    <w:rsid w:val="007E3BE0"/>
    <w:rsid w:val="007E49CF"/>
    <w:rsid w:val="007E4B4C"/>
    <w:rsid w:val="007E5671"/>
    <w:rsid w:val="007E6D20"/>
    <w:rsid w:val="007E7724"/>
    <w:rsid w:val="007E7A99"/>
    <w:rsid w:val="007E7CC1"/>
    <w:rsid w:val="007F047E"/>
    <w:rsid w:val="007F0752"/>
    <w:rsid w:val="007F1250"/>
    <w:rsid w:val="007F127E"/>
    <w:rsid w:val="007F14A9"/>
    <w:rsid w:val="007F1561"/>
    <w:rsid w:val="007F251E"/>
    <w:rsid w:val="007F27B1"/>
    <w:rsid w:val="007F2C3D"/>
    <w:rsid w:val="007F2C6F"/>
    <w:rsid w:val="007F2D4F"/>
    <w:rsid w:val="007F30DD"/>
    <w:rsid w:val="007F34A7"/>
    <w:rsid w:val="007F3712"/>
    <w:rsid w:val="007F3ADA"/>
    <w:rsid w:val="007F3B96"/>
    <w:rsid w:val="007F3D1A"/>
    <w:rsid w:val="007F3E59"/>
    <w:rsid w:val="007F419D"/>
    <w:rsid w:val="007F4FD0"/>
    <w:rsid w:val="007F51A5"/>
    <w:rsid w:val="007F57DB"/>
    <w:rsid w:val="007F589A"/>
    <w:rsid w:val="007F5AC2"/>
    <w:rsid w:val="007F62A3"/>
    <w:rsid w:val="007F77BF"/>
    <w:rsid w:val="007F7A85"/>
    <w:rsid w:val="007F7DF5"/>
    <w:rsid w:val="00800BB4"/>
    <w:rsid w:val="00800F03"/>
    <w:rsid w:val="0080128B"/>
    <w:rsid w:val="00801854"/>
    <w:rsid w:val="00801D00"/>
    <w:rsid w:val="00801FDD"/>
    <w:rsid w:val="008023BA"/>
    <w:rsid w:val="008024F0"/>
    <w:rsid w:val="00802989"/>
    <w:rsid w:val="00802994"/>
    <w:rsid w:val="00802AA0"/>
    <w:rsid w:val="008030E3"/>
    <w:rsid w:val="00803103"/>
    <w:rsid w:val="00803AD9"/>
    <w:rsid w:val="00805091"/>
    <w:rsid w:val="0080560B"/>
    <w:rsid w:val="00806277"/>
    <w:rsid w:val="008063CD"/>
    <w:rsid w:val="00806E58"/>
    <w:rsid w:val="00807BBA"/>
    <w:rsid w:val="008103B2"/>
    <w:rsid w:val="00811129"/>
    <w:rsid w:val="00811919"/>
    <w:rsid w:val="00811DB1"/>
    <w:rsid w:val="00813599"/>
    <w:rsid w:val="00814640"/>
    <w:rsid w:val="00814B87"/>
    <w:rsid w:val="00814F54"/>
    <w:rsid w:val="008160F4"/>
    <w:rsid w:val="008162C2"/>
    <w:rsid w:val="00816325"/>
    <w:rsid w:val="00816FAF"/>
    <w:rsid w:val="0081726E"/>
    <w:rsid w:val="00817650"/>
    <w:rsid w:val="008179D2"/>
    <w:rsid w:val="00820137"/>
    <w:rsid w:val="00820458"/>
    <w:rsid w:val="008208E5"/>
    <w:rsid w:val="00821116"/>
    <w:rsid w:val="00821B80"/>
    <w:rsid w:val="0082220A"/>
    <w:rsid w:val="0082238B"/>
    <w:rsid w:val="00822537"/>
    <w:rsid w:val="00822651"/>
    <w:rsid w:val="0082276A"/>
    <w:rsid w:val="00822BBB"/>
    <w:rsid w:val="00822BF6"/>
    <w:rsid w:val="00823912"/>
    <w:rsid w:val="00823B68"/>
    <w:rsid w:val="00824D25"/>
    <w:rsid w:val="00824DC7"/>
    <w:rsid w:val="0082516B"/>
    <w:rsid w:val="008253BA"/>
    <w:rsid w:val="00825500"/>
    <w:rsid w:val="00825DB6"/>
    <w:rsid w:val="0082631F"/>
    <w:rsid w:val="0082674E"/>
    <w:rsid w:val="00826AFB"/>
    <w:rsid w:val="00826B9B"/>
    <w:rsid w:val="00826D01"/>
    <w:rsid w:val="00826FD0"/>
    <w:rsid w:val="00827081"/>
    <w:rsid w:val="00827FCF"/>
    <w:rsid w:val="00830375"/>
    <w:rsid w:val="00830604"/>
    <w:rsid w:val="00830A99"/>
    <w:rsid w:val="00830D2E"/>
    <w:rsid w:val="00831406"/>
    <w:rsid w:val="00831754"/>
    <w:rsid w:val="00831F1F"/>
    <w:rsid w:val="008323E4"/>
    <w:rsid w:val="00832A50"/>
    <w:rsid w:val="00832E95"/>
    <w:rsid w:val="00835F15"/>
    <w:rsid w:val="00835F8A"/>
    <w:rsid w:val="00836679"/>
    <w:rsid w:val="00836775"/>
    <w:rsid w:val="00836CD3"/>
    <w:rsid w:val="0083744F"/>
    <w:rsid w:val="008375F9"/>
    <w:rsid w:val="0083792D"/>
    <w:rsid w:val="00840252"/>
    <w:rsid w:val="008407CC"/>
    <w:rsid w:val="008408DE"/>
    <w:rsid w:val="008414C2"/>
    <w:rsid w:val="008415DB"/>
    <w:rsid w:val="00842A65"/>
    <w:rsid w:val="00842AB2"/>
    <w:rsid w:val="00843695"/>
    <w:rsid w:val="00844338"/>
    <w:rsid w:val="00844834"/>
    <w:rsid w:val="00844C7C"/>
    <w:rsid w:val="00844C9E"/>
    <w:rsid w:val="00844E8D"/>
    <w:rsid w:val="00845644"/>
    <w:rsid w:val="00845686"/>
    <w:rsid w:val="00845B75"/>
    <w:rsid w:val="00845DB0"/>
    <w:rsid w:val="00845E43"/>
    <w:rsid w:val="008467CB"/>
    <w:rsid w:val="00846FEF"/>
    <w:rsid w:val="008474F6"/>
    <w:rsid w:val="0084769C"/>
    <w:rsid w:val="00847CA5"/>
    <w:rsid w:val="008501C4"/>
    <w:rsid w:val="00850A89"/>
    <w:rsid w:val="008515A5"/>
    <w:rsid w:val="008517D9"/>
    <w:rsid w:val="008519EC"/>
    <w:rsid w:val="00851B4F"/>
    <w:rsid w:val="00851DBF"/>
    <w:rsid w:val="0085332B"/>
    <w:rsid w:val="008533C8"/>
    <w:rsid w:val="00853723"/>
    <w:rsid w:val="00853C0A"/>
    <w:rsid w:val="00854046"/>
    <w:rsid w:val="008543D1"/>
    <w:rsid w:val="00854A77"/>
    <w:rsid w:val="00855511"/>
    <w:rsid w:val="0085575F"/>
    <w:rsid w:val="0085595D"/>
    <w:rsid w:val="00855BEB"/>
    <w:rsid w:val="00855CEA"/>
    <w:rsid w:val="008562DC"/>
    <w:rsid w:val="00856443"/>
    <w:rsid w:val="00857369"/>
    <w:rsid w:val="00857AA9"/>
    <w:rsid w:val="00857CE6"/>
    <w:rsid w:val="00860130"/>
    <w:rsid w:val="0086076A"/>
    <w:rsid w:val="00860D56"/>
    <w:rsid w:val="00861A46"/>
    <w:rsid w:val="00861D56"/>
    <w:rsid w:val="00862487"/>
    <w:rsid w:val="00862B4A"/>
    <w:rsid w:val="00863076"/>
    <w:rsid w:val="008655F7"/>
    <w:rsid w:val="008659B5"/>
    <w:rsid w:val="0086631F"/>
    <w:rsid w:val="008664D1"/>
    <w:rsid w:val="00867988"/>
    <w:rsid w:val="00867C04"/>
    <w:rsid w:val="0087183F"/>
    <w:rsid w:val="00872C08"/>
    <w:rsid w:val="00872D3D"/>
    <w:rsid w:val="00872D97"/>
    <w:rsid w:val="00872ECD"/>
    <w:rsid w:val="00872EFA"/>
    <w:rsid w:val="008733C1"/>
    <w:rsid w:val="008734A4"/>
    <w:rsid w:val="00874518"/>
    <w:rsid w:val="008749B6"/>
    <w:rsid w:val="008750DA"/>
    <w:rsid w:val="008751CA"/>
    <w:rsid w:val="00875BA2"/>
    <w:rsid w:val="0087628B"/>
    <w:rsid w:val="00876531"/>
    <w:rsid w:val="0087665B"/>
    <w:rsid w:val="00876AFC"/>
    <w:rsid w:val="0087708D"/>
    <w:rsid w:val="008777EB"/>
    <w:rsid w:val="00877BC1"/>
    <w:rsid w:val="00877DE0"/>
    <w:rsid w:val="00877E59"/>
    <w:rsid w:val="008803C1"/>
    <w:rsid w:val="008804D3"/>
    <w:rsid w:val="0088086A"/>
    <w:rsid w:val="00880B9A"/>
    <w:rsid w:val="00880D50"/>
    <w:rsid w:val="00881F3B"/>
    <w:rsid w:val="00883080"/>
    <w:rsid w:val="008834D0"/>
    <w:rsid w:val="00883D36"/>
    <w:rsid w:val="00884D76"/>
    <w:rsid w:val="0088576F"/>
    <w:rsid w:val="0088580D"/>
    <w:rsid w:val="00885D50"/>
    <w:rsid w:val="00885D9F"/>
    <w:rsid w:val="00886123"/>
    <w:rsid w:val="00886AEC"/>
    <w:rsid w:val="00886EE0"/>
    <w:rsid w:val="008870C8"/>
    <w:rsid w:val="008870E1"/>
    <w:rsid w:val="00887638"/>
    <w:rsid w:val="00887A42"/>
    <w:rsid w:val="00887F63"/>
    <w:rsid w:val="00890BF2"/>
    <w:rsid w:val="00891264"/>
    <w:rsid w:val="008915C2"/>
    <w:rsid w:val="00891BC7"/>
    <w:rsid w:val="00891F8D"/>
    <w:rsid w:val="00892005"/>
    <w:rsid w:val="00892649"/>
    <w:rsid w:val="00892725"/>
    <w:rsid w:val="0089300A"/>
    <w:rsid w:val="008933FA"/>
    <w:rsid w:val="00893798"/>
    <w:rsid w:val="00893AEF"/>
    <w:rsid w:val="00893CD6"/>
    <w:rsid w:val="0089539C"/>
    <w:rsid w:val="008956F6"/>
    <w:rsid w:val="00896216"/>
    <w:rsid w:val="008966D8"/>
    <w:rsid w:val="0089677F"/>
    <w:rsid w:val="008969E1"/>
    <w:rsid w:val="00896B64"/>
    <w:rsid w:val="00896CEC"/>
    <w:rsid w:val="008975C2"/>
    <w:rsid w:val="00897603"/>
    <w:rsid w:val="008978DB"/>
    <w:rsid w:val="00897BE4"/>
    <w:rsid w:val="00897D63"/>
    <w:rsid w:val="008A00C9"/>
    <w:rsid w:val="008A01A5"/>
    <w:rsid w:val="008A077D"/>
    <w:rsid w:val="008A0924"/>
    <w:rsid w:val="008A103B"/>
    <w:rsid w:val="008A1349"/>
    <w:rsid w:val="008A1B78"/>
    <w:rsid w:val="008A24CE"/>
    <w:rsid w:val="008A2E39"/>
    <w:rsid w:val="008A36E6"/>
    <w:rsid w:val="008A3C84"/>
    <w:rsid w:val="008A4243"/>
    <w:rsid w:val="008A42F8"/>
    <w:rsid w:val="008A484C"/>
    <w:rsid w:val="008A4E15"/>
    <w:rsid w:val="008A561F"/>
    <w:rsid w:val="008A5928"/>
    <w:rsid w:val="008A617C"/>
    <w:rsid w:val="008A6646"/>
    <w:rsid w:val="008A7575"/>
    <w:rsid w:val="008A757A"/>
    <w:rsid w:val="008A7868"/>
    <w:rsid w:val="008A7A7C"/>
    <w:rsid w:val="008A7CF8"/>
    <w:rsid w:val="008A7DEC"/>
    <w:rsid w:val="008B0896"/>
    <w:rsid w:val="008B0A58"/>
    <w:rsid w:val="008B1603"/>
    <w:rsid w:val="008B16DE"/>
    <w:rsid w:val="008B199F"/>
    <w:rsid w:val="008B1B03"/>
    <w:rsid w:val="008B1CAF"/>
    <w:rsid w:val="008B1E7E"/>
    <w:rsid w:val="008B2570"/>
    <w:rsid w:val="008B2821"/>
    <w:rsid w:val="008B2A5B"/>
    <w:rsid w:val="008B2B2D"/>
    <w:rsid w:val="008B34D4"/>
    <w:rsid w:val="008B35BA"/>
    <w:rsid w:val="008B3A02"/>
    <w:rsid w:val="008B3B26"/>
    <w:rsid w:val="008B4027"/>
    <w:rsid w:val="008B4843"/>
    <w:rsid w:val="008B5356"/>
    <w:rsid w:val="008B58D6"/>
    <w:rsid w:val="008B5A38"/>
    <w:rsid w:val="008B601C"/>
    <w:rsid w:val="008B6490"/>
    <w:rsid w:val="008B66EA"/>
    <w:rsid w:val="008B6735"/>
    <w:rsid w:val="008B6DA2"/>
    <w:rsid w:val="008B6F5C"/>
    <w:rsid w:val="008B7554"/>
    <w:rsid w:val="008B7DAE"/>
    <w:rsid w:val="008C116F"/>
    <w:rsid w:val="008C12B0"/>
    <w:rsid w:val="008C1515"/>
    <w:rsid w:val="008C155A"/>
    <w:rsid w:val="008C1C77"/>
    <w:rsid w:val="008C2792"/>
    <w:rsid w:val="008C2963"/>
    <w:rsid w:val="008C2A7F"/>
    <w:rsid w:val="008C2B5D"/>
    <w:rsid w:val="008C2EEC"/>
    <w:rsid w:val="008C3272"/>
    <w:rsid w:val="008C32BD"/>
    <w:rsid w:val="008C33BD"/>
    <w:rsid w:val="008C3F69"/>
    <w:rsid w:val="008C4830"/>
    <w:rsid w:val="008C534F"/>
    <w:rsid w:val="008C5447"/>
    <w:rsid w:val="008C5538"/>
    <w:rsid w:val="008C5607"/>
    <w:rsid w:val="008C5734"/>
    <w:rsid w:val="008C5735"/>
    <w:rsid w:val="008C5E42"/>
    <w:rsid w:val="008C6D13"/>
    <w:rsid w:val="008C6F5F"/>
    <w:rsid w:val="008C6F97"/>
    <w:rsid w:val="008C718D"/>
    <w:rsid w:val="008C75E3"/>
    <w:rsid w:val="008C7C46"/>
    <w:rsid w:val="008D0475"/>
    <w:rsid w:val="008D071F"/>
    <w:rsid w:val="008D0E9D"/>
    <w:rsid w:val="008D1058"/>
    <w:rsid w:val="008D229A"/>
    <w:rsid w:val="008D2363"/>
    <w:rsid w:val="008D299B"/>
    <w:rsid w:val="008D29E7"/>
    <w:rsid w:val="008D3105"/>
    <w:rsid w:val="008D3322"/>
    <w:rsid w:val="008D3CE3"/>
    <w:rsid w:val="008D3EA7"/>
    <w:rsid w:val="008D40D4"/>
    <w:rsid w:val="008D44D2"/>
    <w:rsid w:val="008D44E6"/>
    <w:rsid w:val="008D4F8F"/>
    <w:rsid w:val="008D59B9"/>
    <w:rsid w:val="008D5A1C"/>
    <w:rsid w:val="008D5A40"/>
    <w:rsid w:val="008D5BA5"/>
    <w:rsid w:val="008D5E1D"/>
    <w:rsid w:val="008D5EEB"/>
    <w:rsid w:val="008D630B"/>
    <w:rsid w:val="008D65ED"/>
    <w:rsid w:val="008D6D6E"/>
    <w:rsid w:val="008D7221"/>
    <w:rsid w:val="008D7AF6"/>
    <w:rsid w:val="008D7F19"/>
    <w:rsid w:val="008E0429"/>
    <w:rsid w:val="008E057B"/>
    <w:rsid w:val="008E1B1A"/>
    <w:rsid w:val="008E20B9"/>
    <w:rsid w:val="008E2510"/>
    <w:rsid w:val="008E29DD"/>
    <w:rsid w:val="008E2AB6"/>
    <w:rsid w:val="008E2C8E"/>
    <w:rsid w:val="008E2D2D"/>
    <w:rsid w:val="008E2E74"/>
    <w:rsid w:val="008E4968"/>
    <w:rsid w:val="008E4DDC"/>
    <w:rsid w:val="008E5B5A"/>
    <w:rsid w:val="008E6271"/>
    <w:rsid w:val="008E66CF"/>
    <w:rsid w:val="008E69F4"/>
    <w:rsid w:val="008E6E93"/>
    <w:rsid w:val="008E724F"/>
    <w:rsid w:val="008E73A4"/>
    <w:rsid w:val="008E73AC"/>
    <w:rsid w:val="008E7563"/>
    <w:rsid w:val="008E77C5"/>
    <w:rsid w:val="008E7B93"/>
    <w:rsid w:val="008E7F02"/>
    <w:rsid w:val="008F00F4"/>
    <w:rsid w:val="008F0252"/>
    <w:rsid w:val="008F0528"/>
    <w:rsid w:val="008F0AB2"/>
    <w:rsid w:val="008F0E1D"/>
    <w:rsid w:val="008F113D"/>
    <w:rsid w:val="008F135D"/>
    <w:rsid w:val="008F1DE6"/>
    <w:rsid w:val="008F22EE"/>
    <w:rsid w:val="008F2522"/>
    <w:rsid w:val="008F31C7"/>
    <w:rsid w:val="008F3AC5"/>
    <w:rsid w:val="008F3F4A"/>
    <w:rsid w:val="008F414B"/>
    <w:rsid w:val="008F419E"/>
    <w:rsid w:val="008F43D0"/>
    <w:rsid w:val="008F470C"/>
    <w:rsid w:val="008F482B"/>
    <w:rsid w:val="008F4833"/>
    <w:rsid w:val="008F4D4F"/>
    <w:rsid w:val="008F4E3B"/>
    <w:rsid w:val="008F58FE"/>
    <w:rsid w:val="008F5CE0"/>
    <w:rsid w:val="008F5F87"/>
    <w:rsid w:val="008F6824"/>
    <w:rsid w:val="008F6D4C"/>
    <w:rsid w:val="008F7520"/>
    <w:rsid w:val="00900151"/>
    <w:rsid w:val="00900626"/>
    <w:rsid w:val="00900C1B"/>
    <w:rsid w:val="00900CAA"/>
    <w:rsid w:val="00900D39"/>
    <w:rsid w:val="00900DFD"/>
    <w:rsid w:val="00900F40"/>
    <w:rsid w:val="00901273"/>
    <w:rsid w:val="00901A91"/>
    <w:rsid w:val="00901CC1"/>
    <w:rsid w:val="00902A97"/>
    <w:rsid w:val="00902D52"/>
    <w:rsid w:val="00902EE2"/>
    <w:rsid w:val="00903080"/>
    <w:rsid w:val="009031B8"/>
    <w:rsid w:val="009035A9"/>
    <w:rsid w:val="009037DF"/>
    <w:rsid w:val="00903B66"/>
    <w:rsid w:val="00903C18"/>
    <w:rsid w:val="009049D4"/>
    <w:rsid w:val="00904A0D"/>
    <w:rsid w:val="00904C77"/>
    <w:rsid w:val="00904CD3"/>
    <w:rsid w:val="0090525A"/>
    <w:rsid w:val="00905445"/>
    <w:rsid w:val="00905842"/>
    <w:rsid w:val="0090591E"/>
    <w:rsid w:val="009065DB"/>
    <w:rsid w:val="00906774"/>
    <w:rsid w:val="00906A50"/>
    <w:rsid w:val="00907BC0"/>
    <w:rsid w:val="00910329"/>
    <w:rsid w:val="00910619"/>
    <w:rsid w:val="009114B6"/>
    <w:rsid w:val="00911A15"/>
    <w:rsid w:val="00911E11"/>
    <w:rsid w:val="0091229E"/>
    <w:rsid w:val="0091264B"/>
    <w:rsid w:val="009130E5"/>
    <w:rsid w:val="00913487"/>
    <w:rsid w:val="00913E36"/>
    <w:rsid w:val="00914005"/>
    <w:rsid w:val="009147A6"/>
    <w:rsid w:val="00914C2B"/>
    <w:rsid w:val="00915477"/>
    <w:rsid w:val="00915B04"/>
    <w:rsid w:val="00915DBD"/>
    <w:rsid w:val="00916C6C"/>
    <w:rsid w:val="0091728A"/>
    <w:rsid w:val="00917B88"/>
    <w:rsid w:val="00917DEC"/>
    <w:rsid w:val="009200B0"/>
    <w:rsid w:val="009202D6"/>
    <w:rsid w:val="00920540"/>
    <w:rsid w:val="00920746"/>
    <w:rsid w:val="00920A7D"/>
    <w:rsid w:val="00920ADA"/>
    <w:rsid w:val="00920BC5"/>
    <w:rsid w:val="009216F5"/>
    <w:rsid w:val="00921777"/>
    <w:rsid w:val="009220C2"/>
    <w:rsid w:val="009220EF"/>
    <w:rsid w:val="00922706"/>
    <w:rsid w:val="00922A3B"/>
    <w:rsid w:val="00922EA5"/>
    <w:rsid w:val="009237D0"/>
    <w:rsid w:val="00924E67"/>
    <w:rsid w:val="00925BC4"/>
    <w:rsid w:val="00925D65"/>
    <w:rsid w:val="0092720C"/>
    <w:rsid w:val="00927C9B"/>
    <w:rsid w:val="00930927"/>
    <w:rsid w:val="00930C60"/>
    <w:rsid w:val="009317CB"/>
    <w:rsid w:val="00931C72"/>
    <w:rsid w:val="00931D2B"/>
    <w:rsid w:val="00931D66"/>
    <w:rsid w:val="00931D6E"/>
    <w:rsid w:val="00931EE8"/>
    <w:rsid w:val="009325C8"/>
    <w:rsid w:val="009329B4"/>
    <w:rsid w:val="00932CEE"/>
    <w:rsid w:val="0093378D"/>
    <w:rsid w:val="0093416F"/>
    <w:rsid w:val="009341CE"/>
    <w:rsid w:val="00934994"/>
    <w:rsid w:val="00934E37"/>
    <w:rsid w:val="00935678"/>
    <w:rsid w:val="00935766"/>
    <w:rsid w:val="0093655A"/>
    <w:rsid w:val="00936A70"/>
    <w:rsid w:val="00936AB7"/>
    <w:rsid w:val="00936B52"/>
    <w:rsid w:val="00936C49"/>
    <w:rsid w:val="00936CE7"/>
    <w:rsid w:val="00936F4C"/>
    <w:rsid w:val="00937D60"/>
    <w:rsid w:val="009400AE"/>
    <w:rsid w:val="009403B1"/>
    <w:rsid w:val="0094126F"/>
    <w:rsid w:val="009419D8"/>
    <w:rsid w:val="00941E08"/>
    <w:rsid w:val="00941E89"/>
    <w:rsid w:val="00941FDC"/>
    <w:rsid w:val="0094206F"/>
    <w:rsid w:val="00942520"/>
    <w:rsid w:val="0094263F"/>
    <w:rsid w:val="00942A22"/>
    <w:rsid w:val="00942A83"/>
    <w:rsid w:val="0094314A"/>
    <w:rsid w:val="00943199"/>
    <w:rsid w:val="00943A6D"/>
    <w:rsid w:val="00943D5B"/>
    <w:rsid w:val="009442A0"/>
    <w:rsid w:val="009446F8"/>
    <w:rsid w:val="00945475"/>
    <w:rsid w:val="00945523"/>
    <w:rsid w:val="009457C2"/>
    <w:rsid w:val="00945962"/>
    <w:rsid w:val="00945DE1"/>
    <w:rsid w:val="009463F5"/>
    <w:rsid w:val="0094665D"/>
    <w:rsid w:val="0094674D"/>
    <w:rsid w:val="00946B21"/>
    <w:rsid w:val="00946C86"/>
    <w:rsid w:val="00946C9F"/>
    <w:rsid w:val="00946ED6"/>
    <w:rsid w:val="00946F27"/>
    <w:rsid w:val="00947117"/>
    <w:rsid w:val="00947266"/>
    <w:rsid w:val="00947560"/>
    <w:rsid w:val="009475C6"/>
    <w:rsid w:val="009475FF"/>
    <w:rsid w:val="009477CD"/>
    <w:rsid w:val="00950989"/>
    <w:rsid w:val="00950D84"/>
    <w:rsid w:val="00950E9C"/>
    <w:rsid w:val="00951596"/>
    <w:rsid w:val="00951648"/>
    <w:rsid w:val="0095217C"/>
    <w:rsid w:val="009523DB"/>
    <w:rsid w:val="00952890"/>
    <w:rsid w:val="0095295F"/>
    <w:rsid w:val="00952D09"/>
    <w:rsid w:val="0095301A"/>
    <w:rsid w:val="0095319F"/>
    <w:rsid w:val="009533CE"/>
    <w:rsid w:val="00953902"/>
    <w:rsid w:val="009539F4"/>
    <w:rsid w:val="00953D97"/>
    <w:rsid w:val="009549FB"/>
    <w:rsid w:val="0095502F"/>
    <w:rsid w:val="009550B0"/>
    <w:rsid w:val="009554CB"/>
    <w:rsid w:val="009556E5"/>
    <w:rsid w:val="009560D4"/>
    <w:rsid w:val="00956459"/>
    <w:rsid w:val="009564BB"/>
    <w:rsid w:val="009564CD"/>
    <w:rsid w:val="00956C4B"/>
    <w:rsid w:val="009576D0"/>
    <w:rsid w:val="00957CBC"/>
    <w:rsid w:val="00957F9B"/>
    <w:rsid w:val="009610EB"/>
    <w:rsid w:val="00961238"/>
    <w:rsid w:val="00961819"/>
    <w:rsid w:val="00961842"/>
    <w:rsid w:val="00961AEF"/>
    <w:rsid w:val="0096271E"/>
    <w:rsid w:val="00962C43"/>
    <w:rsid w:val="00963507"/>
    <w:rsid w:val="00963866"/>
    <w:rsid w:val="00964885"/>
    <w:rsid w:val="009648DA"/>
    <w:rsid w:val="00964B60"/>
    <w:rsid w:val="00964CAA"/>
    <w:rsid w:val="00965836"/>
    <w:rsid w:val="00965EAA"/>
    <w:rsid w:val="009667FD"/>
    <w:rsid w:val="00967A68"/>
    <w:rsid w:val="00967A7E"/>
    <w:rsid w:val="00967FE6"/>
    <w:rsid w:val="00970575"/>
    <w:rsid w:val="00970AB5"/>
    <w:rsid w:val="00970B94"/>
    <w:rsid w:val="00970F62"/>
    <w:rsid w:val="00971006"/>
    <w:rsid w:val="009718A6"/>
    <w:rsid w:val="0097243B"/>
    <w:rsid w:val="00972678"/>
    <w:rsid w:val="009728DA"/>
    <w:rsid w:val="00972BDA"/>
    <w:rsid w:val="00972C67"/>
    <w:rsid w:val="00972E3C"/>
    <w:rsid w:val="00972E41"/>
    <w:rsid w:val="00972FA7"/>
    <w:rsid w:val="00973F4C"/>
    <w:rsid w:val="00974759"/>
    <w:rsid w:val="00974AE3"/>
    <w:rsid w:val="0097533B"/>
    <w:rsid w:val="009754D5"/>
    <w:rsid w:val="00975BEC"/>
    <w:rsid w:val="00975E19"/>
    <w:rsid w:val="0097634A"/>
    <w:rsid w:val="0097659B"/>
    <w:rsid w:val="0097724B"/>
    <w:rsid w:val="009772B2"/>
    <w:rsid w:val="00977432"/>
    <w:rsid w:val="0098027C"/>
    <w:rsid w:val="00980923"/>
    <w:rsid w:val="00980C1E"/>
    <w:rsid w:val="009810F3"/>
    <w:rsid w:val="0098129B"/>
    <w:rsid w:val="00981F76"/>
    <w:rsid w:val="0098227A"/>
    <w:rsid w:val="0098389C"/>
    <w:rsid w:val="009839BB"/>
    <w:rsid w:val="00983A08"/>
    <w:rsid w:val="00983AF5"/>
    <w:rsid w:val="00983BD8"/>
    <w:rsid w:val="0098472A"/>
    <w:rsid w:val="00984CBB"/>
    <w:rsid w:val="00984E65"/>
    <w:rsid w:val="009850FD"/>
    <w:rsid w:val="00985124"/>
    <w:rsid w:val="009868BE"/>
    <w:rsid w:val="00987354"/>
    <w:rsid w:val="009903B6"/>
    <w:rsid w:val="00990DBE"/>
    <w:rsid w:val="009910A0"/>
    <w:rsid w:val="00991365"/>
    <w:rsid w:val="009913D4"/>
    <w:rsid w:val="009913E0"/>
    <w:rsid w:val="00991610"/>
    <w:rsid w:val="009919B1"/>
    <w:rsid w:val="00991B43"/>
    <w:rsid w:val="00992732"/>
    <w:rsid w:val="00992977"/>
    <w:rsid w:val="009936BD"/>
    <w:rsid w:val="00993E82"/>
    <w:rsid w:val="00994C66"/>
    <w:rsid w:val="009955E2"/>
    <w:rsid w:val="009960E5"/>
    <w:rsid w:val="00996222"/>
    <w:rsid w:val="00996266"/>
    <w:rsid w:val="009968DD"/>
    <w:rsid w:val="00996979"/>
    <w:rsid w:val="00996B00"/>
    <w:rsid w:val="00996B39"/>
    <w:rsid w:val="009977A7"/>
    <w:rsid w:val="009A0308"/>
    <w:rsid w:val="009A07CE"/>
    <w:rsid w:val="009A0D66"/>
    <w:rsid w:val="009A0D79"/>
    <w:rsid w:val="009A0F33"/>
    <w:rsid w:val="009A1112"/>
    <w:rsid w:val="009A121D"/>
    <w:rsid w:val="009A1678"/>
    <w:rsid w:val="009A1BE4"/>
    <w:rsid w:val="009A229A"/>
    <w:rsid w:val="009A2EA9"/>
    <w:rsid w:val="009A3164"/>
    <w:rsid w:val="009A3F7B"/>
    <w:rsid w:val="009A42CE"/>
    <w:rsid w:val="009A56BE"/>
    <w:rsid w:val="009A59A8"/>
    <w:rsid w:val="009A6201"/>
    <w:rsid w:val="009A6241"/>
    <w:rsid w:val="009A6696"/>
    <w:rsid w:val="009A66B5"/>
    <w:rsid w:val="009A66FB"/>
    <w:rsid w:val="009A6721"/>
    <w:rsid w:val="009A6B09"/>
    <w:rsid w:val="009A71FD"/>
    <w:rsid w:val="009A78B3"/>
    <w:rsid w:val="009B0107"/>
    <w:rsid w:val="009B08FF"/>
    <w:rsid w:val="009B1356"/>
    <w:rsid w:val="009B13D3"/>
    <w:rsid w:val="009B1ECA"/>
    <w:rsid w:val="009B23A9"/>
    <w:rsid w:val="009B2BCF"/>
    <w:rsid w:val="009B2CF2"/>
    <w:rsid w:val="009B2E42"/>
    <w:rsid w:val="009B2E4B"/>
    <w:rsid w:val="009B3467"/>
    <w:rsid w:val="009B3D97"/>
    <w:rsid w:val="009B44A7"/>
    <w:rsid w:val="009B4935"/>
    <w:rsid w:val="009B4C70"/>
    <w:rsid w:val="009B5A1D"/>
    <w:rsid w:val="009B604C"/>
    <w:rsid w:val="009B6842"/>
    <w:rsid w:val="009B6995"/>
    <w:rsid w:val="009B6B5D"/>
    <w:rsid w:val="009B7751"/>
    <w:rsid w:val="009C028A"/>
    <w:rsid w:val="009C07A5"/>
    <w:rsid w:val="009C0A5E"/>
    <w:rsid w:val="009C1B13"/>
    <w:rsid w:val="009C1C99"/>
    <w:rsid w:val="009C1DC7"/>
    <w:rsid w:val="009C1F11"/>
    <w:rsid w:val="009C2140"/>
    <w:rsid w:val="009C2DFB"/>
    <w:rsid w:val="009C2FC6"/>
    <w:rsid w:val="009C2FE2"/>
    <w:rsid w:val="009C349D"/>
    <w:rsid w:val="009C3818"/>
    <w:rsid w:val="009C3DAB"/>
    <w:rsid w:val="009C3F17"/>
    <w:rsid w:val="009C4094"/>
    <w:rsid w:val="009C4FAE"/>
    <w:rsid w:val="009C527C"/>
    <w:rsid w:val="009C52A7"/>
    <w:rsid w:val="009C5327"/>
    <w:rsid w:val="009C6A5E"/>
    <w:rsid w:val="009D01C1"/>
    <w:rsid w:val="009D0292"/>
    <w:rsid w:val="009D04F5"/>
    <w:rsid w:val="009D0B0D"/>
    <w:rsid w:val="009D15D7"/>
    <w:rsid w:val="009D1CD1"/>
    <w:rsid w:val="009D2524"/>
    <w:rsid w:val="009D26CF"/>
    <w:rsid w:val="009D2F72"/>
    <w:rsid w:val="009D301D"/>
    <w:rsid w:val="009D3534"/>
    <w:rsid w:val="009D37D7"/>
    <w:rsid w:val="009D39DC"/>
    <w:rsid w:val="009D3E51"/>
    <w:rsid w:val="009D42EB"/>
    <w:rsid w:val="009D43E2"/>
    <w:rsid w:val="009D44AF"/>
    <w:rsid w:val="009D4504"/>
    <w:rsid w:val="009D4A1A"/>
    <w:rsid w:val="009D5439"/>
    <w:rsid w:val="009D5458"/>
    <w:rsid w:val="009D594B"/>
    <w:rsid w:val="009D5B73"/>
    <w:rsid w:val="009D63B5"/>
    <w:rsid w:val="009D6BDE"/>
    <w:rsid w:val="009D6E43"/>
    <w:rsid w:val="009D71F3"/>
    <w:rsid w:val="009D7465"/>
    <w:rsid w:val="009D753E"/>
    <w:rsid w:val="009D7637"/>
    <w:rsid w:val="009D7BE5"/>
    <w:rsid w:val="009E00C6"/>
    <w:rsid w:val="009E05EF"/>
    <w:rsid w:val="009E06B2"/>
    <w:rsid w:val="009E09BC"/>
    <w:rsid w:val="009E114E"/>
    <w:rsid w:val="009E11F3"/>
    <w:rsid w:val="009E1380"/>
    <w:rsid w:val="009E16A1"/>
    <w:rsid w:val="009E1731"/>
    <w:rsid w:val="009E1BE8"/>
    <w:rsid w:val="009E1CA3"/>
    <w:rsid w:val="009E1E4E"/>
    <w:rsid w:val="009E1F41"/>
    <w:rsid w:val="009E1FB2"/>
    <w:rsid w:val="009E30E9"/>
    <w:rsid w:val="009E39E4"/>
    <w:rsid w:val="009E41D3"/>
    <w:rsid w:val="009E477D"/>
    <w:rsid w:val="009E4F23"/>
    <w:rsid w:val="009E56D2"/>
    <w:rsid w:val="009E5DD1"/>
    <w:rsid w:val="009E5DD2"/>
    <w:rsid w:val="009E60C1"/>
    <w:rsid w:val="009E6373"/>
    <w:rsid w:val="009E64C1"/>
    <w:rsid w:val="009E6D56"/>
    <w:rsid w:val="009E7554"/>
    <w:rsid w:val="009E757F"/>
    <w:rsid w:val="009E783B"/>
    <w:rsid w:val="009E7D88"/>
    <w:rsid w:val="009E7E40"/>
    <w:rsid w:val="009F0513"/>
    <w:rsid w:val="009F0EEB"/>
    <w:rsid w:val="009F1276"/>
    <w:rsid w:val="009F14A1"/>
    <w:rsid w:val="009F1584"/>
    <w:rsid w:val="009F20F7"/>
    <w:rsid w:val="009F2A7E"/>
    <w:rsid w:val="009F2E47"/>
    <w:rsid w:val="009F33DB"/>
    <w:rsid w:val="009F3AB5"/>
    <w:rsid w:val="009F3C79"/>
    <w:rsid w:val="009F4F75"/>
    <w:rsid w:val="009F5A6F"/>
    <w:rsid w:val="009F5E6D"/>
    <w:rsid w:val="009F6388"/>
    <w:rsid w:val="009F683D"/>
    <w:rsid w:val="009F69DD"/>
    <w:rsid w:val="009F6AE1"/>
    <w:rsid w:val="009F6DB1"/>
    <w:rsid w:val="009F74A6"/>
    <w:rsid w:val="009F759E"/>
    <w:rsid w:val="009F7677"/>
    <w:rsid w:val="009F7B2C"/>
    <w:rsid w:val="00A009F9"/>
    <w:rsid w:val="00A00A85"/>
    <w:rsid w:val="00A00FAC"/>
    <w:rsid w:val="00A0140F"/>
    <w:rsid w:val="00A014D9"/>
    <w:rsid w:val="00A01C59"/>
    <w:rsid w:val="00A02AB0"/>
    <w:rsid w:val="00A03094"/>
    <w:rsid w:val="00A037D0"/>
    <w:rsid w:val="00A038BE"/>
    <w:rsid w:val="00A03A4F"/>
    <w:rsid w:val="00A03D2F"/>
    <w:rsid w:val="00A03D75"/>
    <w:rsid w:val="00A03E1B"/>
    <w:rsid w:val="00A04DD8"/>
    <w:rsid w:val="00A05BEC"/>
    <w:rsid w:val="00A0613D"/>
    <w:rsid w:val="00A0616B"/>
    <w:rsid w:val="00A070BE"/>
    <w:rsid w:val="00A07190"/>
    <w:rsid w:val="00A07E1E"/>
    <w:rsid w:val="00A1046D"/>
    <w:rsid w:val="00A106DA"/>
    <w:rsid w:val="00A10831"/>
    <w:rsid w:val="00A11051"/>
    <w:rsid w:val="00A112CD"/>
    <w:rsid w:val="00A113BB"/>
    <w:rsid w:val="00A11A42"/>
    <w:rsid w:val="00A122FD"/>
    <w:rsid w:val="00A12839"/>
    <w:rsid w:val="00A129C9"/>
    <w:rsid w:val="00A129D0"/>
    <w:rsid w:val="00A12F3B"/>
    <w:rsid w:val="00A13156"/>
    <w:rsid w:val="00A139DA"/>
    <w:rsid w:val="00A13A46"/>
    <w:rsid w:val="00A142B5"/>
    <w:rsid w:val="00A14854"/>
    <w:rsid w:val="00A14939"/>
    <w:rsid w:val="00A14E4C"/>
    <w:rsid w:val="00A15398"/>
    <w:rsid w:val="00A157C9"/>
    <w:rsid w:val="00A15BDE"/>
    <w:rsid w:val="00A15D9B"/>
    <w:rsid w:val="00A164DA"/>
    <w:rsid w:val="00A167DE"/>
    <w:rsid w:val="00A16C3F"/>
    <w:rsid w:val="00A17CF1"/>
    <w:rsid w:val="00A2007D"/>
    <w:rsid w:val="00A20561"/>
    <w:rsid w:val="00A208EA"/>
    <w:rsid w:val="00A20D10"/>
    <w:rsid w:val="00A20E02"/>
    <w:rsid w:val="00A20F72"/>
    <w:rsid w:val="00A21725"/>
    <w:rsid w:val="00A21AE0"/>
    <w:rsid w:val="00A21DE9"/>
    <w:rsid w:val="00A22BCD"/>
    <w:rsid w:val="00A22E44"/>
    <w:rsid w:val="00A22F95"/>
    <w:rsid w:val="00A22F97"/>
    <w:rsid w:val="00A23EC9"/>
    <w:rsid w:val="00A246F2"/>
    <w:rsid w:val="00A255D2"/>
    <w:rsid w:val="00A25FBA"/>
    <w:rsid w:val="00A266E3"/>
    <w:rsid w:val="00A266FC"/>
    <w:rsid w:val="00A26B4A"/>
    <w:rsid w:val="00A2701E"/>
    <w:rsid w:val="00A27C11"/>
    <w:rsid w:val="00A27F46"/>
    <w:rsid w:val="00A27F4F"/>
    <w:rsid w:val="00A30030"/>
    <w:rsid w:val="00A30A10"/>
    <w:rsid w:val="00A30FD8"/>
    <w:rsid w:val="00A31BA8"/>
    <w:rsid w:val="00A31E6C"/>
    <w:rsid w:val="00A328CF"/>
    <w:rsid w:val="00A32929"/>
    <w:rsid w:val="00A331AA"/>
    <w:rsid w:val="00A33655"/>
    <w:rsid w:val="00A342FD"/>
    <w:rsid w:val="00A3431E"/>
    <w:rsid w:val="00A34929"/>
    <w:rsid w:val="00A349CD"/>
    <w:rsid w:val="00A34A3A"/>
    <w:rsid w:val="00A34C03"/>
    <w:rsid w:val="00A34E2B"/>
    <w:rsid w:val="00A35798"/>
    <w:rsid w:val="00A36147"/>
    <w:rsid w:val="00A362B6"/>
    <w:rsid w:val="00A3715E"/>
    <w:rsid w:val="00A37756"/>
    <w:rsid w:val="00A40213"/>
    <w:rsid w:val="00A40490"/>
    <w:rsid w:val="00A41382"/>
    <w:rsid w:val="00A4149B"/>
    <w:rsid w:val="00A4184A"/>
    <w:rsid w:val="00A42034"/>
    <w:rsid w:val="00A4283C"/>
    <w:rsid w:val="00A429B8"/>
    <w:rsid w:val="00A42BB6"/>
    <w:rsid w:val="00A42FC5"/>
    <w:rsid w:val="00A43384"/>
    <w:rsid w:val="00A43500"/>
    <w:rsid w:val="00A44C61"/>
    <w:rsid w:val="00A45679"/>
    <w:rsid w:val="00A45C09"/>
    <w:rsid w:val="00A45D95"/>
    <w:rsid w:val="00A45FDE"/>
    <w:rsid w:val="00A463E4"/>
    <w:rsid w:val="00A46A81"/>
    <w:rsid w:val="00A46ABA"/>
    <w:rsid w:val="00A46AEF"/>
    <w:rsid w:val="00A46CEA"/>
    <w:rsid w:val="00A474FB"/>
    <w:rsid w:val="00A4750A"/>
    <w:rsid w:val="00A47A90"/>
    <w:rsid w:val="00A47ADA"/>
    <w:rsid w:val="00A5004F"/>
    <w:rsid w:val="00A501CA"/>
    <w:rsid w:val="00A50C1A"/>
    <w:rsid w:val="00A50CCA"/>
    <w:rsid w:val="00A51323"/>
    <w:rsid w:val="00A517AF"/>
    <w:rsid w:val="00A518C2"/>
    <w:rsid w:val="00A519BF"/>
    <w:rsid w:val="00A51CF2"/>
    <w:rsid w:val="00A520D7"/>
    <w:rsid w:val="00A53260"/>
    <w:rsid w:val="00A53725"/>
    <w:rsid w:val="00A538A0"/>
    <w:rsid w:val="00A53BF4"/>
    <w:rsid w:val="00A54904"/>
    <w:rsid w:val="00A54BE1"/>
    <w:rsid w:val="00A55061"/>
    <w:rsid w:val="00A5591D"/>
    <w:rsid w:val="00A559DB"/>
    <w:rsid w:val="00A559E7"/>
    <w:rsid w:val="00A55C6F"/>
    <w:rsid w:val="00A55D00"/>
    <w:rsid w:val="00A56091"/>
    <w:rsid w:val="00A560F2"/>
    <w:rsid w:val="00A56145"/>
    <w:rsid w:val="00A56317"/>
    <w:rsid w:val="00A56D73"/>
    <w:rsid w:val="00A577A1"/>
    <w:rsid w:val="00A57860"/>
    <w:rsid w:val="00A57933"/>
    <w:rsid w:val="00A57F09"/>
    <w:rsid w:val="00A602D5"/>
    <w:rsid w:val="00A60A45"/>
    <w:rsid w:val="00A60A53"/>
    <w:rsid w:val="00A60EBE"/>
    <w:rsid w:val="00A612D6"/>
    <w:rsid w:val="00A619BF"/>
    <w:rsid w:val="00A61B8E"/>
    <w:rsid w:val="00A62BBE"/>
    <w:rsid w:val="00A62E96"/>
    <w:rsid w:val="00A62FAD"/>
    <w:rsid w:val="00A63345"/>
    <w:rsid w:val="00A63733"/>
    <w:rsid w:val="00A637F8"/>
    <w:rsid w:val="00A638C3"/>
    <w:rsid w:val="00A63C0C"/>
    <w:rsid w:val="00A6463F"/>
    <w:rsid w:val="00A6480B"/>
    <w:rsid w:val="00A6488B"/>
    <w:rsid w:val="00A65733"/>
    <w:rsid w:val="00A65D31"/>
    <w:rsid w:val="00A65EF9"/>
    <w:rsid w:val="00A66A43"/>
    <w:rsid w:val="00A66EC2"/>
    <w:rsid w:val="00A66F06"/>
    <w:rsid w:val="00A67184"/>
    <w:rsid w:val="00A704D9"/>
    <w:rsid w:val="00A709B8"/>
    <w:rsid w:val="00A70F18"/>
    <w:rsid w:val="00A71063"/>
    <w:rsid w:val="00A71B1E"/>
    <w:rsid w:val="00A71C59"/>
    <w:rsid w:val="00A71E56"/>
    <w:rsid w:val="00A72386"/>
    <w:rsid w:val="00A72A54"/>
    <w:rsid w:val="00A72EB6"/>
    <w:rsid w:val="00A72EE7"/>
    <w:rsid w:val="00A7352E"/>
    <w:rsid w:val="00A737FA"/>
    <w:rsid w:val="00A73BA5"/>
    <w:rsid w:val="00A73BD6"/>
    <w:rsid w:val="00A74290"/>
    <w:rsid w:val="00A742EF"/>
    <w:rsid w:val="00A74311"/>
    <w:rsid w:val="00A74765"/>
    <w:rsid w:val="00A75192"/>
    <w:rsid w:val="00A7565D"/>
    <w:rsid w:val="00A75714"/>
    <w:rsid w:val="00A75B84"/>
    <w:rsid w:val="00A75DAC"/>
    <w:rsid w:val="00A76B29"/>
    <w:rsid w:val="00A76F92"/>
    <w:rsid w:val="00A77097"/>
    <w:rsid w:val="00A77372"/>
    <w:rsid w:val="00A77E64"/>
    <w:rsid w:val="00A803F5"/>
    <w:rsid w:val="00A806A0"/>
    <w:rsid w:val="00A80A80"/>
    <w:rsid w:val="00A80AB0"/>
    <w:rsid w:val="00A810F7"/>
    <w:rsid w:val="00A81B16"/>
    <w:rsid w:val="00A81C2A"/>
    <w:rsid w:val="00A823D1"/>
    <w:rsid w:val="00A83429"/>
    <w:rsid w:val="00A83674"/>
    <w:rsid w:val="00A83B76"/>
    <w:rsid w:val="00A83CDD"/>
    <w:rsid w:val="00A83DDC"/>
    <w:rsid w:val="00A843AA"/>
    <w:rsid w:val="00A85254"/>
    <w:rsid w:val="00A8593E"/>
    <w:rsid w:val="00A85CB9"/>
    <w:rsid w:val="00A85D7D"/>
    <w:rsid w:val="00A90DFF"/>
    <w:rsid w:val="00A90F3F"/>
    <w:rsid w:val="00A90F42"/>
    <w:rsid w:val="00A91759"/>
    <w:rsid w:val="00A91F6C"/>
    <w:rsid w:val="00A922F4"/>
    <w:rsid w:val="00A92A2E"/>
    <w:rsid w:val="00A92ADC"/>
    <w:rsid w:val="00A92E8B"/>
    <w:rsid w:val="00A932C8"/>
    <w:rsid w:val="00A93357"/>
    <w:rsid w:val="00A933EB"/>
    <w:rsid w:val="00A93760"/>
    <w:rsid w:val="00A94A0D"/>
    <w:rsid w:val="00A94BA0"/>
    <w:rsid w:val="00A94D37"/>
    <w:rsid w:val="00A955ED"/>
    <w:rsid w:val="00A96138"/>
    <w:rsid w:val="00A961C7"/>
    <w:rsid w:val="00A96269"/>
    <w:rsid w:val="00A9692C"/>
    <w:rsid w:val="00A96E3C"/>
    <w:rsid w:val="00A9739F"/>
    <w:rsid w:val="00A97603"/>
    <w:rsid w:val="00A977E0"/>
    <w:rsid w:val="00A978BE"/>
    <w:rsid w:val="00A97B07"/>
    <w:rsid w:val="00A97FBB"/>
    <w:rsid w:val="00AA0D76"/>
    <w:rsid w:val="00AA101E"/>
    <w:rsid w:val="00AA1C7C"/>
    <w:rsid w:val="00AA292C"/>
    <w:rsid w:val="00AA29A4"/>
    <w:rsid w:val="00AA2B39"/>
    <w:rsid w:val="00AA2C4A"/>
    <w:rsid w:val="00AA2DED"/>
    <w:rsid w:val="00AA33CF"/>
    <w:rsid w:val="00AA4110"/>
    <w:rsid w:val="00AA4440"/>
    <w:rsid w:val="00AA4478"/>
    <w:rsid w:val="00AA49E5"/>
    <w:rsid w:val="00AA4B0C"/>
    <w:rsid w:val="00AA52B6"/>
    <w:rsid w:val="00AA62D6"/>
    <w:rsid w:val="00AB054D"/>
    <w:rsid w:val="00AB0EA7"/>
    <w:rsid w:val="00AB13AF"/>
    <w:rsid w:val="00AB13BD"/>
    <w:rsid w:val="00AB176F"/>
    <w:rsid w:val="00AB19B4"/>
    <w:rsid w:val="00AB1B4F"/>
    <w:rsid w:val="00AB1B86"/>
    <w:rsid w:val="00AB244B"/>
    <w:rsid w:val="00AB3FBE"/>
    <w:rsid w:val="00AB4260"/>
    <w:rsid w:val="00AB497D"/>
    <w:rsid w:val="00AB4C64"/>
    <w:rsid w:val="00AB4F19"/>
    <w:rsid w:val="00AB621C"/>
    <w:rsid w:val="00AB6792"/>
    <w:rsid w:val="00AB6A3A"/>
    <w:rsid w:val="00AB7BDB"/>
    <w:rsid w:val="00AB7D7E"/>
    <w:rsid w:val="00AB7F9E"/>
    <w:rsid w:val="00AC0357"/>
    <w:rsid w:val="00AC11C8"/>
    <w:rsid w:val="00AC14DA"/>
    <w:rsid w:val="00AC186D"/>
    <w:rsid w:val="00AC1949"/>
    <w:rsid w:val="00AC1FAF"/>
    <w:rsid w:val="00AC2365"/>
    <w:rsid w:val="00AC28FC"/>
    <w:rsid w:val="00AC2AC0"/>
    <w:rsid w:val="00AC30F3"/>
    <w:rsid w:val="00AC31DF"/>
    <w:rsid w:val="00AC3AFE"/>
    <w:rsid w:val="00AC3BE0"/>
    <w:rsid w:val="00AC4B37"/>
    <w:rsid w:val="00AC4C72"/>
    <w:rsid w:val="00AC4D3A"/>
    <w:rsid w:val="00AC5119"/>
    <w:rsid w:val="00AC511B"/>
    <w:rsid w:val="00AC55FC"/>
    <w:rsid w:val="00AC6393"/>
    <w:rsid w:val="00AC68F9"/>
    <w:rsid w:val="00AC6A2A"/>
    <w:rsid w:val="00AC6A37"/>
    <w:rsid w:val="00AC7A46"/>
    <w:rsid w:val="00AC7AE2"/>
    <w:rsid w:val="00AC7AFB"/>
    <w:rsid w:val="00AD005A"/>
    <w:rsid w:val="00AD0369"/>
    <w:rsid w:val="00AD05BA"/>
    <w:rsid w:val="00AD0CF1"/>
    <w:rsid w:val="00AD0DCC"/>
    <w:rsid w:val="00AD0EBD"/>
    <w:rsid w:val="00AD11B0"/>
    <w:rsid w:val="00AD18E8"/>
    <w:rsid w:val="00AD25BF"/>
    <w:rsid w:val="00AD29C6"/>
    <w:rsid w:val="00AD33BD"/>
    <w:rsid w:val="00AD3A53"/>
    <w:rsid w:val="00AD3C6A"/>
    <w:rsid w:val="00AD4009"/>
    <w:rsid w:val="00AD45F1"/>
    <w:rsid w:val="00AD4799"/>
    <w:rsid w:val="00AD496F"/>
    <w:rsid w:val="00AD4CB4"/>
    <w:rsid w:val="00AD5088"/>
    <w:rsid w:val="00AD5CE8"/>
    <w:rsid w:val="00AD6852"/>
    <w:rsid w:val="00AD698E"/>
    <w:rsid w:val="00AD73EC"/>
    <w:rsid w:val="00AD74BF"/>
    <w:rsid w:val="00AD764B"/>
    <w:rsid w:val="00AD7650"/>
    <w:rsid w:val="00AD7EA8"/>
    <w:rsid w:val="00AE08CC"/>
    <w:rsid w:val="00AE13C3"/>
    <w:rsid w:val="00AE2437"/>
    <w:rsid w:val="00AE24BA"/>
    <w:rsid w:val="00AE284E"/>
    <w:rsid w:val="00AE294C"/>
    <w:rsid w:val="00AE2D81"/>
    <w:rsid w:val="00AE2EC3"/>
    <w:rsid w:val="00AE313B"/>
    <w:rsid w:val="00AE34DE"/>
    <w:rsid w:val="00AE415A"/>
    <w:rsid w:val="00AE46DC"/>
    <w:rsid w:val="00AE4BC8"/>
    <w:rsid w:val="00AE4E4C"/>
    <w:rsid w:val="00AE523E"/>
    <w:rsid w:val="00AE53FD"/>
    <w:rsid w:val="00AE5A26"/>
    <w:rsid w:val="00AE66F4"/>
    <w:rsid w:val="00AE6A05"/>
    <w:rsid w:val="00AE6FE2"/>
    <w:rsid w:val="00AE702A"/>
    <w:rsid w:val="00AE7326"/>
    <w:rsid w:val="00AF05AE"/>
    <w:rsid w:val="00AF05BF"/>
    <w:rsid w:val="00AF06CD"/>
    <w:rsid w:val="00AF0916"/>
    <w:rsid w:val="00AF0CC1"/>
    <w:rsid w:val="00AF0F34"/>
    <w:rsid w:val="00AF1546"/>
    <w:rsid w:val="00AF1747"/>
    <w:rsid w:val="00AF1823"/>
    <w:rsid w:val="00AF1946"/>
    <w:rsid w:val="00AF1C26"/>
    <w:rsid w:val="00AF1E5C"/>
    <w:rsid w:val="00AF1F91"/>
    <w:rsid w:val="00AF2018"/>
    <w:rsid w:val="00AF205C"/>
    <w:rsid w:val="00AF267F"/>
    <w:rsid w:val="00AF2C08"/>
    <w:rsid w:val="00AF2C9A"/>
    <w:rsid w:val="00AF2D30"/>
    <w:rsid w:val="00AF36F6"/>
    <w:rsid w:val="00AF3BED"/>
    <w:rsid w:val="00AF42D0"/>
    <w:rsid w:val="00AF5C82"/>
    <w:rsid w:val="00AF6A61"/>
    <w:rsid w:val="00AF6A64"/>
    <w:rsid w:val="00AF6FBD"/>
    <w:rsid w:val="00AF7213"/>
    <w:rsid w:val="00AF772F"/>
    <w:rsid w:val="00AF7B84"/>
    <w:rsid w:val="00AF7DF2"/>
    <w:rsid w:val="00AF7ED7"/>
    <w:rsid w:val="00B00207"/>
    <w:rsid w:val="00B00549"/>
    <w:rsid w:val="00B008D8"/>
    <w:rsid w:val="00B0118D"/>
    <w:rsid w:val="00B015EF"/>
    <w:rsid w:val="00B017BC"/>
    <w:rsid w:val="00B01A21"/>
    <w:rsid w:val="00B02150"/>
    <w:rsid w:val="00B021C2"/>
    <w:rsid w:val="00B021E7"/>
    <w:rsid w:val="00B027A4"/>
    <w:rsid w:val="00B02803"/>
    <w:rsid w:val="00B02846"/>
    <w:rsid w:val="00B0298D"/>
    <w:rsid w:val="00B03234"/>
    <w:rsid w:val="00B0360B"/>
    <w:rsid w:val="00B03995"/>
    <w:rsid w:val="00B03B49"/>
    <w:rsid w:val="00B03EC2"/>
    <w:rsid w:val="00B043B9"/>
    <w:rsid w:val="00B04A0E"/>
    <w:rsid w:val="00B04EF0"/>
    <w:rsid w:val="00B0525A"/>
    <w:rsid w:val="00B053F1"/>
    <w:rsid w:val="00B058C5"/>
    <w:rsid w:val="00B061A9"/>
    <w:rsid w:val="00B06223"/>
    <w:rsid w:val="00B065B2"/>
    <w:rsid w:val="00B068B7"/>
    <w:rsid w:val="00B06F69"/>
    <w:rsid w:val="00B070CE"/>
    <w:rsid w:val="00B07305"/>
    <w:rsid w:val="00B074DB"/>
    <w:rsid w:val="00B102AD"/>
    <w:rsid w:val="00B10765"/>
    <w:rsid w:val="00B10EB2"/>
    <w:rsid w:val="00B11261"/>
    <w:rsid w:val="00B11281"/>
    <w:rsid w:val="00B11400"/>
    <w:rsid w:val="00B11739"/>
    <w:rsid w:val="00B11819"/>
    <w:rsid w:val="00B11B2F"/>
    <w:rsid w:val="00B11D36"/>
    <w:rsid w:val="00B11E26"/>
    <w:rsid w:val="00B11F04"/>
    <w:rsid w:val="00B11F52"/>
    <w:rsid w:val="00B12372"/>
    <w:rsid w:val="00B12D76"/>
    <w:rsid w:val="00B13A31"/>
    <w:rsid w:val="00B13C94"/>
    <w:rsid w:val="00B1415D"/>
    <w:rsid w:val="00B143BF"/>
    <w:rsid w:val="00B14A84"/>
    <w:rsid w:val="00B1514E"/>
    <w:rsid w:val="00B159D7"/>
    <w:rsid w:val="00B15C94"/>
    <w:rsid w:val="00B16AD6"/>
    <w:rsid w:val="00B17377"/>
    <w:rsid w:val="00B17F1C"/>
    <w:rsid w:val="00B201C9"/>
    <w:rsid w:val="00B203E5"/>
    <w:rsid w:val="00B207A6"/>
    <w:rsid w:val="00B208C2"/>
    <w:rsid w:val="00B20C0E"/>
    <w:rsid w:val="00B214E4"/>
    <w:rsid w:val="00B21DBC"/>
    <w:rsid w:val="00B21E1C"/>
    <w:rsid w:val="00B22B9D"/>
    <w:rsid w:val="00B22BC0"/>
    <w:rsid w:val="00B230B5"/>
    <w:rsid w:val="00B232E1"/>
    <w:rsid w:val="00B23A31"/>
    <w:rsid w:val="00B23F9D"/>
    <w:rsid w:val="00B241C8"/>
    <w:rsid w:val="00B24E5D"/>
    <w:rsid w:val="00B252B2"/>
    <w:rsid w:val="00B2552E"/>
    <w:rsid w:val="00B25BC6"/>
    <w:rsid w:val="00B25FE0"/>
    <w:rsid w:val="00B26896"/>
    <w:rsid w:val="00B26C36"/>
    <w:rsid w:val="00B26DBB"/>
    <w:rsid w:val="00B271E6"/>
    <w:rsid w:val="00B274FD"/>
    <w:rsid w:val="00B301C5"/>
    <w:rsid w:val="00B306D2"/>
    <w:rsid w:val="00B30C37"/>
    <w:rsid w:val="00B31647"/>
    <w:rsid w:val="00B31D87"/>
    <w:rsid w:val="00B31E7E"/>
    <w:rsid w:val="00B32014"/>
    <w:rsid w:val="00B320D8"/>
    <w:rsid w:val="00B324F2"/>
    <w:rsid w:val="00B3251E"/>
    <w:rsid w:val="00B32560"/>
    <w:rsid w:val="00B32C64"/>
    <w:rsid w:val="00B3354D"/>
    <w:rsid w:val="00B337D7"/>
    <w:rsid w:val="00B33A6C"/>
    <w:rsid w:val="00B33CAB"/>
    <w:rsid w:val="00B345E7"/>
    <w:rsid w:val="00B34608"/>
    <w:rsid w:val="00B3493C"/>
    <w:rsid w:val="00B34973"/>
    <w:rsid w:val="00B34CE9"/>
    <w:rsid w:val="00B34D33"/>
    <w:rsid w:val="00B35551"/>
    <w:rsid w:val="00B35B45"/>
    <w:rsid w:val="00B3629A"/>
    <w:rsid w:val="00B36672"/>
    <w:rsid w:val="00B36756"/>
    <w:rsid w:val="00B36A1A"/>
    <w:rsid w:val="00B36C24"/>
    <w:rsid w:val="00B36F7E"/>
    <w:rsid w:val="00B37A0A"/>
    <w:rsid w:val="00B40521"/>
    <w:rsid w:val="00B40765"/>
    <w:rsid w:val="00B40BD3"/>
    <w:rsid w:val="00B40D0C"/>
    <w:rsid w:val="00B40D1E"/>
    <w:rsid w:val="00B40D6E"/>
    <w:rsid w:val="00B41977"/>
    <w:rsid w:val="00B4212E"/>
    <w:rsid w:val="00B421C0"/>
    <w:rsid w:val="00B42230"/>
    <w:rsid w:val="00B42425"/>
    <w:rsid w:val="00B4270A"/>
    <w:rsid w:val="00B4286F"/>
    <w:rsid w:val="00B428F6"/>
    <w:rsid w:val="00B4322C"/>
    <w:rsid w:val="00B4344D"/>
    <w:rsid w:val="00B44B35"/>
    <w:rsid w:val="00B4510A"/>
    <w:rsid w:val="00B4562A"/>
    <w:rsid w:val="00B4590F"/>
    <w:rsid w:val="00B45E28"/>
    <w:rsid w:val="00B45F89"/>
    <w:rsid w:val="00B45FF7"/>
    <w:rsid w:val="00B463F5"/>
    <w:rsid w:val="00B4729C"/>
    <w:rsid w:val="00B47527"/>
    <w:rsid w:val="00B475B9"/>
    <w:rsid w:val="00B4766F"/>
    <w:rsid w:val="00B47AAE"/>
    <w:rsid w:val="00B47D09"/>
    <w:rsid w:val="00B47F14"/>
    <w:rsid w:val="00B47F5F"/>
    <w:rsid w:val="00B50A7D"/>
    <w:rsid w:val="00B50CE6"/>
    <w:rsid w:val="00B51783"/>
    <w:rsid w:val="00B527F9"/>
    <w:rsid w:val="00B52A44"/>
    <w:rsid w:val="00B53081"/>
    <w:rsid w:val="00B530AA"/>
    <w:rsid w:val="00B5316F"/>
    <w:rsid w:val="00B53A56"/>
    <w:rsid w:val="00B53E38"/>
    <w:rsid w:val="00B542CB"/>
    <w:rsid w:val="00B544EE"/>
    <w:rsid w:val="00B547EC"/>
    <w:rsid w:val="00B54809"/>
    <w:rsid w:val="00B548FE"/>
    <w:rsid w:val="00B54DBD"/>
    <w:rsid w:val="00B556A0"/>
    <w:rsid w:val="00B558AC"/>
    <w:rsid w:val="00B558F5"/>
    <w:rsid w:val="00B558FA"/>
    <w:rsid w:val="00B55B61"/>
    <w:rsid w:val="00B5621C"/>
    <w:rsid w:val="00B565FF"/>
    <w:rsid w:val="00B5674A"/>
    <w:rsid w:val="00B56CCC"/>
    <w:rsid w:val="00B56EA8"/>
    <w:rsid w:val="00B56FA2"/>
    <w:rsid w:val="00B57007"/>
    <w:rsid w:val="00B60169"/>
    <w:rsid w:val="00B60507"/>
    <w:rsid w:val="00B6075C"/>
    <w:rsid w:val="00B60AC4"/>
    <w:rsid w:val="00B614AE"/>
    <w:rsid w:val="00B61CB7"/>
    <w:rsid w:val="00B61D82"/>
    <w:rsid w:val="00B62A90"/>
    <w:rsid w:val="00B62B4F"/>
    <w:rsid w:val="00B62D1D"/>
    <w:rsid w:val="00B6337A"/>
    <w:rsid w:val="00B633B2"/>
    <w:rsid w:val="00B63D1B"/>
    <w:rsid w:val="00B640A8"/>
    <w:rsid w:val="00B64116"/>
    <w:rsid w:val="00B643AF"/>
    <w:rsid w:val="00B6514E"/>
    <w:rsid w:val="00B658AB"/>
    <w:rsid w:val="00B65C3B"/>
    <w:rsid w:val="00B6752C"/>
    <w:rsid w:val="00B67A73"/>
    <w:rsid w:val="00B67D22"/>
    <w:rsid w:val="00B70168"/>
    <w:rsid w:val="00B70FB4"/>
    <w:rsid w:val="00B71273"/>
    <w:rsid w:val="00B71450"/>
    <w:rsid w:val="00B716A6"/>
    <w:rsid w:val="00B7237A"/>
    <w:rsid w:val="00B7291B"/>
    <w:rsid w:val="00B72957"/>
    <w:rsid w:val="00B72DCB"/>
    <w:rsid w:val="00B732FD"/>
    <w:rsid w:val="00B73FC5"/>
    <w:rsid w:val="00B74B75"/>
    <w:rsid w:val="00B74C93"/>
    <w:rsid w:val="00B74EAB"/>
    <w:rsid w:val="00B74ED3"/>
    <w:rsid w:val="00B74FDE"/>
    <w:rsid w:val="00B75556"/>
    <w:rsid w:val="00B75827"/>
    <w:rsid w:val="00B758B7"/>
    <w:rsid w:val="00B75AF3"/>
    <w:rsid w:val="00B762E8"/>
    <w:rsid w:val="00B76368"/>
    <w:rsid w:val="00B766CF"/>
    <w:rsid w:val="00B768DA"/>
    <w:rsid w:val="00B76EDF"/>
    <w:rsid w:val="00B770EC"/>
    <w:rsid w:val="00B77E5F"/>
    <w:rsid w:val="00B77F63"/>
    <w:rsid w:val="00B801AC"/>
    <w:rsid w:val="00B80200"/>
    <w:rsid w:val="00B806C8"/>
    <w:rsid w:val="00B80AD3"/>
    <w:rsid w:val="00B81550"/>
    <w:rsid w:val="00B815FC"/>
    <w:rsid w:val="00B817C7"/>
    <w:rsid w:val="00B81E36"/>
    <w:rsid w:val="00B81E38"/>
    <w:rsid w:val="00B82F10"/>
    <w:rsid w:val="00B82FF6"/>
    <w:rsid w:val="00B8364E"/>
    <w:rsid w:val="00B83748"/>
    <w:rsid w:val="00B84355"/>
    <w:rsid w:val="00B844AD"/>
    <w:rsid w:val="00B84A1B"/>
    <w:rsid w:val="00B84F4B"/>
    <w:rsid w:val="00B85244"/>
    <w:rsid w:val="00B85BBC"/>
    <w:rsid w:val="00B860BF"/>
    <w:rsid w:val="00B8615A"/>
    <w:rsid w:val="00B86FA4"/>
    <w:rsid w:val="00B8753A"/>
    <w:rsid w:val="00B87F5F"/>
    <w:rsid w:val="00B9054B"/>
    <w:rsid w:val="00B905F9"/>
    <w:rsid w:val="00B91331"/>
    <w:rsid w:val="00B91DC1"/>
    <w:rsid w:val="00B92F80"/>
    <w:rsid w:val="00B9306C"/>
    <w:rsid w:val="00B93BA1"/>
    <w:rsid w:val="00B94B78"/>
    <w:rsid w:val="00B9551A"/>
    <w:rsid w:val="00B95856"/>
    <w:rsid w:val="00B95A8D"/>
    <w:rsid w:val="00B96AA9"/>
    <w:rsid w:val="00B96C81"/>
    <w:rsid w:val="00B96CE0"/>
    <w:rsid w:val="00B971DC"/>
    <w:rsid w:val="00B97810"/>
    <w:rsid w:val="00B97916"/>
    <w:rsid w:val="00B97B9E"/>
    <w:rsid w:val="00B97BCF"/>
    <w:rsid w:val="00B97BF2"/>
    <w:rsid w:val="00BA0A2C"/>
    <w:rsid w:val="00BA18DD"/>
    <w:rsid w:val="00BA1A68"/>
    <w:rsid w:val="00BA1A78"/>
    <w:rsid w:val="00BA246D"/>
    <w:rsid w:val="00BA2F28"/>
    <w:rsid w:val="00BA3046"/>
    <w:rsid w:val="00BA36EB"/>
    <w:rsid w:val="00BA39EC"/>
    <w:rsid w:val="00BA3FC3"/>
    <w:rsid w:val="00BA4022"/>
    <w:rsid w:val="00BA4BEC"/>
    <w:rsid w:val="00BA5503"/>
    <w:rsid w:val="00BA567C"/>
    <w:rsid w:val="00BA5C12"/>
    <w:rsid w:val="00BA612E"/>
    <w:rsid w:val="00BA6262"/>
    <w:rsid w:val="00BA66F9"/>
    <w:rsid w:val="00BA68D5"/>
    <w:rsid w:val="00BA6AEB"/>
    <w:rsid w:val="00BA7140"/>
    <w:rsid w:val="00BA74C8"/>
    <w:rsid w:val="00BA770A"/>
    <w:rsid w:val="00BA7A5C"/>
    <w:rsid w:val="00BA7EED"/>
    <w:rsid w:val="00BA7FC1"/>
    <w:rsid w:val="00BB00EE"/>
    <w:rsid w:val="00BB10A6"/>
    <w:rsid w:val="00BB1592"/>
    <w:rsid w:val="00BB1FB9"/>
    <w:rsid w:val="00BB22C9"/>
    <w:rsid w:val="00BB25D9"/>
    <w:rsid w:val="00BB29B0"/>
    <w:rsid w:val="00BB2BCE"/>
    <w:rsid w:val="00BB3052"/>
    <w:rsid w:val="00BB314E"/>
    <w:rsid w:val="00BB31D0"/>
    <w:rsid w:val="00BB349A"/>
    <w:rsid w:val="00BB3D26"/>
    <w:rsid w:val="00BB4584"/>
    <w:rsid w:val="00BB479D"/>
    <w:rsid w:val="00BB49E4"/>
    <w:rsid w:val="00BB584D"/>
    <w:rsid w:val="00BB5919"/>
    <w:rsid w:val="00BB5955"/>
    <w:rsid w:val="00BB5E71"/>
    <w:rsid w:val="00BB7DA3"/>
    <w:rsid w:val="00BC0087"/>
    <w:rsid w:val="00BC0ABD"/>
    <w:rsid w:val="00BC10F6"/>
    <w:rsid w:val="00BC180E"/>
    <w:rsid w:val="00BC2611"/>
    <w:rsid w:val="00BC2B88"/>
    <w:rsid w:val="00BC31E7"/>
    <w:rsid w:val="00BC34F2"/>
    <w:rsid w:val="00BC3529"/>
    <w:rsid w:val="00BC39F2"/>
    <w:rsid w:val="00BC3E50"/>
    <w:rsid w:val="00BC4048"/>
    <w:rsid w:val="00BC469C"/>
    <w:rsid w:val="00BC49FE"/>
    <w:rsid w:val="00BC4A7B"/>
    <w:rsid w:val="00BC4D68"/>
    <w:rsid w:val="00BC4E2D"/>
    <w:rsid w:val="00BC5085"/>
    <w:rsid w:val="00BC5AF9"/>
    <w:rsid w:val="00BC5BD8"/>
    <w:rsid w:val="00BC5F1F"/>
    <w:rsid w:val="00BC5F82"/>
    <w:rsid w:val="00BC603E"/>
    <w:rsid w:val="00BC607C"/>
    <w:rsid w:val="00BC61BF"/>
    <w:rsid w:val="00BC66A5"/>
    <w:rsid w:val="00BC6E7A"/>
    <w:rsid w:val="00BC7E31"/>
    <w:rsid w:val="00BD09F3"/>
    <w:rsid w:val="00BD0BBB"/>
    <w:rsid w:val="00BD0FD7"/>
    <w:rsid w:val="00BD1485"/>
    <w:rsid w:val="00BD1504"/>
    <w:rsid w:val="00BD153C"/>
    <w:rsid w:val="00BD1603"/>
    <w:rsid w:val="00BD17D8"/>
    <w:rsid w:val="00BD1B0E"/>
    <w:rsid w:val="00BD2221"/>
    <w:rsid w:val="00BD24F8"/>
    <w:rsid w:val="00BD28C4"/>
    <w:rsid w:val="00BD2BBC"/>
    <w:rsid w:val="00BD3D8E"/>
    <w:rsid w:val="00BD3F22"/>
    <w:rsid w:val="00BD4330"/>
    <w:rsid w:val="00BD484C"/>
    <w:rsid w:val="00BD4D9B"/>
    <w:rsid w:val="00BD4EB0"/>
    <w:rsid w:val="00BD5E1F"/>
    <w:rsid w:val="00BD679E"/>
    <w:rsid w:val="00BD6925"/>
    <w:rsid w:val="00BD6C5E"/>
    <w:rsid w:val="00BD6D13"/>
    <w:rsid w:val="00BD7894"/>
    <w:rsid w:val="00BD7917"/>
    <w:rsid w:val="00BD7BBC"/>
    <w:rsid w:val="00BD7E4E"/>
    <w:rsid w:val="00BD7E6B"/>
    <w:rsid w:val="00BE00C5"/>
    <w:rsid w:val="00BE021E"/>
    <w:rsid w:val="00BE0BD7"/>
    <w:rsid w:val="00BE0E9F"/>
    <w:rsid w:val="00BE11AB"/>
    <w:rsid w:val="00BE1C61"/>
    <w:rsid w:val="00BE3016"/>
    <w:rsid w:val="00BE4767"/>
    <w:rsid w:val="00BE4A0F"/>
    <w:rsid w:val="00BE4AE1"/>
    <w:rsid w:val="00BE4E81"/>
    <w:rsid w:val="00BE4F05"/>
    <w:rsid w:val="00BE50CD"/>
    <w:rsid w:val="00BE5BBD"/>
    <w:rsid w:val="00BE5CEF"/>
    <w:rsid w:val="00BE5EDD"/>
    <w:rsid w:val="00BE5F4E"/>
    <w:rsid w:val="00BE6095"/>
    <w:rsid w:val="00BE6099"/>
    <w:rsid w:val="00BE6B15"/>
    <w:rsid w:val="00BE709A"/>
    <w:rsid w:val="00BE7382"/>
    <w:rsid w:val="00BE7DEF"/>
    <w:rsid w:val="00BE7F96"/>
    <w:rsid w:val="00BF0275"/>
    <w:rsid w:val="00BF02F0"/>
    <w:rsid w:val="00BF0727"/>
    <w:rsid w:val="00BF08EF"/>
    <w:rsid w:val="00BF0E51"/>
    <w:rsid w:val="00BF1343"/>
    <w:rsid w:val="00BF1603"/>
    <w:rsid w:val="00BF1654"/>
    <w:rsid w:val="00BF1B9D"/>
    <w:rsid w:val="00BF268B"/>
    <w:rsid w:val="00BF28A7"/>
    <w:rsid w:val="00BF2B4F"/>
    <w:rsid w:val="00BF2E9B"/>
    <w:rsid w:val="00BF2F5B"/>
    <w:rsid w:val="00BF3077"/>
    <w:rsid w:val="00BF3D15"/>
    <w:rsid w:val="00BF4306"/>
    <w:rsid w:val="00BF436F"/>
    <w:rsid w:val="00BF4B4F"/>
    <w:rsid w:val="00BF4C81"/>
    <w:rsid w:val="00BF500F"/>
    <w:rsid w:val="00BF50CC"/>
    <w:rsid w:val="00BF52B7"/>
    <w:rsid w:val="00BF592B"/>
    <w:rsid w:val="00BF5931"/>
    <w:rsid w:val="00BF5968"/>
    <w:rsid w:val="00BF5B98"/>
    <w:rsid w:val="00BF634F"/>
    <w:rsid w:val="00BF6612"/>
    <w:rsid w:val="00BF6B5F"/>
    <w:rsid w:val="00BF6C1A"/>
    <w:rsid w:val="00BF7875"/>
    <w:rsid w:val="00BF7B0C"/>
    <w:rsid w:val="00C00B57"/>
    <w:rsid w:val="00C00EB1"/>
    <w:rsid w:val="00C00F27"/>
    <w:rsid w:val="00C0125E"/>
    <w:rsid w:val="00C013F0"/>
    <w:rsid w:val="00C01AD2"/>
    <w:rsid w:val="00C02158"/>
    <w:rsid w:val="00C03B5D"/>
    <w:rsid w:val="00C03D44"/>
    <w:rsid w:val="00C03FDF"/>
    <w:rsid w:val="00C05D17"/>
    <w:rsid w:val="00C06DC5"/>
    <w:rsid w:val="00C07110"/>
    <w:rsid w:val="00C071BC"/>
    <w:rsid w:val="00C07320"/>
    <w:rsid w:val="00C0797D"/>
    <w:rsid w:val="00C100B0"/>
    <w:rsid w:val="00C101F0"/>
    <w:rsid w:val="00C1032E"/>
    <w:rsid w:val="00C104C3"/>
    <w:rsid w:val="00C11158"/>
    <w:rsid w:val="00C114C7"/>
    <w:rsid w:val="00C11703"/>
    <w:rsid w:val="00C11856"/>
    <w:rsid w:val="00C12477"/>
    <w:rsid w:val="00C12BE4"/>
    <w:rsid w:val="00C12CBD"/>
    <w:rsid w:val="00C139E3"/>
    <w:rsid w:val="00C13C3F"/>
    <w:rsid w:val="00C14776"/>
    <w:rsid w:val="00C153DD"/>
    <w:rsid w:val="00C165E7"/>
    <w:rsid w:val="00C1665E"/>
    <w:rsid w:val="00C16B52"/>
    <w:rsid w:val="00C17839"/>
    <w:rsid w:val="00C201C8"/>
    <w:rsid w:val="00C20556"/>
    <w:rsid w:val="00C205A4"/>
    <w:rsid w:val="00C20859"/>
    <w:rsid w:val="00C210E3"/>
    <w:rsid w:val="00C21B81"/>
    <w:rsid w:val="00C220F7"/>
    <w:rsid w:val="00C221FF"/>
    <w:rsid w:val="00C222B1"/>
    <w:rsid w:val="00C226F1"/>
    <w:rsid w:val="00C228A1"/>
    <w:rsid w:val="00C22AB7"/>
    <w:rsid w:val="00C22DC6"/>
    <w:rsid w:val="00C230DB"/>
    <w:rsid w:val="00C24244"/>
    <w:rsid w:val="00C24FE1"/>
    <w:rsid w:val="00C25393"/>
    <w:rsid w:val="00C2553E"/>
    <w:rsid w:val="00C25B4D"/>
    <w:rsid w:val="00C25E14"/>
    <w:rsid w:val="00C2669B"/>
    <w:rsid w:val="00C2678B"/>
    <w:rsid w:val="00C26B82"/>
    <w:rsid w:val="00C26C3A"/>
    <w:rsid w:val="00C26F9E"/>
    <w:rsid w:val="00C26FC9"/>
    <w:rsid w:val="00C2734D"/>
    <w:rsid w:val="00C277BD"/>
    <w:rsid w:val="00C2784A"/>
    <w:rsid w:val="00C27E43"/>
    <w:rsid w:val="00C27FF1"/>
    <w:rsid w:val="00C30FBD"/>
    <w:rsid w:val="00C31DAF"/>
    <w:rsid w:val="00C3238B"/>
    <w:rsid w:val="00C33664"/>
    <w:rsid w:val="00C33AE1"/>
    <w:rsid w:val="00C33B32"/>
    <w:rsid w:val="00C33F48"/>
    <w:rsid w:val="00C34901"/>
    <w:rsid w:val="00C34D61"/>
    <w:rsid w:val="00C352DD"/>
    <w:rsid w:val="00C35500"/>
    <w:rsid w:val="00C3576A"/>
    <w:rsid w:val="00C35C49"/>
    <w:rsid w:val="00C35C96"/>
    <w:rsid w:val="00C35F59"/>
    <w:rsid w:val="00C366F2"/>
    <w:rsid w:val="00C36C5A"/>
    <w:rsid w:val="00C37203"/>
    <w:rsid w:val="00C374E9"/>
    <w:rsid w:val="00C40700"/>
    <w:rsid w:val="00C40B14"/>
    <w:rsid w:val="00C41779"/>
    <w:rsid w:val="00C41901"/>
    <w:rsid w:val="00C425D9"/>
    <w:rsid w:val="00C42C00"/>
    <w:rsid w:val="00C42CEA"/>
    <w:rsid w:val="00C42D8F"/>
    <w:rsid w:val="00C430A4"/>
    <w:rsid w:val="00C436C6"/>
    <w:rsid w:val="00C43F50"/>
    <w:rsid w:val="00C4425B"/>
    <w:rsid w:val="00C443B2"/>
    <w:rsid w:val="00C445E9"/>
    <w:rsid w:val="00C453C9"/>
    <w:rsid w:val="00C45A81"/>
    <w:rsid w:val="00C4635D"/>
    <w:rsid w:val="00C4640A"/>
    <w:rsid w:val="00C46BFF"/>
    <w:rsid w:val="00C477E6"/>
    <w:rsid w:val="00C47816"/>
    <w:rsid w:val="00C47E6A"/>
    <w:rsid w:val="00C500BB"/>
    <w:rsid w:val="00C50395"/>
    <w:rsid w:val="00C50816"/>
    <w:rsid w:val="00C50963"/>
    <w:rsid w:val="00C50C20"/>
    <w:rsid w:val="00C50C65"/>
    <w:rsid w:val="00C50EA8"/>
    <w:rsid w:val="00C50FD0"/>
    <w:rsid w:val="00C514B6"/>
    <w:rsid w:val="00C51790"/>
    <w:rsid w:val="00C52067"/>
    <w:rsid w:val="00C525A4"/>
    <w:rsid w:val="00C52CD7"/>
    <w:rsid w:val="00C52D53"/>
    <w:rsid w:val="00C52DF2"/>
    <w:rsid w:val="00C5323B"/>
    <w:rsid w:val="00C53B57"/>
    <w:rsid w:val="00C53FE4"/>
    <w:rsid w:val="00C54321"/>
    <w:rsid w:val="00C54A67"/>
    <w:rsid w:val="00C54A98"/>
    <w:rsid w:val="00C54FE1"/>
    <w:rsid w:val="00C5571A"/>
    <w:rsid w:val="00C55CE1"/>
    <w:rsid w:val="00C56263"/>
    <w:rsid w:val="00C56C56"/>
    <w:rsid w:val="00C56FEA"/>
    <w:rsid w:val="00C57001"/>
    <w:rsid w:val="00C57456"/>
    <w:rsid w:val="00C57459"/>
    <w:rsid w:val="00C574D8"/>
    <w:rsid w:val="00C576CC"/>
    <w:rsid w:val="00C57988"/>
    <w:rsid w:val="00C57ADF"/>
    <w:rsid w:val="00C57E16"/>
    <w:rsid w:val="00C60458"/>
    <w:rsid w:val="00C607D7"/>
    <w:rsid w:val="00C62BDE"/>
    <w:rsid w:val="00C6328E"/>
    <w:rsid w:val="00C63483"/>
    <w:rsid w:val="00C63500"/>
    <w:rsid w:val="00C63B17"/>
    <w:rsid w:val="00C63BAF"/>
    <w:rsid w:val="00C64301"/>
    <w:rsid w:val="00C64B20"/>
    <w:rsid w:val="00C6508E"/>
    <w:rsid w:val="00C6518B"/>
    <w:rsid w:val="00C65505"/>
    <w:rsid w:val="00C65820"/>
    <w:rsid w:val="00C66067"/>
    <w:rsid w:val="00C664F7"/>
    <w:rsid w:val="00C670A7"/>
    <w:rsid w:val="00C676C1"/>
    <w:rsid w:val="00C67970"/>
    <w:rsid w:val="00C67D6C"/>
    <w:rsid w:val="00C706BC"/>
    <w:rsid w:val="00C70883"/>
    <w:rsid w:val="00C708B0"/>
    <w:rsid w:val="00C71706"/>
    <w:rsid w:val="00C71886"/>
    <w:rsid w:val="00C71DF9"/>
    <w:rsid w:val="00C722C4"/>
    <w:rsid w:val="00C724A5"/>
    <w:rsid w:val="00C7332B"/>
    <w:rsid w:val="00C737CB"/>
    <w:rsid w:val="00C7394E"/>
    <w:rsid w:val="00C73A8C"/>
    <w:rsid w:val="00C7414A"/>
    <w:rsid w:val="00C74A84"/>
    <w:rsid w:val="00C754E4"/>
    <w:rsid w:val="00C75A02"/>
    <w:rsid w:val="00C75AFA"/>
    <w:rsid w:val="00C75C39"/>
    <w:rsid w:val="00C75CFD"/>
    <w:rsid w:val="00C76284"/>
    <w:rsid w:val="00C764FE"/>
    <w:rsid w:val="00C76679"/>
    <w:rsid w:val="00C7672A"/>
    <w:rsid w:val="00C76EA7"/>
    <w:rsid w:val="00C770A7"/>
    <w:rsid w:val="00C77A2A"/>
    <w:rsid w:val="00C77E65"/>
    <w:rsid w:val="00C77F7E"/>
    <w:rsid w:val="00C80ADF"/>
    <w:rsid w:val="00C81724"/>
    <w:rsid w:val="00C8186D"/>
    <w:rsid w:val="00C81899"/>
    <w:rsid w:val="00C81B0D"/>
    <w:rsid w:val="00C81FAF"/>
    <w:rsid w:val="00C82237"/>
    <w:rsid w:val="00C824C8"/>
    <w:rsid w:val="00C828BE"/>
    <w:rsid w:val="00C8294D"/>
    <w:rsid w:val="00C82AA2"/>
    <w:rsid w:val="00C82F16"/>
    <w:rsid w:val="00C839D9"/>
    <w:rsid w:val="00C83B0E"/>
    <w:rsid w:val="00C848D8"/>
    <w:rsid w:val="00C849D8"/>
    <w:rsid w:val="00C84BAC"/>
    <w:rsid w:val="00C84C17"/>
    <w:rsid w:val="00C84C43"/>
    <w:rsid w:val="00C84EEA"/>
    <w:rsid w:val="00C85DB1"/>
    <w:rsid w:val="00C85FF5"/>
    <w:rsid w:val="00C8604B"/>
    <w:rsid w:val="00C8644B"/>
    <w:rsid w:val="00C86A43"/>
    <w:rsid w:val="00C86ECE"/>
    <w:rsid w:val="00C86EEB"/>
    <w:rsid w:val="00C8712E"/>
    <w:rsid w:val="00C87605"/>
    <w:rsid w:val="00C8774C"/>
    <w:rsid w:val="00C878B3"/>
    <w:rsid w:val="00C9003E"/>
    <w:rsid w:val="00C9045B"/>
    <w:rsid w:val="00C90528"/>
    <w:rsid w:val="00C905B0"/>
    <w:rsid w:val="00C90DEE"/>
    <w:rsid w:val="00C91573"/>
    <w:rsid w:val="00C91AEE"/>
    <w:rsid w:val="00C92192"/>
    <w:rsid w:val="00C92915"/>
    <w:rsid w:val="00C92AF8"/>
    <w:rsid w:val="00C9300E"/>
    <w:rsid w:val="00C9301F"/>
    <w:rsid w:val="00C93815"/>
    <w:rsid w:val="00C93F8A"/>
    <w:rsid w:val="00C93FF2"/>
    <w:rsid w:val="00C942A0"/>
    <w:rsid w:val="00C942CB"/>
    <w:rsid w:val="00C94520"/>
    <w:rsid w:val="00C94E06"/>
    <w:rsid w:val="00C95743"/>
    <w:rsid w:val="00C95C75"/>
    <w:rsid w:val="00C96004"/>
    <w:rsid w:val="00C969BF"/>
    <w:rsid w:val="00C96A42"/>
    <w:rsid w:val="00C96FBB"/>
    <w:rsid w:val="00CA0023"/>
    <w:rsid w:val="00CA1450"/>
    <w:rsid w:val="00CA161D"/>
    <w:rsid w:val="00CA2093"/>
    <w:rsid w:val="00CA24B9"/>
    <w:rsid w:val="00CA2960"/>
    <w:rsid w:val="00CA2D08"/>
    <w:rsid w:val="00CA2E3C"/>
    <w:rsid w:val="00CA2F2B"/>
    <w:rsid w:val="00CA3C52"/>
    <w:rsid w:val="00CA3DDC"/>
    <w:rsid w:val="00CA3ECA"/>
    <w:rsid w:val="00CA3F67"/>
    <w:rsid w:val="00CA4170"/>
    <w:rsid w:val="00CA4840"/>
    <w:rsid w:val="00CA4F0B"/>
    <w:rsid w:val="00CA4FC6"/>
    <w:rsid w:val="00CA50FD"/>
    <w:rsid w:val="00CA5402"/>
    <w:rsid w:val="00CA55A3"/>
    <w:rsid w:val="00CA5C83"/>
    <w:rsid w:val="00CA656E"/>
    <w:rsid w:val="00CA6820"/>
    <w:rsid w:val="00CA771C"/>
    <w:rsid w:val="00CA78B4"/>
    <w:rsid w:val="00CA7A8C"/>
    <w:rsid w:val="00CB052F"/>
    <w:rsid w:val="00CB1CA9"/>
    <w:rsid w:val="00CB2719"/>
    <w:rsid w:val="00CB2C89"/>
    <w:rsid w:val="00CB31E8"/>
    <w:rsid w:val="00CB3351"/>
    <w:rsid w:val="00CB35F5"/>
    <w:rsid w:val="00CB3D98"/>
    <w:rsid w:val="00CB43D6"/>
    <w:rsid w:val="00CB476D"/>
    <w:rsid w:val="00CB4A97"/>
    <w:rsid w:val="00CB554C"/>
    <w:rsid w:val="00CB582E"/>
    <w:rsid w:val="00CB62A0"/>
    <w:rsid w:val="00CB6476"/>
    <w:rsid w:val="00CB6636"/>
    <w:rsid w:val="00CB692E"/>
    <w:rsid w:val="00CB6A43"/>
    <w:rsid w:val="00CB6A48"/>
    <w:rsid w:val="00CB7439"/>
    <w:rsid w:val="00CC0151"/>
    <w:rsid w:val="00CC01F7"/>
    <w:rsid w:val="00CC02C9"/>
    <w:rsid w:val="00CC0503"/>
    <w:rsid w:val="00CC0AEC"/>
    <w:rsid w:val="00CC13D6"/>
    <w:rsid w:val="00CC29D8"/>
    <w:rsid w:val="00CC2D06"/>
    <w:rsid w:val="00CC3363"/>
    <w:rsid w:val="00CC3A82"/>
    <w:rsid w:val="00CC44D0"/>
    <w:rsid w:val="00CC44FA"/>
    <w:rsid w:val="00CC456A"/>
    <w:rsid w:val="00CC469F"/>
    <w:rsid w:val="00CC4DBD"/>
    <w:rsid w:val="00CC4E62"/>
    <w:rsid w:val="00CC5039"/>
    <w:rsid w:val="00CC7849"/>
    <w:rsid w:val="00CD0602"/>
    <w:rsid w:val="00CD0642"/>
    <w:rsid w:val="00CD068C"/>
    <w:rsid w:val="00CD09CB"/>
    <w:rsid w:val="00CD0C4E"/>
    <w:rsid w:val="00CD1311"/>
    <w:rsid w:val="00CD1E50"/>
    <w:rsid w:val="00CD2155"/>
    <w:rsid w:val="00CD24EE"/>
    <w:rsid w:val="00CD253D"/>
    <w:rsid w:val="00CD2805"/>
    <w:rsid w:val="00CD3212"/>
    <w:rsid w:val="00CD3243"/>
    <w:rsid w:val="00CD3261"/>
    <w:rsid w:val="00CD32D9"/>
    <w:rsid w:val="00CD3879"/>
    <w:rsid w:val="00CD4B19"/>
    <w:rsid w:val="00CD4F15"/>
    <w:rsid w:val="00CD506B"/>
    <w:rsid w:val="00CD5AFB"/>
    <w:rsid w:val="00CD608D"/>
    <w:rsid w:val="00CD610C"/>
    <w:rsid w:val="00CD75F1"/>
    <w:rsid w:val="00CD7797"/>
    <w:rsid w:val="00CD7FE5"/>
    <w:rsid w:val="00CE072A"/>
    <w:rsid w:val="00CE0B54"/>
    <w:rsid w:val="00CE0B5A"/>
    <w:rsid w:val="00CE0F1D"/>
    <w:rsid w:val="00CE0FA8"/>
    <w:rsid w:val="00CE0FC2"/>
    <w:rsid w:val="00CE12FA"/>
    <w:rsid w:val="00CE17C9"/>
    <w:rsid w:val="00CE26A7"/>
    <w:rsid w:val="00CE2891"/>
    <w:rsid w:val="00CE2CB1"/>
    <w:rsid w:val="00CE2F63"/>
    <w:rsid w:val="00CE31B9"/>
    <w:rsid w:val="00CE3404"/>
    <w:rsid w:val="00CE4430"/>
    <w:rsid w:val="00CE466B"/>
    <w:rsid w:val="00CE4A3E"/>
    <w:rsid w:val="00CE580F"/>
    <w:rsid w:val="00CE6293"/>
    <w:rsid w:val="00CE651C"/>
    <w:rsid w:val="00CE6607"/>
    <w:rsid w:val="00CE667D"/>
    <w:rsid w:val="00CE6B98"/>
    <w:rsid w:val="00CE77A8"/>
    <w:rsid w:val="00CE79F6"/>
    <w:rsid w:val="00CE7C50"/>
    <w:rsid w:val="00CF0C3A"/>
    <w:rsid w:val="00CF0D88"/>
    <w:rsid w:val="00CF1051"/>
    <w:rsid w:val="00CF1117"/>
    <w:rsid w:val="00CF11C4"/>
    <w:rsid w:val="00CF14DA"/>
    <w:rsid w:val="00CF182C"/>
    <w:rsid w:val="00CF235B"/>
    <w:rsid w:val="00CF25D0"/>
    <w:rsid w:val="00CF29A2"/>
    <w:rsid w:val="00CF2A11"/>
    <w:rsid w:val="00CF34D9"/>
    <w:rsid w:val="00CF4436"/>
    <w:rsid w:val="00CF46D2"/>
    <w:rsid w:val="00CF500A"/>
    <w:rsid w:val="00CF5148"/>
    <w:rsid w:val="00CF52A1"/>
    <w:rsid w:val="00CF56A0"/>
    <w:rsid w:val="00CF5ACE"/>
    <w:rsid w:val="00CF6108"/>
    <w:rsid w:val="00CF67A0"/>
    <w:rsid w:val="00CF7435"/>
    <w:rsid w:val="00CF749D"/>
    <w:rsid w:val="00CF7DEA"/>
    <w:rsid w:val="00D004E5"/>
    <w:rsid w:val="00D01532"/>
    <w:rsid w:val="00D015F1"/>
    <w:rsid w:val="00D01CE3"/>
    <w:rsid w:val="00D01DCB"/>
    <w:rsid w:val="00D021E0"/>
    <w:rsid w:val="00D0229A"/>
    <w:rsid w:val="00D0234A"/>
    <w:rsid w:val="00D02465"/>
    <w:rsid w:val="00D02661"/>
    <w:rsid w:val="00D02C26"/>
    <w:rsid w:val="00D0331C"/>
    <w:rsid w:val="00D03698"/>
    <w:rsid w:val="00D036CD"/>
    <w:rsid w:val="00D0393C"/>
    <w:rsid w:val="00D03D2B"/>
    <w:rsid w:val="00D04941"/>
    <w:rsid w:val="00D04C50"/>
    <w:rsid w:val="00D04CDE"/>
    <w:rsid w:val="00D058C3"/>
    <w:rsid w:val="00D064EC"/>
    <w:rsid w:val="00D065E5"/>
    <w:rsid w:val="00D069AA"/>
    <w:rsid w:val="00D0792D"/>
    <w:rsid w:val="00D07E3B"/>
    <w:rsid w:val="00D102AA"/>
    <w:rsid w:val="00D102E7"/>
    <w:rsid w:val="00D106FC"/>
    <w:rsid w:val="00D10ADF"/>
    <w:rsid w:val="00D11047"/>
    <w:rsid w:val="00D13009"/>
    <w:rsid w:val="00D1360D"/>
    <w:rsid w:val="00D14F66"/>
    <w:rsid w:val="00D1515C"/>
    <w:rsid w:val="00D156F0"/>
    <w:rsid w:val="00D15771"/>
    <w:rsid w:val="00D159A6"/>
    <w:rsid w:val="00D159DB"/>
    <w:rsid w:val="00D15D5B"/>
    <w:rsid w:val="00D15E05"/>
    <w:rsid w:val="00D1625F"/>
    <w:rsid w:val="00D16536"/>
    <w:rsid w:val="00D166A0"/>
    <w:rsid w:val="00D16AFC"/>
    <w:rsid w:val="00D16D74"/>
    <w:rsid w:val="00D16E96"/>
    <w:rsid w:val="00D1740B"/>
    <w:rsid w:val="00D1795A"/>
    <w:rsid w:val="00D17D34"/>
    <w:rsid w:val="00D207EF"/>
    <w:rsid w:val="00D2128F"/>
    <w:rsid w:val="00D21B7C"/>
    <w:rsid w:val="00D22268"/>
    <w:rsid w:val="00D22952"/>
    <w:rsid w:val="00D22B62"/>
    <w:rsid w:val="00D2315C"/>
    <w:rsid w:val="00D233DA"/>
    <w:rsid w:val="00D23496"/>
    <w:rsid w:val="00D23684"/>
    <w:rsid w:val="00D23A89"/>
    <w:rsid w:val="00D23B50"/>
    <w:rsid w:val="00D23DEA"/>
    <w:rsid w:val="00D23F52"/>
    <w:rsid w:val="00D24131"/>
    <w:rsid w:val="00D24434"/>
    <w:rsid w:val="00D249FC"/>
    <w:rsid w:val="00D24DF3"/>
    <w:rsid w:val="00D24E08"/>
    <w:rsid w:val="00D2511A"/>
    <w:rsid w:val="00D2539C"/>
    <w:rsid w:val="00D2545D"/>
    <w:rsid w:val="00D2553D"/>
    <w:rsid w:val="00D25949"/>
    <w:rsid w:val="00D25FE1"/>
    <w:rsid w:val="00D27612"/>
    <w:rsid w:val="00D30190"/>
    <w:rsid w:val="00D30AC6"/>
    <w:rsid w:val="00D31BCD"/>
    <w:rsid w:val="00D31C4D"/>
    <w:rsid w:val="00D321DA"/>
    <w:rsid w:val="00D3228C"/>
    <w:rsid w:val="00D323AE"/>
    <w:rsid w:val="00D32860"/>
    <w:rsid w:val="00D330B4"/>
    <w:rsid w:val="00D33709"/>
    <w:rsid w:val="00D33EA7"/>
    <w:rsid w:val="00D33EAD"/>
    <w:rsid w:val="00D340E9"/>
    <w:rsid w:val="00D34191"/>
    <w:rsid w:val="00D341C6"/>
    <w:rsid w:val="00D3472B"/>
    <w:rsid w:val="00D35C5C"/>
    <w:rsid w:val="00D36876"/>
    <w:rsid w:val="00D36A20"/>
    <w:rsid w:val="00D36CD3"/>
    <w:rsid w:val="00D36D9C"/>
    <w:rsid w:val="00D37057"/>
    <w:rsid w:val="00D3711D"/>
    <w:rsid w:val="00D37404"/>
    <w:rsid w:val="00D40445"/>
    <w:rsid w:val="00D4053F"/>
    <w:rsid w:val="00D40C5D"/>
    <w:rsid w:val="00D40FEE"/>
    <w:rsid w:val="00D4102A"/>
    <w:rsid w:val="00D41751"/>
    <w:rsid w:val="00D41BEE"/>
    <w:rsid w:val="00D41F2E"/>
    <w:rsid w:val="00D422DE"/>
    <w:rsid w:val="00D42693"/>
    <w:rsid w:val="00D42DE9"/>
    <w:rsid w:val="00D430C3"/>
    <w:rsid w:val="00D43105"/>
    <w:rsid w:val="00D4346A"/>
    <w:rsid w:val="00D43A6A"/>
    <w:rsid w:val="00D43E4F"/>
    <w:rsid w:val="00D43F3F"/>
    <w:rsid w:val="00D44E7B"/>
    <w:rsid w:val="00D44F27"/>
    <w:rsid w:val="00D451C6"/>
    <w:rsid w:val="00D45961"/>
    <w:rsid w:val="00D45AA4"/>
    <w:rsid w:val="00D45D00"/>
    <w:rsid w:val="00D45F33"/>
    <w:rsid w:val="00D462E8"/>
    <w:rsid w:val="00D46F58"/>
    <w:rsid w:val="00D47719"/>
    <w:rsid w:val="00D478EB"/>
    <w:rsid w:val="00D4791F"/>
    <w:rsid w:val="00D47BEF"/>
    <w:rsid w:val="00D47D46"/>
    <w:rsid w:val="00D47DAB"/>
    <w:rsid w:val="00D50D42"/>
    <w:rsid w:val="00D50EF9"/>
    <w:rsid w:val="00D514DD"/>
    <w:rsid w:val="00D5159B"/>
    <w:rsid w:val="00D51624"/>
    <w:rsid w:val="00D51CFF"/>
    <w:rsid w:val="00D51DC7"/>
    <w:rsid w:val="00D52614"/>
    <w:rsid w:val="00D528CD"/>
    <w:rsid w:val="00D5305D"/>
    <w:rsid w:val="00D5322C"/>
    <w:rsid w:val="00D53311"/>
    <w:rsid w:val="00D53DEF"/>
    <w:rsid w:val="00D54529"/>
    <w:rsid w:val="00D54913"/>
    <w:rsid w:val="00D54A7A"/>
    <w:rsid w:val="00D54A83"/>
    <w:rsid w:val="00D54B86"/>
    <w:rsid w:val="00D54E5C"/>
    <w:rsid w:val="00D552CE"/>
    <w:rsid w:val="00D55EA0"/>
    <w:rsid w:val="00D56350"/>
    <w:rsid w:val="00D5659A"/>
    <w:rsid w:val="00D5672A"/>
    <w:rsid w:val="00D56906"/>
    <w:rsid w:val="00D56AC2"/>
    <w:rsid w:val="00D56BC6"/>
    <w:rsid w:val="00D56C5D"/>
    <w:rsid w:val="00D56D03"/>
    <w:rsid w:val="00D5702B"/>
    <w:rsid w:val="00D570E3"/>
    <w:rsid w:val="00D57258"/>
    <w:rsid w:val="00D57D47"/>
    <w:rsid w:val="00D604FE"/>
    <w:rsid w:val="00D60983"/>
    <w:rsid w:val="00D60C60"/>
    <w:rsid w:val="00D611E8"/>
    <w:rsid w:val="00D6155B"/>
    <w:rsid w:val="00D615E8"/>
    <w:rsid w:val="00D61601"/>
    <w:rsid w:val="00D61A12"/>
    <w:rsid w:val="00D61F10"/>
    <w:rsid w:val="00D6277E"/>
    <w:rsid w:val="00D627F0"/>
    <w:rsid w:val="00D62A23"/>
    <w:rsid w:val="00D62DD8"/>
    <w:rsid w:val="00D63415"/>
    <w:rsid w:val="00D63616"/>
    <w:rsid w:val="00D63D84"/>
    <w:rsid w:val="00D63E15"/>
    <w:rsid w:val="00D64276"/>
    <w:rsid w:val="00D6545F"/>
    <w:rsid w:val="00D6578C"/>
    <w:rsid w:val="00D6582A"/>
    <w:rsid w:val="00D6591A"/>
    <w:rsid w:val="00D659EA"/>
    <w:rsid w:val="00D65A7B"/>
    <w:rsid w:val="00D65B68"/>
    <w:rsid w:val="00D65BE7"/>
    <w:rsid w:val="00D65EF6"/>
    <w:rsid w:val="00D6610F"/>
    <w:rsid w:val="00D66C25"/>
    <w:rsid w:val="00D6753B"/>
    <w:rsid w:val="00D67581"/>
    <w:rsid w:val="00D70A23"/>
    <w:rsid w:val="00D70C9A"/>
    <w:rsid w:val="00D723A6"/>
    <w:rsid w:val="00D723BA"/>
    <w:rsid w:val="00D724CB"/>
    <w:rsid w:val="00D72D47"/>
    <w:rsid w:val="00D73176"/>
    <w:rsid w:val="00D73A01"/>
    <w:rsid w:val="00D74362"/>
    <w:rsid w:val="00D74D54"/>
    <w:rsid w:val="00D74D5D"/>
    <w:rsid w:val="00D753AF"/>
    <w:rsid w:val="00D75472"/>
    <w:rsid w:val="00D75939"/>
    <w:rsid w:val="00D75A2A"/>
    <w:rsid w:val="00D75C53"/>
    <w:rsid w:val="00D765BA"/>
    <w:rsid w:val="00D76DA5"/>
    <w:rsid w:val="00D76EC5"/>
    <w:rsid w:val="00D77176"/>
    <w:rsid w:val="00D7743D"/>
    <w:rsid w:val="00D77B76"/>
    <w:rsid w:val="00D77D10"/>
    <w:rsid w:val="00D807E3"/>
    <w:rsid w:val="00D81144"/>
    <w:rsid w:val="00D81418"/>
    <w:rsid w:val="00D815CE"/>
    <w:rsid w:val="00D81BA2"/>
    <w:rsid w:val="00D82359"/>
    <w:rsid w:val="00D82445"/>
    <w:rsid w:val="00D824FB"/>
    <w:rsid w:val="00D826FC"/>
    <w:rsid w:val="00D82A91"/>
    <w:rsid w:val="00D82BDC"/>
    <w:rsid w:val="00D82CE7"/>
    <w:rsid w:val="00D83876"/>
    <w:rsid w:val="00D83DD6"/>
    <w:rsid w:val="00D84883"/>
    <w:rsid w:val="00D84ACD"/>
    <w:rsid w:val="00D85C36"/>
    <w:rsid w:val="00D85C61"/>
    <w:rsid w:val="00D85E09"/>
    <w:rsid w:val="00D862FD"/>
    <w:rsid w:val="00D86636"/>
    <w:rsid w:val="00D86B9C"/>
    <w:rsid w:val="00D87365"/>
    <w:rsid w:val="00D87AAC"/>
    <w:rsid w:val="00D87FF3"/>
    <w:rsid w:val="00D9048A"/>
    <w:rsid w:val="00D90618"/>
    <w:rsid w:val="00D90EB9"/>
    <w:rsid w:val="00D91327"/>
    <w:rsid w:val="00D916DC"/>
    <w:rsid w:val="00D91F7D"/>
    <w:rsid w:val="00D9234B"/>
    <w:rsid w:val="00D92B79"/>
    <w:rsid w:val="00D93195"/>
    <w:rsid w:val="00D939E4"/>
    <w:rsid w:val="00D93E6D"/>
    <w:rsid w:val="00D9412B"/>
    <w:rsid w:val="00D94582"/>
    <w:rsid w:val="00D94A23"/>
    <w:rsid w:val="00D94D3A"/>
    <w:rsid w:val="00D94E90"/>
    <w:rsid w:val="00D94EDF"/>
    <w:rsid w:val="00D94EFA"/>
    <w:rsid w:val="00D94FC8"/>
    <w:rsid w:val="00D9527B"/>
    <w:rsid w:val="00D9546B"/>
    <w:rsid w:val="00D95601"/>
    <w:rsid w:val="00D95786"/>
    <w:rsid w:val="00D9581F"/>
    <w:rsid w:val="00D95AD4"/>
    <w:rsid w:val="00D95B8A"/>
    <w:rsid w:val="00D96831"/>
    <w:rsid w:val="00D96CFB"/>
    <w:rsid w:val="00D96F27"/>
    <w:rsid w:val="00D97036"/>
    <w:rsid w:val="00D972CC"/>
    <w:rsid w:val="00D9740A"/>
    <w:rsid w:val="00D9742E"/>
    <w:rsid w:val="00D97B0F"/>
    <w:rsid w:val="00D97E1B"/>
    <w:rsid w:val="00DA011F"/>
    <w:rsid w:val="00DA0FDC"/>
    <w:rsid w:val="00DA1421"/>
    <w:rsid w:val="00DA1782"/>
    <w:rsid w:val="00DA1B61"/>
    <w:rsid w:val="00DA21DA"/>
    <w:rsid w:val="00DA2369"/>
    <w:rsid w:val="00DA23E7"/>
    <w:rsid w:val="00DA23FA"/>
    <w:rsid w:val="00DA2B0A"/>
    <w:rsid w:val="00DA2F06"/>
    <w:rsid w:val="00DA348A"/>
    <w:rsid w:val="00DA348D"/>
    <w:rsid w:val="00DA3EC0"/>
    <w:rsid w:val="00DA42B2"/>
    <w:rsid w:val="00DA47E4"/>
    <w:rsid w:val="00DA4DFD"/>
    <w:rsid w:val="00DA4F29"/>
    <w:rsid w:val="00DA5838"/>
    <w:rsid w:val="00DA5EF8"/>
    <w:rsid w:val="00DA64EA"/>
    <w:rsid w:val="00DA6E30"/>
    <w:rsid w:val="00DA6FAA"/>
    <w:rsid w:val="00DA76B9"/>
    <w:rsid w:val="00DA7BA0"/>
    <w:rsid w:val="00DA7D5A"/>
    <w:rsid w:val="00DA7D63"/>
    <w:rsid w:val="00DB0377"/>
    <w:rsid w:val="00DB0F08"/>
    <w:rsid w:val="00DB1FED"/>
    <w:rsid w:val="00DB2D41"/>
    <w:rsid w:val="00DB2E15"/>
    <w:rsid w:val="00DB2F4E"/>
    <w:rsid w:val="00DB3D46"/>
    <w:rsid w:val="00DB3FB8"/>
    <w:rsid w:val="00DB4F19"/>
    <w:rsid w:val="00DB5103"/>
    <w:rsid w:val="00DB5153"/>
    <w:rsid w:val="00DB52D6"/>
    <w:rsid w:val="00DB54CD"/>
    <w:rsid w:val="00DB57F8"/>
    <w:rsid w:val="00DB61B3"/>
    <w:rsid w:val="00DB6241"/>
    <w:rsid w:val="00DB6724"/>
    <w:rsid w:val="00DB683C"/>
    <w:rsid w:val="00DB7375"/>
    <w:rsid w:val="00DB76B4"/>
    <w:rsid w:val="00DB76C7"/>
    <w:rsid w:val="00DB77FB"/>
    <w:rsid w:val="00DC052A"/>
    <w:rsid w:val="00DC0FA5"/>
    <w:rsid w:val="00DC1BF1"/>
    <w:rsid w:val="00DC1C0C"/>
    <w:rsid w:val="00DC1D8C"/>
    <w:rsid w:val="00DC249B"/>
    <w:rsid w:val="00DC28AD"/>
    <w:rsid w:val="00DC29D5"/>
    <w:rsid w:val="00DC3885"/>
    <w:rsid w:val="00DC3A8C"/>
    <w:rsid w:val="00DC4467"/>
    <w:rsid w:val="00DC44EB"/>
    <w:rsid w:val="00DC461D"/>
    <w:rsid w:val="00DC4E6D"/>
    <w:rsid w:val="00DC50B5"/>
    <w:rsid w:val="00DC5158"/>
    <w:rsid w:val="00DC589D"/>
    <w:rsid w:val="00DC5D4C"/>
    <w:rsid w:val="00DC5EB0"/>
    <w:rsid w:val="00DC72C2"/>
    <w:rsid w:val="00DC7D41"/>
    <w:rsid w:val="00DC7FAF"/>
    <w:rsid w:val="00DD0046"/>
    <w:rsid w:val="00DD0299"/>
    <w:rsid w:val="00DD07F2"/>
    <w:rsid w:val="00DD085C"/>
    <w:rsid w:val="00DD096A"/>
    <w:rsid w:val="00DD15A1"/>
    <w:rsid w:val="00DD1616"/>
    <w:rsid w:val="00DD1C86"/>
    <w:rsid w:val="00DD1D79"/>
    <w:rsid w:val="00DD216E"/>
    <w:rsid w:val="00DD23D1"/>
    <w:rsid w:val="00DD293E"/>
    <w:rsid w:val="00DD33AB"/>
    <w:rsid w:val="00DD3B7D"/>
    <w:rsid w:val="00DD3EA7"/>
    <w:rsid w:val="00DD4A3F"/>
    <w:rsid w:val="00DD53E8"/>
    <w:rsid w:val="00DD56B0"/>
    <w:rsid w:val="00DD66B9"/>
    <w:rsid w:val="00DD6955"/>
    <w:rsid w:val="00DD6F2B"/>
    <w:rsid w:val="00DD78F2"/>
    <w:rsid w:val="00DE0293"/>
    <w:rsid w:val="00DE0D5E"/>
    <w:rsid w:val="00DE0EA8"/>
    <w:rsid w:val="00DE0F07"/>
    <w:rsid w:val="00DE17E2"/>
    <w:rsid w:val="00DE1B37"/>
    <w:rsid w:val="00DE245E"/>
    <w:rsid w:val="00DE25E1"/>
    <w:rsid w:val="00DE31BE"/>
    <w:rsid w:val="00DE3AEC"/>
    <w:rsid w:val="00DE3D58"/>
    <w:rsid w:val="00DE4950"/>
    <w:rsid w:val="00DE4DF2"/>
    <w:rsid w:val="00DE4E2E"/>
    <w:rsid w:val="00DE5113"/>
    <w:rsid w:val="00DE5B13"/>
    <w:rsid w:val="00DE5D2E"/>
    <w:rsid w:val="00DE63A1"/>
    <w:rsid w:val="00DE6B99"/>
    <w:rsid w:val="00DE779F"/>
    <w:rsid w:val="00DF027C"/>
    <w:rsid w:val="00DF0511"/>
    <w:rsid w:val="00DF0548"/>
    <w:rsid w:val="00DF05B6"/>
    <w:rsid w:val="00DF06A9"/>
    <w:rsid w:val="00DF0878"/>
    <w:rsid w:val="00DF0D9A"/>
    <w:rsid w:val="00DF0E06"/>
    <w:rsid w:val="00DF0E2F"/>
    <w:rsid w:val="00DF11C0"/>
    <w:rsid w:val="00DF15E6"/>
    <w:rsid w:val="00DF1ECB"/>
    <w:rsid w:val="00DF2D1E"/>
    <w:rsid w:val="00DF35F1"/>
    <w:rsid w:val="00DF369E"/>
    <w:rsid w:val="00DF39AE"/>
    <w:rsid w:val="00DF4010"/>
    <w:rsid w:val="00DF40BC"/>
    <w:rsid w:val="00DF42BC"/>
    <w:rsid w:val="00DF4631"/>
    <w:rsid w:val="00DF4748"/>
    <w:rsid w:val="00DF4C34"/>
    <w:rsid w:val="00DF4E0C"/>
    <w:rsid w:val="00DF5307"/>
    <w:rsid w:val="00DF5B8D"/>
    <w:rsid w:val="00DF66E9"/>
    <w:rsid w:val="00DF69C4"/>
    <w:rsid w:val="00DF75D1"/>
    <w:rsid w:val="00DF7EE1"/>
    <w:rsid w:val="00E00255"/>
    <w:rsid w:val="00E00A28"/>
    <w:rsid w:val="00E00DA8"/>
    <w:rsid w:val="00E00FE8"/>
    <w:rsid w:val="00E0105B"/>
    <w:rsid w:val="00E01078"/>
    <w:rsid w:val="00E01580"/>
    <w:rsid w:val="00E01C7F"/>
    <w:rsid w:val="00E01D42"/>
    <w:rsid w:val="00E01DCD"/>
    <w:rsid w:val="00E02599"/>
    <w:rsid w:val="00E02B60"/>
    <w:rsid w:val="00E0302C"/>
    <w:rsid w:val="00E034BE"/>
    <w:rsid w:val="00E0366E"/>
    <w:rsid w:val="00E04435"/>
    <w:rsid w:val="00E04492"/>
    <w:rsid w:val="00E044F8"/>
    <w:rsid w:val="00E049EE"/>
    <w:rsid w:val="00E04E39"/>
    <w:rsid w:val="00E0543E"/>
    <w:rsid w:val="00E0572A"/>
    <w:rsid w:val="00E05DCB"/>
    <w:rsid w:val="00E063C5"/>
    <w:rsid w:val="00E07420"/>
    <w:rsid w:val="00E07A15"/>
    <w:rsid w:val="00E102DA"/>
    <w:rsid w:val="00E108CC"/>
    <w:rsid w:val="00E1193B"/>
    <w:rsid w:val="00E11A8C"/>
    <w:rsid w:val="00E11B59"/>
    <w:rsid w:val="00E127FF"/>
    <w:rsid w:val="00E12924"/>
    <w:rsid w:val="00E12ABA"/>
    <w:rsid w:val="00E12CD7"/>
    <w:rsid w:val="00E13621"/>
    <w:rsid w:val="00E13857"/>
    <w:rsid w:val="00E13D25"/>
    <w:rsid w:val="00E140B3"/>
    <w:rsid w:val="00E14114"/>
    <w:rsid w:val="00E142CA"/>
    <w:rsid w:val="00E14538"/>
    <w:rsid w:val="00E14649"/>
    <w:rsid w:val="00E14847"/>
    <w:rsid w:val="00E154BE"/>
    <w:rsid w:val="00E154CE"/>
    <w:rsid w:val="00E1572E"/>
    <w:rsid w:val="00E16158"/>
    <w:rsid w:val="00E162A6"/>
    <w:rsid w:val="00E17ACA"/>
    <w:rsid w:val="00E202F2"/>
    <w:rsid w:val="00E20CFB"/>
    <w:rsid w:val="00E20F96"/>
    <w:rsid w:val="00E20FA9"/>
    <w:rsid w:val="00E21C74"/>
    <w:rsid w:val="00E21E6A"/>
    <w:rsid w:val="00E224A9"/>
    <w:rsid w:val="00E22C62"/>
    <w:rsid w:val="00E22E39"/>
    <w:rsid w:val="00E2301B"/>
    <w:rsid w:val="00E240D9"/>
    <w:rsid w:val="00E25418"/>
    <w:rsid w:val="00E258C5"/>
    <w:rsid w:val="00E2613B"/>
    <w:rsid w:val="00E26C18"/>
    <w:rsid w:val="00E26FC3"/>
    <w:rsid w:val="00E270B4"/>
    <w:rsid w:val="00E279B7"/>
    <w:rsid w:val="00E31160"/>
    <w:rsid w:val="00E319B7"/>
    <w:rsid w:val="00E31C28"/>
    <w:rsid w:val="00E31FEC"/>
    <w:rsid w:val="00E327C1"/>
    <w:rsid w:val="00E328CE"/>
    <w:rsid w:val="00E32B0B"/>
    <w:rsid w:val="00E32CD0"/>
    <w:rsid w:val="00E32D0B"/>
    <w:rsid w:val="00E33198"/>
    <w:rsid w:val="00E33B90"/>
    <w:rsid w:val="00E33C8D"/>
    <w:rsid w:val="00E34395"/>
    <w:rsid w:val="00E34833"/>
    <w:rsid w:val="00E34B88"/>
    <w:rsid w:val="00E34E41"/>
    <w:rsid w:val="00E35121"/>
    <w:rsid w:val="00E351F3"/>
    <w:rsid w:val="00E354C7"/>
    <w:rsid w:val="00E354D4"/>
    <w:rsid w:val="00E35728"/>
    <w:rsid w:val="00E35748"/>
    <w:rsid w:val="00E35EC5"/>
    <w:rsid w:val="00E363A1"/>
    <w:rsid w:val="00E36C12"/>
    <w:rsid w:val="00E37320"/>
    <w:rsid w:val="00E37722"/>
    <w:rsid w:val="00E379D0"/>
    <w:rsid w:val="00E401CA"/>
    <w:rsid w:val="00E40700"/>
    <w:rsid w:val="00E40C85"/>
    <w:rsid w:val="00E40E53"/>
    <w:rsid w:val="00E40FC8"/>
    <w:rsid w:val="00E417B7"/>
    <w:rsid w:val="00E41D46"/>
    <w:rsid w:val="00E422CF"/>
    <w:rsid w:val="00E42FC6"/>
    <w:rsid w:val="00E430EB"/>
    <w:rsid w:val="00E43394"/>
    <w:rsid w:val="00E43828"/>
    <w:rsid w:val="00E43EC2"/>
    <w:rsid w:val="00E441CE"/>
    <w:rsid w:val="00E45458"/>
    <w:rsid w:val="00E45824"/>
    <w:rsid w:val="00E45BF6"/>
    <w:rsid w:val="00E46685"/>
    <w:rsid w:val="00E47189"/>
    <w:rsid w:val="00E4785A"/>
    <w:rsid w:val="00E47ACB"/>
    <w:rsid w:val="00E47D4F"/>
    <w:rsid w:val="00E47F5F"/>
    <w:rsid w:val="00E50220"/>
    <w:rsid w:val="00E509F3"/>
    <w:rsid w:val="00E50FDD"/>
    <w:rsid w:val="00E522A3"/>
    <w:rsid w:val="00E523BB"/>
    <w:rsid w:val="00E52AA2"/>
    <w:rsid w:val="00E53AAF"/>
    <w:rsid w:val="00E53E74"/>
    <w:rsid w:val="00E545C0"/>
    <w:rsid w:val="00E54606"/>
    <w:rsid w:val="00E55119"/>
    <w:rsid w:val="00E551E8"/>
    <w:rsid w:val="00E558A4"/>
    <w:rsid w:val="00E5607F"/>
    <w:rsid w:val="00E560CF"/>
    <w:rsid w:val="00E564CB"/>
    <w:rsid w:val="00E56F63"/>
    <w:rsid w:val="00E57185"/>
    <w:rsid w:val="00E5782A"/>
    <w:rsid w:val="00E57BCF"/>
    <w:rsid w:val="00E57C5B"/>
    <w:rsid w:val="00E601A6"/>
    <w:rsid w:val="00E60257"/>
    <w:rsid w:val="00E6025A"/>
    <w:rsid w:val="00E6069E"/>
    <w:rsid w:val="00E60D99"/>
    <w:rsid w:val="00E60F45"/>
    <w:rsid w:val="00E6193B"/>
    <w:rsid w:val="00E619C1"/>
    <w:rsid w:val="00E61AED"/>
    <w:rsid w:val="00E61F41"/>
    <w:rsid w:val="00E628EF"/>
    <w:rsid w:val="00E62E1C"/>
    <w:rsid w:val="00E6385D"/>
    <w:rsid w:val="00E63D89"/>
    <w:rsid w:val="00E63F2D"/>
    <w:rsid w:val="00E643E1"/>
    <w:rsid w:val="00E645D0"/>
    <w:rsid w:val="00E6463F"/>
    <w:rsid w:val="00E648C0"/>
    <w:rsid w:val="00E651F3"/>
    <w:rsid w:val="00E655B3"/>
    <w:rsid w:val="00E65B63"/>
    <w:rsid w:val="00E65D76"/>
    <w:rsid w:val="00E6635D"/>
    <w:rsid w:val="00E663F3"/>
    <w:rsid w:val="00E666D2"/>
    <w:rsid w:val="00E6674D"/>
    <w:rsid w:val="00E6680E"/>
    <w:rsid w:val="00E66A53"/>
    <w:rsid w:val="00E670E1"/>
    <w:rsid w:val="00E67604"/>
    <w:rsid w:val="00E67B86"/>
    <w:rsid w:val="00E701F1"/>
    <w:rsid w:val="00E70220"/>
    <w:rsid w:val="00E704A3"/>
    <w:rsid w:val="00E70B39"/>
    <w:rsid w:val="00E70C3B"/>
    <w:rsid w:val="00E71462"/>
    <w:rsid w:val="00E714D5"/>
    <w:rsid w:val="00E717BF"/>
    <w:rsid w:val="00E71823"/>
    <w:rsid w:val="00E71ED6"/>
    <w:rsid w:val="00E71F03"/>
    <w:rsid w:val="00E723F9"/>
    <w:rsid w:val="00E726FA"/>
    <w:rsid w:val="00E72C1E"/>
    <w:rsid w:val="00E739DD"/>
    <w:rsid w:val="00E73C09"/>
    <w:rsid w:val="00E73DE5"/>
    <w:rsid w:val="00E7477C"/>
    <w:rsid w:val="00E74B9D"/>
    <w:rsid w:val="00E757A4"/>
    <w:rsid w:val="00E7599F"/>
    <w:rsid w:val="00E759AB"/>
    <w:rsid w:val="00E75C70"/>
    <w:rsid w:val="00E75D96"/>
    <w:rsid w:val="00E767D6"/>
    <w:rsid w:val="00E7719D"/>
    <w:rsid w:val="00E804DF"/>
    <w:rsid w:val="00E807EF"/>
    <w:rsid w:val="00E80A0D"/>
    <w:rsid w:val="00E81375"/>
    <w:rsid w:val="00E81CF5"/>
    <w:rsid w:val="00E82494"/>
    <w:rsid w:val="00E82AE6"/>
    <w:rsid w:val="00E8309C"/>
    <w:rsid w:val="00E83195"/>
    <w:rsid w:val="00E83878"/>
    <w:rsid w:val="00E83F98"/>
    <w:rsid w:val="00E84310"/>
    <w:rsid w:val="00E84731"/>
    <w:rsid w:val="00E84F37"/>
    <w:rsid w:val="00E85A66"/>
    <w:rsid w:val="00E85A73"/>
    <w:rsid w:val="00E85C56"/>
    <w:rsid w:val="00E86A0C"/>
    <w:rsid w:val="00E8764A"/>
    <w:rsid w:val="00E87BD4"/>
    <w:rsid w:val="00E87EE9"/>
    <w:rsid w:val="00E91003"/>
    <w:rsid w:val="00E9106D"/>
    <w:rsid w:val="00E91451"/>
    <w:rsid w:val="00E914ED"/>
    <w:rsid w:val="00E923B8"/>
    <w:rsid w:val="00E9299D"/>
    <w:rsid w:val="00E929CA"/>
    <w:rsid w:val="00E92B3A"/>
    <w:rsid w:val="00E92BE0"/>
    <w:rsid w:val="00E9416D"/>
    <w:rsid w:val="00E949D4"/>
    <w:rsid w:val="00E94CC8"/>
    <w:rsid w:val="00E9539D"/>
    <w:rsid w:val="00E9560B"/>
    <w:rsid w:val="00E95F15"/>
    <w:rsid w:val="00E95F60"/>
    <w:rsid w:val="00E96778"/>
    <w:rsid w:val="00E96841"/>
    <w:rsid w:val="00E96BA5"/>
    <w:rsid w:val="00E96D41"/>
    <w:rsid w:val="00E96F11"/>
    <w:rsid w:val="00E973A4"/>
    <w:rsid w:val="00E97F33"/>
    <w:rsid w:val="00EA000D"/>
    <w:rsid w:val="00EA0243"/>
    <w:rsid w:val="00EA0E51"/>
    <w:rsid w:val="00EA0EEB"/>
    <w:rsid w:val="00EA1BA0"/>
    <w:rsid w:val="00EA1FA5"/>
    <w:rsid w:val="00EA215E"/>
    <w:rsid w:val="00EA24B4"/>
    <w:rsid w:val="00EA2814"/>
    <w:rsid w:val="00EA2A20"/>
    <w:rsid w:val="00EA304D"/>
    <w:rsid w:val="00EA36E6"/>
    <w:rsid w:val="00EA3FB9"/>
    <w:rsid w:val="00EA4581"/>
    <w:rsid w:val="00EA4936"/>
    <w:rsid w:val="00EA499E"/>
    <w:rsid w:val="00EA538E"/>
    <w:rsid w:val="00EA53BC"/>
    <w:rsid w:val="00EA5DCB"/>
    <w:rsid w:val="00EA5DE4"/>
    <w:rsid w:val="00EA5E29"/>
    <w:rsid w:val="00EA6676"/>
    <w:rsid w:val="00EA69D5"/>
    <w:rsid w:val="00EA6AD6"/>
    <w:rsid w:val="00EB0346"/>
    <w:rsid w:val="00EB13C0"/>
    <w:rsid w:val="00EB226C"/>
    <w:rsid w:val="00EB2D67"/>
    <w:rsid w:val="00EB2F8E"/>
    <w:rsid w:val="00EB2FED"/>
    <w:rsid w:val="00EB3D63"/>
    <w:rsid w:val="00EB4C9A"/>
    <w:rsid w:val="00EB55DF"/>
    <w:rsid w:val="00EB5AC1"/>
    <w:rsid w:val="00EB5D35"/>
    <w:rsid w:val="00EB64E7"/>
    <w:rsid w:val="00EB6E4C"/>
    <w:rsid w:val="00EB72FF"/>
    <w:rsid w:val="00EB7454"/>
    <w:rsid w:val="00EB75FD"/>
    <w:rsid w:val="00EB78B6"/>
    <w:rsid w:val="00EB7E23"/>
    <w:rsid w:val="00EC0476"/>
    <w:rsid w:val="00EC08ED"/>
    <w:rsid w:val="00EC1F97"/>
    <w:rsid w:val="00EC2720"/>
    <w:rsid w:val="00EC2BE6"/>
    <w:rsid w:val="00EC2E43"/>
    <w:rsid w:val="00EC31F7"/>
    <w:rsid w:val="00EC357B"/>
    <w:rsid w:val="00EC3DB4"/>
    <w:rsid w:val="00EC41AC"/>
    <w:rsid w:val="00EC4776"/>
    <w:rsid w:val="00EC555B"/>
    <w:rsid w:val="00EC58F5"/>
    <w:rsid w:val="00EC5BD8"/>
    <w:rsid w:val="00EC5E5F"/>
    <w:rsid w:val="00EC5F23"/>
    <w:rsid w:val="00EC637D"/>
    <w:rsid w:val="00EC68B7"/>
    <w:rsid w:val="00EC73C9"/>
    <w:rsid w:val="00EC7B4D"/>
    <w:rsid w:val="00EC7D7C"/>
    <w:rsid w:val="00ED1286"/>
    <w:rsid w:val="00ED1564"/>
    <w:rsid w:val="00ED253B"/>
    <w:rsid w:val="00ED28B8"/>
    <w:rsid w:val="00ED2CE2"/>
    <w:rsid w:val="00ED2F1E"/>
    <w:rsid w:val="00ED38F5"/>
    <w:rsid w:val="00ED3ED7"/>
    <w:rsid w:val="00ED436A"/>
    <w:rsid w:val="00ED48B7"/>
    <w:rsid w:val="00ED4AE3"/>
    <w:rsid w:val="00ED4B85"/>
    <w:rsid w:val="00ED4E46"/>
    <w:rsid w:val="00ED4ED2"/>
    <w:rsid w:val="00ED4ED4"/>
    <w:rsid w:val="00ED51FA"/>
    <w:rsid w:val="00ED59B8"/>
    <w:rsid w:val="00ED5C7F"/>
    <w:rsid w:val="00ED5D33"/>
    <w:rsid w:val="00ED6A32"/>
    <w:rsid w:val="00ED70FA"/>
    <w:rsid w:val="00ED72AC"/>
    <w:rsid w:val="00ED7411"/>
    <w:rsid w:val="00EE0417"/>
    <w:rsid w:val="00EE0B2D"/>
    <w:rsid w:val="00EE1237"/>
    <w:rsid w:val="00EE2634"/>
    <w:rsid w:val="00EE274B"/>
    <w:rsid w:val="00EE28CA"/>
    <w:rsid w:val="00EE2A8C"/>
    <w:rsid w:val="00EE31F1"/>
    <w:rsid w:val="00EE3549"/>
    <w:rsid w:val="00EE35CD"/>
    <w:rsid w:val="00EE35E0"/>
    <w:rsid w:val="00EE3982"/>
    <w:rsid w:val="00EE4BAF"/>
    <w:rsid w:val="00EE6D45"/>
    <w:rsid w:val="00EE6DBD"/>
    <w:rsid w:val="00EE6DFF"/>
    <w:rsid w:val="00EE70E9"/>
    <w:rsid w:val="00EE794D"/>
    <w:rsid w:val="00EF0D83"/>
    <w:rsid w:val="00EF1126"/>
    <w:rsid w:val="00EF2299"/>
    <w:rsid w:val="00EF3072"/>
    <w:rsid w:val="00EF30A6"/>
    <w:rsid w:val="00EF32F2"/>
    <w:rsid w:val="00EF37C5"/>
    <w:rsid w:val="00EF3B3B"/>
    <w:rsid w:val="00EF40B1"/>
    <w:rsid w:val="00EF416F"/>
    <w:rsid w:val="00EF4F44"/>
    <w:rsid w:val="00EF5A4B"/>
    <w:rsid w:val="00EF5A7C"/>
    <w:rsid w:val="00EF5D4A"/>
    <w:rsid w:val="00EF6245"/>
    <w:rsid w:val="00EF68FF"/>
    <w:rsid w:val="00EF6B91"/>
    <w:rsid w:val="00EF7147"/>
    <w:rsid w:val="00EF7349"/>
    <w:rsid w:val="00EF742D"/>
    <w:rsid w:val="00EF7531"/>
    <w:rsid w:val="00EF7628"/>
    <w:rsid w:val="00EF7A9D"/>
    <w:rsid w:val="00EF7B62"/>
    <w:rsid w:val="00F00044"/>
    <w:rsid w:val="00F0076F"/>
    <w:rsid w:val="00F007AD"/>
    <w:rsid w:val="00F00C18"/>
    <w:rsid w:val="00F01007"/>
    <w:rsid w:val="00F01054"/>
    <w:rsid w:val="00F01953"/>
    <w:rsid w:val="00F02838"/>
    <w:rsid w:val="00F031D6"/>
    <w:rsid w:val="00F03FF1"/>
    <w:rsid w:val="00F06563"/>
    <w:rsid w:val="00F06BE5"/>
    <w:rsid w:val="00F06E22"/>
    <w:rsid w:val="00F07269"/>
    <w:rsid w:val="00F1107B"/>
    <w:rsid w:val="00F11508"/>
    <w:rsid w:val="00F11DFF"/>
    <w:rsid w:val="00F12034"/>
    <w:rsid w:val="00F12E78"/>
    <w:rsid w:val="00F131AB"/>
    <w:rsid w:val="00F13229"/>
    <w:rsid w:val="00F1322C"/>
    <w:rsid w:val="00F132D9"/>
    <w:rsid w:val="00F13F60"/>
    <w:rsid w:val="00F13F72"/>
    <w:rsid w:val="00F14242"/>
    <w:rsid w:val="00F14D27"/>
    <w:rsid w:val="00F15944"/>
    <w:rsid w:val="00F161A0"/>
    <w:rsid w:val="00F17000"/>
    <w:rsid w:val="00F17550"/>
    <w:rsid w:val="00F17750"/>
    <w:rsid w:val="00F177FD"/>
    <w:rsid w:val="00F17907"/>
    <w:rsid w:val="00F17E4E"/>
    <w:rsid w:val="00F21D46"/>
    <w:rsid w:val="00F22CC5"/>
    <w:rsid w:val="00F230B9"/>
    <w:rsid w:val="00F23496"/>
    <w:rsid w:val="00F23528"/>
    <w:rsid w:val="00F23934"/>
    <w:rsid w:val="00F23ABF"/>
    <w:rsid w:val="00F23B29"/>
    <w:rsid w:val="00F23DD6"/>
    <w:rsid w:val="00F244D2"/>
    <w:rsid w:val="00F246D7"/>
    <w:rsid w:val="00F24734"/>
    <w:rsid w:val="00F24E16"/>
    <w:rsid w:val="00F24EC1"/>
    <w:rsid w:val="00F25931"/>
    <w:rsid w:val="00F25BDE"/>
    <w:rsid w:val="00F268EA"/>
    <w:rsid w:val="00F27259"/>
    <w:rsid w:val="00F2725F"/>
    <w:rsid w:val="00F275A6"/>
    <w:rsid w:val="00F277C3"/>
    <w:rsid w:val="00F27A04"/>
    <w:rsid w:val="00F27D87"/>
    <w:rsid w:val="00F27F2B"/>
    <w:rsid w:val="00F3061B"/>
    <w:rsid w:val="00F3061D"/>
    <w:rsid w:val="00F316D2"/>
    <w:rsid w:val="00F3192D"/>
    <w:rsid w:val="00F31A27"/>
    <w:rsid w:val="00F31B5F"/>
    <w:rsid w:val="00F32131"/>
    <w:rsid w:val="00F32636"/>
    <w:rsid w:val="00F327C9"/>
    <w:rsid w:val="00F32828"/>
    <w:rsid w:val="00F32E11"/>
    <w:rsid w:val="00F332A4"/>
    <w:rsid w:val="00F33547"/>
    <w:rsid w:val="00F3466B"/>
    <w:rsid w:val="00F34731"/>
    <w:rsid w:val="00F35792"/>
    <w:rsid w:val="00F35BDD"/>
    <w:rsid w:val="00F35E29"/>
    <w:rsid w:val="00F36188"/>
    <w:rsid w:val="00F36C43"/>
    <w:rsid w:val="00F36F3A"/>
    <w:rsid w:val="00F371D9"/>
    <w:rsid w:val="00F37435"/>
    <w:rsid w:val="00F374E5"/>
    <w:rsid w:val="00F37FCA"/>
    <w:rsid w:val="00F40838"/>
    <w:rsid w:val="00F409A4"/>
    <w:rsid w:val="00F40B5E"/>
    <w:rsid w:val="00F411AE"/>
    <w:rsid w:val="00F419F6"/>
    <w:rsid w:val="00F420D9"/>
    <w:rsid w:val="00F435C7"/>
    <w:rsid w:val="00F43A08"/>
    <w:rsid w:val="00F4440B"/>
    <w:rsid w:val="00F444CB"/>
    <w:rsid w:val="00F445C2"/>
    <w:rsid w:val="00F44F0A"/>
    <w:rsid w:val="00F45FBA"/>
    <w:rsid w:val="00F46094"/>
    <w:rsid w:val="00F465FB"/>
    <w:rsid w:val="00F4670D"/>
    <w:rsid w:val="00F46828"/>
    <w:rsid w:val="00F46940"/>
    <w:rsid w:val="00F46DD8"/>
    <w:rsid w:val="00F46F8E"/>
    <w:rsid w:val="00F475B8"/>
    <w:rsid w:val="00F47D51"/>
    <w:rsid w:val="00F5051D"/>
    <w:rsid w:val="00F50F96"/>
    <w:rsid w:val="00F519C5"/>
    <w:rsid w:val="00F51A59"/>
    <w:rsid w:val="00F51BCA"/>
    <w:rsid w:val="00F51EC6"/>
    <w:rsid w:val="00F52375"/>
    <w:rsid w:val="00F52BC4"/>
    <w:rsid w:val="00F52C89"/>
    <w:rsid w:val="00F52F8C"/>
    <w:rsid w:val="00F52F92"/>
    <w:rsid w:val="00F5304D"/>
    <w:rsid w:val="00F53B55"/>
    <w:rsid w:val="00F53F1A"/>
    <w:rsid w:val="00F54090"/>
    <w:rsid w:val="00F54108"/>
    <w:rsid w:val="00F54D18"/>
    <w:rsid w:val="00F55A9C"/>
    <w:rsid w:val="00F55BC9"/>
    <w:rsid w:val="00F55C57"/>
    <w:rsid w:val="00F55C95"/>
    <w:rsid w:val="00F55F58"/>
    <w:rsid w:val="00F56061"/>
    <w:rsid w:val="00F5655B"/>
    <w:rsid w:val="00F56A8A"/>
    <w:rsid w:val="00F56CB2"/>
    <w:rsid w:val="00F56CE0"/>
    <w:rsid w:val="00F5748B"/>
    <w:rsid w:val="00F57529"/>
    <w:rsid w:val="00F57E40"/>
    <w:rsid w:val="00F601B0"/>
    <w:rsid w:val="00F6052C"/>
    <w:rsid w:val="00F609AA"/>
    <w:rsid w:val="00F60D60"/>
    <w:rsid w:val="00F61310"/>
    <w:rsid w:val="00F614A4"/>
    <w:rsid w:val="00F61679"/>
    <w:rsid w:val="00F61A21"/>
    <w:rsid w:val="00F61C70"/>
    <w:rsid w:val="00F6256D"/>
    <w:rsid w:val="00F62ABD"/>
    <w:rsid w:val="00F62DA1"/>
    <w:rsid w:val="00F62E4F"/>
    <w:rsid w:val="00F6337A"/>
    <w:rsid w:val="00F6349A"/>
    <w:rsid w:val="00F63658"/>
    <w:rsid w:val="00F63CF2"/>
    <w:rsid w:val="00F64211"/>
    <w:rsid w:val="00F646E7"/>
    <w:rsid w:val="00F64D87"/>
    <w:rsid w:val="00F650CE"/>
    <w:rsid w:val="00F65218"/>
    <w:rsid w:val="00F666A0"/>
    <w:rsid w:val="00F66708"/>
    <w:rsid w:val="00F66969"/>
    <w:rsid w:val="00F66E9C"/>
    <w:rsid w:val="00F66EDE"/>
    <w:rsid w:val="00F67306"/>
    <w:rsid w:val="00F67324"/>
    <w:rsid w:val="00F676AF"/>
    <w:rsid w:val="00F677AE"/>
    <w:rsid w:val="00F677EA"/>
    <w:rsid w:val="00F67BA2"/>
    <w:rsid w:val="00F70631"/>
    <w:rsid w:val="00F70E03"/>
    <w:rsid w:val="00F7107D"/>
    <w:rsid w:val="00F71458"/>
    <w:rsid w:val="00F71474"/>
    <w:rsid w:val="00F72670"/>
    <w:rsid w:val="00F73919"/>
    <w:rsid w:val="00F73A96"/>
    <w:rsid w:val="00F7467E"/>
    <w:rsid w:val="00F746A9"/>
    <w:rsid w:val="00F74F42"/>
    <w:rsid w:val="00F75048"/>
    <w:rsid w:val="00F755C3"/>
    <w:rsid w:val="00F75670"/>
    <w:rsid w:val="00F75A4E"/>
    <w:rsid w:val="00F75B4B"/>
    <w:rsid w:val="00F75FB8"/>
    <w:rsid w:val="00F76688"/>
    <w:rsid w:val="00F769F0"/>
    <w:rsid w:val="00F76C3B"/>
    <w:rsid w:val="00F76E7B"/>
    <w:rsid w:val="00F76FFC"/>
    <w:rsid w:val="00F770A4"/>
    <w:rsid w:val="00F805E3"/>
    <w:rsid w:val="00F80F50"/>
    <w:rsid w:val="00F814F5"/>
    <w:rsid w:val="00F818A8"/>
    <w:rsid w:val="00F81A95"/>
    <w:rsid w:val="00F81EF3"/>
    <w:rsid w:val="00F8272D"/>
    <w:rsid w:val="00F828B1"/>
    <w:rsid w:val="00F82CD5"/>
    <w:rsid w:val="00F83166"/>
    <w:rsid w:val="00F831AF"/>
    <w:rsid w:val="00F840E5"/>
    <w:rsid w:val="00F8472A"/>
    <w:rsid w:val="00F84760"/>
    <w:rsid w:val="00F84930"/>
    <w:rsid w:val="00F8539A"/>
    <w:rsid w:val="00F85776"/>
    <w:rsid w:val="00F85B6A"/>
    <w:rsid w:val="00F86170"/>
    <w:rsid w:val="00F8628E"/>
    <w:rsid w:val="00F862C3"/>
    <w:rsid w:val="00F866A4"/>
    <w:rsid w:val="00F86F7D"/>
    <w:rsid w:val="00F86FDA"/>
    <w:rsid w:val="00F87532"/>
    <w:rsid w:val="00F90393"/>
    <w:rsid w:val="00F9042B"/>
    <w:rsid w:val="00F90F8C"/>
    <w:rsid w:val="00F91DF3"/>
    <w:rsid w:val="00F91DF4"/>
    <w:rsid w:val="00F9228E"/>
    <w:rsid w:val="00F925E7"/>
    <w:rsid w:val="00F92E42"/>
    <w:rsid w:val="00F92F14"/>
    <w:rsid w:val="00F942A8"/>
    <w:rsid w:val="00F944F9"/>
    <w:rsid w:val="00F95132"/>
    <w:rsid w:val="00F9534E"/>
    <w:rsid w:val="00F95537"/>
    <w:rsid w:val="00F9580B"/>
    <w:rsid w:val="00F9594F"/>
    <w:rsid w:val="00F97735"/>
    <w:rsid w:val="00F97753"/>
    <w:rsid w:val="00F97955"/>
    <w:rsid w:val="00FA0F12"/>
    <w:rsid w:val="00FA0F8A"/>
    <w:rsid w:val="00FA1454"/>
    <w:rsid w:val="00FA188A"/>
    <w:rsid w:val="00FA191D"/>
    <w:rsid w:val="00FA1DF7"/>
    <w:rsid w:val="00FA240E"/>
    <w:rsid w:val="00FA2411"/>
    <w:rsid w:val="00FA26FD"/>
    <w:rsid w:val="00FA2799"/>
    <w:rsid w:val="00FA29F2"/>
    <w:rsid w:val="00FA2D68"/>
    <w:rsid w:val="00FA3447"/>
    <w:rsid w:val="00FA38DE"/>
    <w:rsid w:val="00FA3BF7"/>
    <w:rsid w:val="00FA41EA"/>
    <w:rsid w:val="00FA456F"/>
    <w:rsid w:val="00FA511D"/>
    <w:rsid w:val="00FA518E"/>
    <w:rsid w:val="00FA60BD"/>
    <w:rsid w:val="00FA6962"/>
    <w:rsid w:val="00FA6DCF"/>
    <w:rsid w:val="00FA7729"/>
    <w:rsid w:val="00FA7D4C"/>
    <w:rsid w:val="00FB126E"/>
    <w:rsid w:val="00FB189A"/>
    <w:rsid w:val="00FB1C8A"/>
    <w:rsid w:val="00FB3072"/>
    <w:rsid w:val="00FB3354"/>
    <w:rsid w:val="00FB3A79"/>
    <w:rsid w:val="00FB3D42"/>
    <w:rsid w:val="00FB4733"/>
    <w:rsid w:val="00FB485B"/>
    <w:rsid w:val="00FB509F"/>
    <w:rsid w:val="00FB56A9"/>
    <w:rsid w:val="00FB58B5"/>
    <w:rsid w:val="00FB62FE"/>
    <w:rsid w:val="00FB6F94"/>
    <w:rsid w:val="00FB7665"/>
    <w:rsid w:val="00FB7674"/>
    <w:rsid w:val="00FB7D5F"/>
    <w:rsid w:val="00FC008A"/>
    <w:rsid w:val="00FC059C"/>
    <w:rsid w:val="00FC0B58"/>
    <w:rsid w:val="00FC0BA7"/>
    <w:rsid w:val="00FC1660"/>
    <w:rsid w:val="00FC16E3"/>
    <w:rsid w:val="00FC1BC4"/>
    <w:rsid w:val="00FC1DF1"/>
    <w:rsid w:val="00FC250E"/>
    <w:rsid w:val="00FC275F"/>
    <w:rsid w:val="00FC2812"/>
    <w:rsid w:val="00FC3CCE"/>
    <w:rsid w:val="00FC3DA0"/>
    <w:rsid w:val="00FC3F38"/>
    <w:rsid w:val="00FC443B"/>
    <w:rsid w:val="00FC4BF0"/>
    <w:rsid w:val="00FC4EC6"/>
    <w:rsid w:val="00FC516E"/>
    <w:rsid w:val="00FC5851"/>
    <w:rsid w:val="00FC5F86"/>
    <w:rsid w:val="00FC6071"/>
    <w:rsid w:val="00FC6187"/>
    <w:rsid w:val="00FC63C2"/>
    <w:rsid w:val="00FC6A05"/>
    <w:rsid w:val="00FC706D"/>
    <w:rsid w:val="00FC73AC"/>
    <w:rsid w:val="00FD0579"/>
    <w:rsid w:val="00FD08A6"/>
    <w:rsid w:val="00FD0DB2"/>
    <w:rsid w:val="00FD0EAF"/>
    <w:rsid w:val="00FD13CD"/>
    <w:rsid w:val="00FD1D83"/>
    <w:rsid w:val="00FD1DE9"/>
    <w:rsid w:val="00FD222A"/>
    <w:rsid w:val="00FD26C5"/>
    <w:rsid w:val="00FD3793"/>
    <w:rsid w:val="00FD3D40"/>
    <w:rsid w:val="00FD3FC6"/>
    <w:rsid w:val="00FD40C4"/>
    <w:rsid w:val="00FD4621"/>
    <w:rsid w:val="00FD4777"/>
    <w:rsid w:val="00FD4E5E"/>
    <w:rsid w:val="00FD5071"/>
    <w:rsid w:val="00FD54F9"/>
    <w:rsid w:val="00FD5FE4"/>
    <w:rsid w:val="00FD61E9"/>
    <w:rsid w:val="00FD6D98"/>
    <w:rsid w:val="00FD6E74"/>
    <w:rsid w:val="00FD75B8"/>
    <w:rsid w:val="00FD771A"/>
    <w:rsid w:val="00FE02DE"/>
    <w:rsid w:val="00FE0903"/>
    <w:rsid w:val="00FE09DD"/>
    <w:rsid w:val="00FE0EC8"/>
    <w:rsid w:val="00FE12E6"/>
    <w:rsid w:val="00FE19BB"/>
    <w:rsid w:val="00FE29CE"/>
    <w:rsid w:val="00FE3542"/>
    <w:rsid w:val="00FE3CA5"/>
    <w:rsid w:val="00FE40C6"/>
    <w:rsid w:val="00FE444B"/>
    <w:rsid w:val="00FE4598"/>
    <w:rsid w:val="00FE4D48"/>
    <w:rsid w:val="00FE4F2E"/>
    <w:rsid w:val="00FE53E1"/>
    <w:rsid w:val="00FE5A32"/>
    <w:rsid w:val="00FE5D9B"/>
    <w:rsid w:val="00FE5F83"/>
    <w:rsid w:val="00FE6B45"/>
    <w:rsid w:val="00FE6BAC"/>
    <w:rsid w:val="00FE724F"/>
    <w:rsid w:val="00FE72E1"/>
    <w:rsid w:val="00FE7358"/>
    <w:rsid w:val="00FE7A8E"/>
    <w:rsid w:val="00FE7B53"/>
    <w:rsid w:val="00FE7CAE"/>
    <w:rsid w:val="00FF057A"/>
    <w:rsid w:val="00FF1F55"/>
    <w:rsid w:val="00FF20EE"/>
    <w:rsid w:val="00FF2105"/>
    <w:rsid w:val="00FF22CC"/>
    <w:rsid w:val="00FF2FD6"/>
    <w:rsid w:val="00FF372D"/>
    <w:rsid w:val="00FF3BC8"/>
    <w:rsid w:val="00FF3F19"/>
    <w:rsid w:val="00FF4501"/>
    <w:rsid w:val="00FF4AD8"/>
    <w:rsid w:val="00FF5730"/>
    <w:rsid w:val="00FF5A22"/>
    <w:rsid w:val="00FF5D07"/>
    <w:rsid w:val="00FF5D91"/>
    <w:rsid w:val="00FF5F26"/>
    <w:rsid w:val="00FF6891"/>
    <w:rsid w:val="00FF7308"/>
    <w:rsid w:val="00FF757C"/>
    <w:rsid w:val="00FF79B2"/>
    <w:rsid w:val="00FF7E5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FD45D4-399E-4FC7-9145-144264C04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9" w:qFormat="1"/>
    <w:lsdException w:name="Default Paragraph Font" w:semiHidden="1" w:uiPriority="1" w:unhideWhenUsed="1"/>
    <w:lsdException w:name="Subtitle" w:uiPriority="19"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3A4"/>
    <w:pPr>
      <w:spacing w:after="200" w:line="276" w:lineRule="auto"/>
    </w:pPr>
    <w:rPr>
      <w:rFonts w:cs="Times New Roman"/>
      <w:sz w:val="22"/>
      <w:szCs w:val="22"/>
    </w:rPr>
  </w:style>
  <w:style w:type="paragraph" w:styleId="Titre1">
    <w:name w:val="heading 1"/>
    <w:basedOn w:val="Normal"/>
    <w:next w:val="Normal"/>
    <w:link w:val="Titre1Car"/>
    <w:uiPriority w:val="9"/>
    <w:qFormat/>
    <w:rsid w:val="004A738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
    <w:unhideWhenUsed/>
    <w:qFormat/>
    <w:rsid w:val="004A7383"/>
    <w:pPr>
      <w:keepNext/>
      <w:keepLines/>
      <w:spacing w:before="200" w:after="0"/>
      <w:outlineLvl w:val="1"/>
    </w:pPr>
    <w:rPr>
      <w:rFonts w:ascii="Cambria" w:hAnsi="Cambria"/>
      <w:b/>
      <w:bCs/>
      <w:color w:val="4F81BD"/>
      <w:sz w:val="26"/>
      <w:szCs w:val="26"/>
    </w:rPr>
  </w:style>
  <w:style w:type="paragraph" w:styleId="Titre3">
    <w:name w:val="heading 3"/>
    <w:basedOn w:val="Normal"/>
    <w:next w:val="Normal"/>
    <w:link w:val="Titre3Car"/>
    <w:uiPriority w:val="9"/>
    <w:unhideWhenUsed/>
    <w:qFormat/>
    <w:rsid w:val="003729F6"/>
    <w:pPr>
      <w:keepNext/>
      <w:keepLines/>
      <w:spacing w:before="200" w:after="0"/>
      <w:outlineLvl w:val="2"/>
    </w:pPr>
    <w:rPr>
      <w:rFonts w:ascii="Cambria" w:hAnsi="Cambria"/>
      <w:b/>
      <w:bCs/>
      <w:color w:val="4F81BD"/>
      <w:sz w:val="20"/>
      <w:szCs w:val="20"/>
    </w:rPr>
  </w:style>
  <w:style w:type="paragraph" w:styleId="Titre4">
    <w:name w:val="heading 4"/>
    <w:basedOn w:val="Normal"/>
    <w:next w:val="Normal"/>
    <w:link w:val="Titre4Car"/>
    <w:uiPriority w:val="9"/>
    <w:unhideWhenUsed/>
    <w:qFormat/>
    <w:rsid w:val="003729F6"/>
    <w:pPr>
      <w:keepNext/>
      <w:keepLines/>
      <w:spacing w:before="200" w:after="0"/>
      <w:outlineLvl w:val="3"/>
    </w:pPr>
    <w:rPr>
      <w:rFonts w:ascii="Cambria" w:hAnsi="Cambria"/>
      <w:b/>
      <w:bCs/>
      <w:i/>
      <w:iCs/>
      <w:color w:val="4F81BD"/>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4A7383"/>
    <w:rPr>
      <w:rFonts w:ascii="Cambria" w:hAnsi="Cambria"/>
      <w:b/>
      <w:color w:val="365F91"/>
      <w:sz w:val="28"/>
    </w:rPr>
  </w:style>
  <w:style w:type="character" w:customStyle="1" w:styleId="Titre2Car">
    <w:name w:val="Titre 2 Car"/>
    <w:basedOn w:val="Policepardfaut"/>
    <w:link w:val="Titre2"/>
    <w:uiPriority w:val="9"/>
    <w:locked/>
    <w:rsid w:val="004A7383"/>
    <w:rPr>
      <w:rFonts w:ascii="Cambria" w:hAnsi="Cambria"/>
      <w:b/>
      <w:color w:val="4F81BD"/>
      <w:sz w:val="26"/>
    </w:rPr>
  </w:style>
  <w:style w:type="character" w:customStyle="1" w:styleId="Titre3Car">
    <w:name w:val="Titre 3 Car"/>
    <w:basedOn w:val="Policepardfaut"/>
    <w:link w:val="Titre3"/>
    <w:uiPriority w:val="9"/>
    <w:locked/>
    <w:rsid w:val="003729F6"/>
    <w:rPr>
      <w:rFonts w:ascii="Cambria" w:hAnsi="Cambria"/>
      <w:b/>
      <w:color w:val="4F81BD"/>
    </w:rPr>
  </w:style>
  <w:style w:type="character" w:customStyle="1" w:styleId="Titre4Car">
    <w:name w:val="Titre 4 Car"/>
    <w:basedOn w:val="Policepardfaut"/>
    <w:link w:val="Titre4"/>
    <w:uiPriority w:val="9"/>
    <w:locked/>
    <w:rsid w:val="003729F6"/>
    <w:rPr>
      <w:rFonts w:ascii="Cambria" w:hAnsi="Cambria"/>
      <w:b/>
      <w:i/>
      <w:color w:val="4F81BD"/>
    </w:rPr>
  </w:style>
  <w:style w:type="paragraph" w:styleId="Paragraphedeliste">
    <w:name w:val="List Paragraph"/>
    <w:aliases w:val="Bullets"/>
    <w:basedOn w:val="Normal"/>
    <w:link w:val="ParagraphedelisteCar"/>
    <w:uiPriority w:val="34"/>
    <w:qFormat/>
    <w:rsid w:val="00D75C53"/>
    <w:pPr>
      <w:ind w:left="720"/>
      <w:contextualSpacing/>
    </w:pPr>
  </w:style>
  <w:style w:type="paragraph" w:styleId="Textedebulles">
    <w:name w:val="Balloon Text"/>
    <w:basedOn w:val="Normal"/>
    <w:link w:val="TextedebullesCar"/>
    <w:uiPriority w:val="99"/>
    <w:semiHidden/>
    <w:unhideWhenUsed/>
    <w:rsid w:val="00212C59"/>
    <w:pPr>
      <w:spacing w:after="0" w:line="240" w:lineRule="auto"/>
    </w:pPr>
    <w:rPr>
      <w:rFonts w:ascii="Tahoma" w:hAnsi="Tahoma"/>
      <w:sz w:val="16"/>
      <w:szCs w:val="16"/>
    </w:rPr>
  </w:style>
  <w:style w:type="character" w:customStyle="1" w:styleId="TextedebullesCar">
    <w:name w:val="Texte de bulles Car"/>
    <w:basedOn w:val="Policepardfaut"/>
    <w:link w:val="Textedebulles"/>
    <w:uiPriority w:val="99"/>
    <w:semiHidden/>
    <w:locked/>
    <w:rsid w:val="00212C59"/>
    <w:rPr>
      <w:rFonts w:ascii="Tahoma" w:hAnsi="Tahoma"/>
      <w:sz w:val="16"/>
    </w:rPr>
  </w:style>
  <w:style w:type="character" w:customStyle="1" w:styleId="ParagraphedelisteCar">
    <w:name w:val="Paragraphe de liste Car"/>
    <w:aliases w:val="Bullets Car"/>
    <w:link w:val="Paragraphedeliste"/>
    <w:uiPriority w:val="34"/>
    <w:locked/>
    <w:rsid w:val="001E3863"/>
  </w:style>
  <w:style w:type="table" w:styleId="Trameclaire-Accent4">
    <w:name w:val="Light Shading Accent 4"/>
    <w:basedOn w:val="TableauNormal"/>
    <w:uiPriority w:val="60"/>
    <w:rsid w:val="001E3863"/>
    <w:rPr>
      <w:rFonts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Grilleclaire-Accent4">
    <w:name w:val="Light Grid Accent 4"/>
    <w:basedOn w:val="TableauNormal"/>
    <w:uiPriority w:val="62"/>
    <w:rsid w:val="001E3863"/>
    <w:rPr>
      <w:rFonts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En-ttedetabledesmatires">
    <w:name w:val="TOC Heading"/>
    <w:basedOn w:val="Titre1"/>
    <w:next w:val="Normal"/>
    <w:uiPriority w:val="39"/>
    <w:unhideWhenUsed/>
    <w:qFormat/>
    <w:rsid w:val="002930E5"/>
    <w:pPr>
      <w:outlineLvl w:val="9"/>
    </w:pPr>
  </w:style>
  <w:style w:type="paragraph" w:styleId="TM1">
    <w:name w:val="toc 1"/>
    <w:basedOn w:val="Normal"/>
    <w:next w:val="Normal"/>
    <w:autoRedefine/>
    <w:uiPriority w:val="39"/>
    <w:unhideWhenUsed/>
    <w:rsid w:val="00F8272D"/>
    <w:pPr>
      <w:tabs>
        <w:tab w:val="left" w:pos="440"/>
        <w:tab w:val="right" w:leader="dot" w:pos="9062"/>
      </w:tabs>
      <w:spacing w:after="100"/>
    </w:pPr>
    <w:rPr>
      <w:rFonts w:ascii="Segoe UI" w:hAnsi="Segoe UI"/>
      <w:b/>
      <w:noProof/>
    </w:rPr>
  </w:style>
  <w:style w:type="paragraph" w:styleId="TM2">
    <w:name w:val="toc 2"/>
    <w:basedOn w:val="Normal"/>
    <w:next w:val="Normal"/>
    <w:autoRedefine/>
    <w:uiPriority w:val="39"/>
    <w:unhideWhenUsed/>
    <w:rsid w:val="002930E5"/>
    <w:pPr>
      <w:spacing w:after="100"/>
      <w:ind w:left="220"/>
    </w:pPr>
  </w:style>
  <w:style w:type="character" w:styleId="Lienhypertexte">
    <w:name w:val="Hyperlink"/>
    <w:basedOn w:val="Policepardfaut"/>
    <w:uiPriority w:val="99"/>
    <w:unhideWhenUsed/>
    <w:rsid w:val="002930E5"/>
    <w:rPr>
      <w:color w:val="0000FF"/>
      <w:u w:val="single"/>
    </w:rPr>
  </w:style>
  <w:style w:type="paragraph" w:styleId="En-tte">
    <w:name w:val="header"/>
    <w:basedOn w:val="Normal"/>
    <w:link w:val="En-tteCar"/>
    <w:uiPriority w:val="99"/>
    <w:unhideWhenUsed/>
    <w:rsid w:val="006B53EB"/>
    <w:pPr>
      <w:tabs>
        <w:tab w:val="center" w:pos="4536"/>
        <w:tab w:val="right" w:pos="9072"/>
      </w:tabs>
      <w:spacing w:after="0" w:line="240" w:lineRule="auto"/>
    </w:pPr>
    <w:rPr>
      <w:sz w:val="20"/>
      <w:szCs w:val="20"/>
    </w:rPr>
  </w:style>
  <w:style w:type="character" w:customStyle="1" w:styleId="En-tteCar">
    <w:name w:val="En-tête Car"/>
    <w:basedOn w:val="Policepardfaut"/>
    <w:link w:val="En-tte"/>
    <w:uiPriority w:val="99"/>
    <w:locked/>
    <w:rsid w:val="006B53EB"/>
  </w:style>
  <w:style w:type="paragraph" w:styleId="Pieddepage">
    <w:name w:val="footer"/>
    <w:basedOn w:val="Normal"/>
    <w:link w:val="PieddepageCar"/>
    <w:uiPriority w:val="99"/>
    <w:unhideWhenUsed/>
    <w:rsid w:val="006B53EB"/>
    <w:pPr>
      <w:tabs>
        <w:tab w:val="center" w:pos="4536"/>
        <w:tab w:val="right" w:pos="9072"/>
      </w:tabs>
      <w:spacing w:after="0" w:line="240" w:lineRule="auto"/>
    </w:pPr>
    <w:rPr>
      <w:sz w:val="20"/>
      <w:szCs w:val="20"/>
    </w:rPr>
  </w:style>
  <w:style w:type="character" w:customStyle="1" w:styleId="PieddepageCar">
    <w:name w:val="Pied de page Car"/>
    <w:basedOn w:val="Policepardfaut"/>
    <w:link w:val="Pieddepage"/>
    <w:uiPriority w:val="99"/>
    <w:locked/>
    <w:rsid w:val="006B53EB"/>
  </w:style>
  <w:style w:type="table" w:styleId="Grilledutableau">
    <w:name w:val="Table Grid"/>
    <w:basedOn w:val="TableauNormal"/>
    <w:uiPriority w:val="39"/>
    <w:rsid w:val="00E96F1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3">
    <w:name w:val="toc 3"/>
    <w:basedOn w:val="Normal"/>
    <w:next w:val="Normal"/>
    <w:autoRedefine/>
    <w:uiPriority w:val="39"/>
    <w:unhideWhenUsed/>
    <w:rsid w:val="005B5048"/>
    <w:pPr>
      <w:spacing w:after="100"/>
      <w:ind w:left="440"/>
    </w:pPr>
  </w:style>
  <w:style w:type="paragraph" w:styleId="Tabledesillustrations">
    <w:name w:val="table of figures"/>
    <w:basedOn w:val="Normal"/>
    <w:next w:val="Normal"/>
    <w:uiPriority w:val="99"/>
    <w:unhideWhenUsed/>
    <w:rsid w:val="0068414F"/>
    <w:pPr>
      <w:spacing w:after="0" w:line="240" w:lineRule="auto"/>
    </w:pPr>
    <w:rPr>
      <w:rFonts w:cs="Calibri"/>
      <w:i/>
      <w:iCs/>
      <w:sz w:val="20"/>
      <w:szCs w:val="20"/>
    </w:rPr>
  </w:style>
  <w:style w:type="paragraph" w:customStyle="1" w:styleId="Listedestableaux">
    <w:name w:val="Liste des tableaux"/>
    <w:basedOn w:val="Normal"/>
    <w:qFormat/>
    <w:rsid w:val="009442A0"/>
    <w:pPr>
      <w:spacing w:after="0" w:line="360" w:lineRule="auto"/>
      <w:ind w:left="360"/>
      <w:jc w:val="both"/>
    </w:pPr>
    <w:rPr>
      <w:rFonts w:ascii="Bookman Old Style" w:hAnsi="Bookman Old Style"/>
      <w:b/>
      <w:sz w:val="26"/>
      <w:szCs w:val="26"/>
    </w:rPr>
  </w:style>
  <w:style w:type="paragraph" w:styleId="Sous-titre">
    <w:name w:val="Subtitle"/>
    <w:basedOn w:val="Normal"/>
    <w:next w:val="Normal"/>
    <w:link w:val="Sous-titreCar"/>
    <w:uiPriority w:val="19"/>
    <w:unhideWhenUsed/>
    <w:qFormat/>
    <w:rsid w:val="005B57BB"/>
    <w:pPr>
      <w:numPr>
        <w:ilvl w:val="1"/>
      </w:numPr>
      <w:spacing w:before="40" w:after="160" w:line="288" w:lineRule="auto"/>
      <w:ind w:left="144" w:right="720"/>
    </w:pPr>
    <w:rPr>
      <w:rFonts w:ascii="Cambria" w:hAnsi="Cambria"/>
      <w:caps/>
      <w:color w:val="4F81BD"/>
      <w:kern w:val="20"/>
      <w:sz w:val="20"/>
      <w:szCs w:val="20"/>
      <w:lang w:val="en-US" w:eastAsia="en-US"/>
    </w:rPr>
  </w:style>
  <w:style w:type="character" w:customStyle="1" w:styleId="Sous-titreCar">
    <w:name w:val="Sous-titre Car"/>
    <w:basedOn w:val="Policepardfaut"/>
    <w:link w:val="Sous-titre"/>
    <w:uiPriority w:val="19"/>
    <w:locked/>
    <w:rsid w:val="005B57BB"/>
    <w:rPr>
      <w:rFonts w:ascii="Cambria" w:hAnsi="Cambria"/>
      <w:caps/>
      <w:color w:val="4F81BD"/>
      <w:kern w:val="20"/>
      <w:sz w:val="20"/>
      <w:lang w:val="en-US" w:eastAsia="en-US"/>
    </w:rPr>
  </w:style>
  <w:style w:type="paragraph" w:styleId="Titre">
    <w:name w:val="Title"/>
    <w:basedOn w:val="Normal"/>
    <w:next w:val="Normal"/>
    <w:link w:val="TitreCar"/>
    <w:uiPriority w:val="19"/>
    <w:unhideWhenUsed/>
    <w:qFormat/>
    <w:rsid w:val="005B57BB"/>
    <w:pPr>
      <w:pBdr>
        <w:top w:val="single" w:sz="4" w:space="10" w:color="4F81BD"/>
        <w:left w:val="single" w:sz="4" w:space="5" w:color="4F81BD"/>
        <w:bottom w:val="single" w:sz="4" w:space="10" w:color="4F81BD"/>
        <w:right w:val="single" w:sz="4" w:space="5" w:color="4F81BD"/>
      </w:pBdr>
      <w:shd w:val="clear" w:color="auto" w:fill="4F81BD"/>
      <w:spacing w:before="240" w:after="240" w:line="1200" w:lineRule="exact"/>
      <w:ind w:left="115" w:right="115"/>
    </w:pPr>
    <w:rPr>
      <w:rFonts w:ascii="Cambria" w:hAnsi="Cambria"/>
      <w:caps/>
      <w:color w:val="FFFFFF"/>
      <w:spacing w:val="40"/>
      <w:kern w:val="28"/>
      <w:sz w:val="20"/>
      <w:szCs w:val="20"/>
      <w:lang w:val="en-US" w:eastAsia="en-US"/>
    </w:rPr>
  </w:style>
  <w:style w:type="character" w:customStyle="1" w:styleId="TitreCar">
    <w:name w:val="Titre Car"/>
    <w:basedOn w:val="Policepardfaut"/>
    <w:link w:val="Titre"/>
    <w:uiPriority w:val="19"/>
    <w:locked/>
    <w:rsid w:val="005B57BB"/>
    <w:rPr>
      <w:rFonts w:ascii="Cambria" w:hAnsi="Cambria"/>
      <w:caps/>
      <w:color w:val="FFFFFF"/>
      <w:spacing w:val="40"/>
      <w:kern w:val="28"/>
      <w:sz w:val="20"/>
      <w:shd w:val="clear" w:color="auto" w:fill="4F81BD"/>
      <w:lang w:val="en-US" w:eastAsia="en-US"/>
    </w:rPr>
  </w:style>
  <w:style w:type="paragraph" w:customStyle="1" w:styleId="Sommaire">
    <w:name w:val="Sommaire"/>
    <w:basedOn w:val="Normal"/>
    <w:uiPriority w:val="19"/>
    <w:qFormat/>
    <w:rsid w:val="005B57BB"/>
    <w:pPr>
      <w:spacing w:before="360" w:after="600" w:line="288" w:lineRule="auto"/>
      <w:ind w:left="144" w:right="144"/>
    </w:pPr>
    <w:rPr>
      <w:i/>
      <w:iCs/>
      <w:color w:val="7F7F7F"/>
      <w:kern w:val="20"/>
      <w:sz w:val="28"/>
      <w:szCs w:val="20"/>
      <w:lang w:val="en-US" w:eastAsia="en-US"/>
    </w:rPr>
  </w:style>
  <w:style w:type="character" w:styleId="Marquedecommentaire">
    <w:name w:val="annotation reference"/>
    <w:basedOn w:val="Policepardfaut"/>
    <w:uiPriority w:val="99"/>
    <w:rsid w:val="005268DB"/>
    <w:rPr>
      <w:sz w:val="16"/>
    </w:rPr>
  </w:style>
  <w:style w:type="paragraph" w:styleId="Commentaire">
    <w:name w:val="annotation text"/>
    <w:basedOn w:val="Normal"/>
    <w:link w:val="CommentaireCar"/>
    <w:uiPriority w:val="99"/>
    <w:rsid w:val="005268DB"/>
    <w:pPr>
      <w:spacing w:line="240" w:lineRule="auto"/>
    </w:pPr>
    <w:rPr>
      <w:sz w:val="20"/>
      <w:szCs w:val="20"/>
    </w:rPr>
  </w:style>
  <w:style w:type="character" w:customStyle="1" w:styleId="CommentaireCar">
    <w:name w:val="Commentaire Car"/>
    <w:basedOn w:val="Policepardfaut"/>
    <w:link w:val="Commentaire"/>
    <w:uiPriority w:val="99"/>
    <w:locked/>
    <w:rsid w:val="005268DB"/>
    <w:rPr>
      <w:sz w:val="20"/>
    </w:rPr>
  </w:style>
  <w:style w:type="paragraph" w:styleId="Objetducommentaire">
    <w:name w:val="annotation subject"/>
    <w:basedOn w:val="Commentaire"/>
    <w:next w:val="Commentaire"/>
    <w:link w:val="ObjetducommentaireCar"/>
    <w:uiPriority w:val="99"/>
    <w:rsid w:val="005268DB"/>
    <w:rPr>
      <w:b/>
      <w:bCs/>
    </w:rPr>
  </w:style>
  <w:style w:type="character" w:customStyle="1" w:styleId="ObjetducommentaireCar">
    <w:name w:val="Objet du commentaire Car"/>
    <w:basedOn w:val="CommentaireCar"/>
    <w:link w:val="Objetducommentaire"/>
    <w:uiPriority w:val="99"/>
    <w:locked/>
    <w:rsid w:val="005268DB"/>
    <w:rPr>
      <w:b/>
      <w:sz w:val="20"/>
    </w:rPr>
  </w:style>
  <w:style w:type="paragraph" w:styleId="Notedebasdepage">
    <w:name w:val="footnote text"/>
    <w:aliases w:val="FOOTNOTES,fn,single space,ALTS FOOTNOTE,Geneva 9,Font: Geneva 9,Boston 10,f,FußnotentextE,ADB,ft,Footnote Text Char Char,DSE note,Footnote,12pt,Footnote text"/>
    <w:basedOn w:val="Normal"/>
    <w:link w:val="NotedebasdepageCar"/>
    <w:uiPriority w:val="99"/>
    <w:unhideWhenUsed/>
    <w:rsid w:val="007C54FF"/>
    <w:pPr>
      <w:spacing w:after="0" w:line="240" w:lineRule="auto"/>
    </w:pPr>
    <w:rPr>
      <w:sz w:val="24"/>
      <w:szCs w:val="24"/>
    </w:rPr>
  </w:style>
  <w:style w:type="character" w:customStyle="1" w:styleId="NotedebasdepageCar">
    <w:name w:val="Note de bas de page Car"/>
    <w:aliases w:val="FOOTNOTES Car,fn Car,single space Car,ALTS FOOTNOTE Car,Geneva 9 Car,Font: Geneva 9 Car,Boston 10 Car,f Car,FußnotentextE Car,ADB Car,ft Car,Footnote Text Char Char Car,DSE note Car,Footnote Car,12pt Car,Footnote text Car"/>
    <w:basedOn w:val="Policepardfaut"/>
    <w:link w:val="Notedebasdepage"/>
    <w:uiPriority w:val="99"/>
    <w:locked/>
    <w:rsid w:val="007C54FF"/>
    <w:rPr>
      <w:sz w:val="24"/>
    </w:rPr>
  </w:style>
  <w:style w:type="character" w:styleId="Appelnotedebasdep">
    <w:name w:val="footnote reference"/>
    <w:basedOn w:val="Policepardfaut"/>
    <w:uiPriority w:val="99"/>
    <w:unhideWhenUsed/>
    <w:rsid w:val="007C54FF"/>
    <w:rPr>
      <w:vertAlign w:val="superscript"/>
    </w:rPr>
  </w:style>
  <w:style w:type="paragraph" w:customStyle="1" w:styleId="Graphique">
    <w:name w:val="Graphique"/>
    <w:basedOn w:val="Normal"/>
    <w:link w:val="GraphiqueCar"/>
    <w:qFormat/>
    <w:rsid w:val="00DD4A3F"/>
    <w:pPr>
      <w:spacing w:after="0" w:line="240" w:lineRule="auto"/>
      <w:jc w:val="both"/>
    </w:pPr>
    <w:rPr>
      <w:rFonts w:ascii="Segoe UI" w:hAnsi="Segoe UI" w:cs="Segoe UI"/>
      <w:b/>
      <w:sz w:val="26"/>
      <w:szCs w:val="26"/>
    </w:rPr>
  </w:style>
  <w:style w:type="character" w:customStyle="1" w:styleId="GraphiqueCar">
    <w:name w:val="Graphique Car"/>
    <w:basedOn w:val="Policepardfaut"/>
    <w:link w:val="Graphique"/>
    <w:rsid w:val="00DD4A3F"/>
    <w:rPr>
      <w:rFonts w:ascii="Segoe UI" w:hAnsi="Segoe UI" w:cs="Segoe UI"/>
      <w:b/>
      <w:sz w:val="26"/>
      <w:szCs w:val="26"/>
    </w:rPr>
  </w:style>
  <w:style w:type="character" w:styleId="Lienhypertextesuivivisit">
    <w:name w:val="FollowedHyperlink"/>
    <w:basedOn w:val="Policepardfaut"/>
    <w:uiPriority w:val="99"/>
    <w:unhideWhenUsed/>
    <w:rsid w:val="004E403C"/>
    <w:rPr>
      <w:color w:val="800080"/>
      <w:u w:val="single"/>
    </w:rPr>
  </w:style>
  <w:style w:type="paragraph" w:customStyle="1" w:styleId="font5">
    <w:name w:val="font5"/>
    <w:basedOn w:val="Normal"/>
    <w:rsid w:val="004E403C"/>
    <w:pPr>
      <w:spacing w:before="100" w:beforeAutospacing="1" w:after="100" w:afterAutospacing="1" w:line="240" w:lineRule="auto"/>
    </w:pPr>
    <w:rPr>
      <w:rFonts w:ascii="Arial Narrow" w:hAnsi="Arial Narrow"/>
      <w:b/>
      <w:bCs/>
      <w:sz w:val="16"/>
      <w:szCs w:val="16"/>
    </w:rPr>
  </w:style>
  <w:style w:type="paragraph" w:customStyle="1" w:styleId="font6">
    <w:name w:val="font6"/>
    <w:basedOn w:val="Normal"/>
    <w:rsid w:val="004E403C"/>
    <w:pPr>
      <w:spacing w:before="100" w:beforeAutospacing="1" w:after="100" w:afterAutospacing="1" w:line="240" w:lineRule="auto"/>
    </w:pPr>
    <w:rPr>
      <w:rFonts w:ascii="Arial Narrow" w:hAnsi="Arial Narrow"/>
      <w:sz w:val="16"/>
      <w:szCs w:val="16"/>
    </w:rPr>
  </w:style>
  <w:style w:type="paragraph" w:customStyle="1" w:styleId="font7">
    <w:name w:val="font7"/>
    <w:basedOn w:val="Normal"/>
    <w:rsid w:val="004E403C"/>
    <w:pPr>
      <w:spacing w:before="100" w:beforeAutospacing="1" w:after="100" w:afterAutospacing="1" w:line="240" w:lineRule="auto"/>
    </w:pPr>
    <w:rPr>
      <w:rFonts w:ascii="Arial Narrow" w:hAnsi="Arial Narrow"/>
      <w:b/>
      <w:bCs/>
      <w:sz w:val="28"/>
      <w:szCs w:val="28"/>
    </w:rPr>
  </w:style>
  <w:style w:type="paragraph" w:customStyle="1" w:styleId="xl63">
    <w:name w:val="xl63"/>
    <w:basedOn w:val="Normal"/>
    <w:rsid w:val="004E403C"/>
    <w:pPr>
      <w:pBdr>
        <w:top w:val="single" w:sz="4" w:space="0" w:color="000000"/>
        <w:left w:val="single" w:sz="4" w:space="20" w:color="000000"/>
        <w:bottom w:val="single" w:sz="4" w:space="0" w:color="000000"/>
        <w:right w:val="single" w:sz="4" w:space="0" w:color="000000"/>
      </w:pBdr>
      <w:shd w:val="clear" w:color="000000" w:fill="E0E0E0"/>
      <w:spacing w:before="100" w:beforeAutospacing="1" w:after="100" w:afterAutospacing="1" w:line="240" w:lineRule="auto"/>
      <w:ind w:firstLineChars="300" w:firstLine="300"/>
    </w:pPr>
    <w:rPr>
      <w:rFonts w:ascii="Arial Narrow" w:hAnsi="Arial Narrow"/>
      <w:b/>
      <w:bCs/>
      <w:sz w:val="16"/>
      <w:szCs w:val="16"/>
    </w:rPr>
  </w:style>
  <w:style w:type="paragraph" w:customStyle="1" w:styleId="xl64">
    <w:name w:val="xl64"/>
    <w:basedOn w:val="Normal"/>
    <w:rsid w:val="004E403C"/>
    <w:pPr>
      <w:pBdr>
        <w:top w:val="single" w:sz="4" w:space="0" w:color="000000"/>
        <w:left w:val="single" w:sz="4" w:space="0" w:color="000000"/>
        <w:bottom w:val="single" w:sz="4" w:space="0" w:color="000000"/>
        <w:right w:val="single" w:sz="4" w:space="0" w:color="000000"/>
      </w:pBdr>
      <w:shd w:val="clear" w:color="000000" w:fill="E0E0E0"/>
      <w:spacing w:before="100" w:beforeAutospacing="1" w:after="100" w:afterAutospacing="1" w:line="240" w:lineRule="auto"/>
      <w:jc w:val="center"/>
    </w:pPr>
    <w:rPr>
      <w:rFonts w:ascii="Arial Narrow" w:hAnsi="Arial Narrow"/>
      <w:b/>
      <w:bCs/>
      <w:sz w:val="16"/>
      <w:szCs w:val="16"/>
    </w:rPr>
  </w:style>
  <w:style w:type="paragraph" w:customStyle="1" w:styleId="xl65">
    <w:name w:val="xl65"/>
    <w:basedOn w:val="Normal"/>
    <w:rsid w:val="004E403C"/>
    <w:pPr>
      <w:pBdr>
        <w:top w:val="single" w:sz="4" w:space="0" w:color="000000"/>
        <w:left w:val="single" w:sz="4" w:space="7" w:color="000000"/>
        <w:bottom w:val="single" w:sz="4" w:space="0" w:color="000000"/>
        <w:right w:val="single" w:sz="4" w:space="0" w:color="000000"/>
      </w:pBdr>
      <w:shd w:val="clear" w:color="000000" w:fill="E0E0E0"/>
      <w:spacing w:before="100" w:beforeAutospacing="1" w:after="100" w:afterAutospacing="1" w:line="240" w:lineRule="auto"/>
      <w:ind w:firstLineChars="100" w:firstLine="100"/>
    </w:pPr>
    <w:rPr>
      <w:rFonts w:ascii="Arial Narrow" w:hAnsi="Arial Narrow"/>
      <w:b/>
      <w:bCs/>
      <w:sz w:val="16"/>
      <w:szCs w:val="16"/>
    </w:rPr>
  </w:style>
  <w:style w:type="paragraph" w:customStyle="1" w:styleId="xl66">
    <w:name w:val="xl66"/>
    <w:basedOn w:val="Normal"/>
    <w:rsid w:val="004E403C"/>
    <w:pPr>
      <w:pBdr>
        <w:top w:val="single" w:sz="4" w:space="0" w:color="000000"/>
        <w:left w:val="single" w:sz="4" w:space="0" w:color="000000"/>
        <w:bottom w:val="single" w:sz="4" w:space="0" w:color="000000"/>
        <w:right w:val="single" w:sz="4" w:space="0" w:color="000000"/>
      </w:pBdr>
      <w:shd w:val="clear" w:color="000000" w:fill="ADADAD"/>
      <w:spacing w:before="100" w:beforeAutospacing="1" w:after="100" w:afterAutospacing="1" w:line="240" w:lineRule="auto"/>
      <w:jc w:val="center"/>
    </w:pPr>
    <w:rPr>
      <w:rFonts w:ascii="Arial Narrow" w:hAnsi="Arial Narrow"/>
      <w:sz w:val="16"/>
      <w:szCs w:val="16"/>
    </w:rPr>
  </w:style>
  <w:style w:type="paragraph" w:customStyle="1" w:styleId="xl67">
    <w:name w:val="xl67"/>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Narrow" w:hAnsi="Arial Narrow"/>
      <w:sz w:val="16"/>
      <w:szCs w:val="16"/>
    </w:rPr>
  </w:style>
  <w:style w:type="paragraph" w:customStyle="1" w:styleId="xl68">
    <w:name w:val="xl68"/>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Narrow" w:hAnsi="Arial Narrow"/>
      <w:sz w:val="16"/>
      <w:szCs w:val="16"/>
    </w:rPr>
  </w:style>
  <w:style w:type="paragraph" w:customStyle="1" w:styleId="xl69">
    <w:name w:val="xl69"/>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sz w:val="24"/>
      <w:szCs w:val="24"/>
    </w:rPr>
  </w:style>
  <w:style w:type="paragraph" w:customStyle="1" w:styleId="xl70">
    <w:name w:val="xl70"/>
    <w:basedOn w:val="Normal"/>
    <w:rsid w:val="004E403C"/>
    <w:pPr>
      <w:pBdr>
        <w:top w:val="single" w:sz="4" w:space="0" w:color="000000"/>
        <w:left w:val="single" w:sz="4" w:space="0" w:color="000000"/>
        <w:bottom w:val="single" w:sz="4" w:space="0" w:color="000000"/>
        <w:right w:val="single" w:sz="4" w:space="0" w:color="000000"/>
      </w:pBdr>
      <w:shd w:val="clear" w:color="000000" w:fill="E0E0E0"/>
      <w:spacing w:before="100" w:beforeAutospacing="1" w:after="100" w:afterAutospacing="1" w:line="240" w:lineRule="auto"/>
    </w:pPr>
    <w:rPr>
      <w:rFonts w:ascii="Times New Roman" w:hAnsi="Times New Roman"/>
      <w:sz w:val="24"/>
      <w:szCs w:val="24"/>
    </w:rPr>
  </w:style>
  <w:style w:type="paragraph" w:customStyle="1" w:styleId="xl71">
    <w:name w:val="xl71"/>
    <w:basedOn w:val="Normal"/>
    <w:rsid w:val="004E403C"/>
    <w:pPr>
      <w:pBdr>
        <w:top w:val="single" w:sz="4" w:space="0" w:color="000000"/>
        <w:left w:val="single" w:sz="4" w:space="0" w:color="000000"/>
        <w:bottom w:val="single" w:sz="4" w:space="0" w:color="000000"/>
        <w:right w:val="single" w:sz="4" w:space="0" w:color="000000"/>
      </w:pBdr>
      <w:shd w:val="clear" w:color="000000" w:fill="E0E0E0"/>
      <w:spacing w:before="100" w:beforeAutospacing="1" w:after="100" w:afterAutospacing="1" w:line="240" w:lineRule="auto"/>
      <w:jc w:val="center"/>
    </w:pPr>
    <w:rPr>
      <w:rFonts w:ascii="Arial Narrow" w:hAnsi="Arial Narrow"/>
      <w:sz w:val="16"/>
      <w:szCs w:val="16"/>
    </w:rPr>
  </w:style>
  <w:style w:type="paragraph" w:customStyle="1" w:styleId="xl72">
    <w:name w:val="xl72"/>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Narrow" w:hAnsi="Arial Narrow"/>
      <w:sz w:val="16"/>
      <w:szCs w:val="16"/>
    </w:rPr>
  </w:style>
  <w:style w:type="paragraph" w:customStyle="1" w:styleId="xl73">
    <w:name w:val="xl73"/>
    <w:basedOn w:val="Normal"/>
    <w:rsid w:val="004E403C"/>
    <w:pPr>
      <w:pBdr>
        <w:top w:val="single" w:sz="4" w:space="0" w:color="000000"/>
        <w:left w:val="single" w:sz="4" w:space="0" w:color="000000"/>
        <w:bottom w:val="single" w:sz="4" w:space="0" w:color="000000"/>
        <w:right w:val="single" w:sz="4" w:space="0" w:color="000000"/>
      </w:pBdr>
      <w:shd w:val="clear" w:color="000000" w:fill="ADADAD"/>
      <w:spacing w:before="100" w:beforeAutospacing="1" w:after="100" w:afterAutospacing="1" w:line="240" w:lineRule="auto"/>
      <w:jc w:val="center"/>
    </w:pPr>
    <w:rPr>
      <w:rFonts w:ascii="Arial Narrow" w:hAnsi="Arial Narrow"/>
      <w:sz w:val="16"/>
      <w:szCs w:val="16"/>
    </w:rPr>
  </w:style>
  <w:style w:type="paragraph" w:customStyle="1" w:styleId="xl74">
    <w:name w:val="xl74"/>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Narrow" w:hAnsi="Arial Narrow"/>
      <w:b/>
      <w:bCs/>
      <w:sz w:val="16"/>
      <w:szCs w:val="16"/>
    </w:rPr>
  </w:style>
  <w:style w:type="paragraph" w:customStyle="1" w:styleId="xl75">
    <w:name w:val="xl75"/>
    <w:basedOn w:val="Normal"/>
    <w:rsid w:val="004E403C"/>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sz w:val="24"/>
      <w:szCs w:val="24"/>
    </w:rPr>
  </w:style>
  <w:style w:type="paragraph" w:customStyle="1" w:styleId="xl76">
    <w:name w:val="xl76"/>
    <w:basedOn w:val="Normal"/>
    <w:rsid w:val="004E403C"/>
    <w:pPr>
      <w:pBdr>
        <w:top w:val="single" w:sz="4" w:space="0" w:color="000000"/>
        <w:left w:val="single" w:sz="4" w:space="0" w:color="000000"/>
        <w:bottom w:val="single" w:sz="4" w:space="0" w:color="000000"/>
      </w:pBdr>
      <w:shd w:val="clear" w:color="000000" w:fill="C1C1C1"/>
      <w:spacing w:before="100" w:beforeAutospacing="1" w:after="100" w:afterAutospacing="1" w:line="240" w:lineRule="auto"/>
      <w:jc w:val="center"/>
    </w:pPr>
    <w:rPr>
      <w:rFonts w:ascii="Arial Narrow" w:hAnsi="Arial Narrow"/>
      <w:b/>
      <w:bCs/>
      <w:sz w:val="28"/>
      <w:szCs w:val="28"/>
    </w:rPr>
  </w:style>
  <w:style w:type="paragraph" w:customStyle="1" w:styleId="xl77">
    <w:name w:val="xl77"/>
    <w:basedOn w:val="Normal"/>
    <w:rsid w:val="004E403C"/>
    <w:pPr>
      <w:pBdr>
        <w:top w:val="single" w:sz="4" w:space="0" w:color="000000"/>
        <w:bottom w:val="single" w:sz="4" w:space="0" w:color="000000"/>
      </w:pBdr>
      <w:shd w:val="clear" w:color="000000" w:fill="C1C1C1"/>
      <w:spacing w:before="100" w:beforeAutospacing="1" w:after="100" w:afterAutospacing="1" w:line="240" w:lineRule="auto"/>
      <w:jc w:val="center"/>
    </w:pPr>
    <w:rPr>
      <w:rFonts w:ascii="Arial Narrow" w:hAnsi="Arial Narrow"/>
      <w:b/>
      <w:bCs/>
      <w:sz w:val="28"/>
      <w:szCs w:val="28"/>
    </w:rPr>
  </w:style>
  <w:style w:type="paragraph" w:customStyle="1" w:styleId="xl78">
    <w:name w:val="xl78"/>
    <w:basedOn w:val="Normal"/>
    <w:rsid w:val="004E403C"/>
    <w:pPr>
      <w:pBdr>
        <w:top w:val="single" w:sz="4" w:space="0" w:color="000000"/>
        <w:bottom w:val="single" w:sz="4" w:space="0" w:color="000000"/>
        <w:right w:val="single" w:sz="4" w:space="0" w:color="000000"/>
      </w:pBdr>
      <w:shd w:val="clear" w:color="000000" w:fill="C1C1C1"/>
      <w:spacing w:before="100" w:beforeAutospacing="1" w:after="100" w:afterAutospacing="1" w:line="240" w:lineRule="auto"/>
      <w:jc w:val="center"/>
    </w:pPr>
    <w:rPr>
      <w:rFonts w:ascii="Arial Narrow" w:hAnsi="Arial Narrow"/>
      <w:b/>
      <w:bCs/>
      <w:sz w:val="28"/>
      <w:szCs w:val="28"/>
    </w:rPr>
  </w:style>
  <w:style w:type="paragraph" w:customStyle="1" w:styleId="xl79">
    <w:name w:val="xl79"/>
    <w:basedOn w:val="Normal"/>
    <w:rsid w:val="004E403C"/>
    <w:pPr>
      <w:pBdr>
        <w:top w:val="single" w:sz="4" w:space="0" w:color="000000"/>
        <w:left w:val="single" w:sz="4" w:space="0" w:color="000000"/>
        <w:bottom w:val="single" w:sz="4" w:space="0" w:color="000000"/>
      </w:pBdr>
      <w:shd w:val="clear" w:color="000000" w:fill="ADADAD"/>
      <w:spacing w:before="100" w:beforeAutospacing="1" w:after="100" w:afterAutospacing="1" w:line="240" w:lineRule="auto"/>
    </w:pPr>
    <w:rPr>
      <w:rFonts w:ascii="Arial Narrow" w:hAnsi="Arial Narrow"/>
      <w:sz w:val="16"/>
      <w:szCs w:val="16"/>
    </w:rPr>
  </w:style>
  <w:style w:type="paragraph" w:customStyle="1" w:styleId="xl80">
    <w:name w:val="xl80"/>
    <w:basedOn w:val="Normal"/>
    <w:rsid w:val="004E403C"/>
    <w:pPr>
      <w:pBdr>
        <w:top w:val="single" w:sz="4" w:space="0" w:color="000000"/>
        <w:bottom w:val="single" w:sz="4" w:space="0" w:color="000000"/>
        <w:right w:val="single" w:sz="4" w:space="0" w:color="000000"/>
      </w:pBdr>
      <w:shd w:val="clear" w:color="000000" w:fill="ADADAD"/>
      <w:spacing w:before="100" w:beforeAutospacing="1" w:after="100" w:afterAutospacing="1" w:line="240" w:lineRule="auto"/>
    </w:pPr>
    <w:rPr>
      <w:rFonts w:ascii="Arial Narrow" w:hAnsi="Arial Narrow"/>
      <w:sz w:val="16"/>
      <w:szCs w:val="16"/>
    </w:rPr>
  </w:style>
  <w:style w:type="paragraph" w:customStyle="1" w:styleId="xl81">
    <w:name w:val="xl81"/>
    <w:basedOn w:val="Normal"/>
    <w:rsid w:val="004E403C"/>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hAnsi="Times New Roman"/>
      <w:sz w:val="24"/>
      <w:szCs w:val="24"/>
    </w:rPr>
  </w:style>
  <w:style w:type="paragraph" w:customStyle="1" w:styleId="xl82">
    <w:name w:val="xl82"/>
    <w:basedOn w:val="Normal"/>
    <w:rsid w:val="004E403C"/>
    <w:pPr>
      <w:pBdr>
        <w:left w:val="single" w:sz="4" w:space="0" w:color="000000"/>
        <w:right w:val="single" w:sz="4" w:space="0" w:color="000000"/>
      </w:pBdr>
      <w:spacing w:before="100" w:beforeAutospacing="1" w:after="100" w:afterAutospacing="1" w:line="240" w:lineRule="auto"/>
    </w:pPr>
    <w:rPr>
      <w:rFonts w:ascii="Times New Roman" w:hAnsi="Times New Roman"/>
      <w:sz w:val="24"/>
      <w:szCs w:val="24"/>
    </w:rPr>
  </w:style>
  <w:style w:type="paragraph" w:customStyle="1" w:styleId="xl83">
    <w:name w:val="xl83"/>
    <w:basedOn w:val="Normal"/>
    <w:rsid w:val="004E403C"/>
    <w:pPr>
      <w:pBdr>
        <w:top w:val="single" w:sz="4" w:space="0" w:color="000000"/>
        <w:left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4">
    <w:name w:val="xl84"/>
    <w:basedOn w:val="Normal"/>
    <w:rsid w:val="004E403C"/>
    <w:pPr>
      <w:pBdr>
        <w:top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5">
    <w:name w:val="xl85"/>
    <w:basedOn w:val="Normal"/>
    <w:rsid w:val="004E403C"/>
    <w:pPr>
      <w:pBdr>
        <w:top w:val="single" w:sz="4" w:space="0" w:color="000000"/>
        <w:right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6">
    <w:name w:val="xl86"/>
    <w:basedOn w:val="Normal"/>
    <w:rsid w:val="004E403C"/>
    <w:pPr>
      <w:pBdr>
        <w:left w:val="single" w:sz="4" w:space="0" w:color="000000"/>
        <w:bottom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7">
    <w:name w:val="xl87"/>
    <w:basedOn w:val="Normal"/>
    <w:rsid w:val="004E403C"/>
    <w:pPr>
      <w:pBdr>
        <w:bottom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8">
    <w:name w:val="xl88"/>
    <w:basedOn w:val="Normal"/>
    <w:rsid w:val="004E403C"/>
    <w:pPr>
      <w:pBdr>
        <w:bottom w:val="single" w:sz="4" w:space="0" w:color="000000"/>
        <w:right w:val="single" w:sz="4" w:space="0" w:color="000000"/>
      </w:pBdr>
      <w:spacing w:before="100" w:beforeAutospacing="1" w:after="100" w:afterAutospacing="1" w:line="240" w:lineRule="auto"/>
      <w:jc w:val="center"/>
    </w:pPr>
    <w:rPr>
      <w:rFonts w:ascii="Arial Narrow" w:hAnsi="Arial Narrow"/>
      <w:b/>
      <w:bCs/>
      <w:sz w:val="16"/>
      <w:szCs w:val="16"/>
    </w:rPr>
  </w:style>
  <w:style w:type="paragraph" w:customStyle="1" w:styleId="xl89">
    <w:name w:val="xl89"/>
    <w:basedOn w:val="Normal"/>
    <w:rsid w:val="004E403C"/>
    <w:pPr>
      <w:pBdr>
        <w:top w:val="single" w:sz="4" w:space="0" w:color="000000"/>
        <w:left w:val="single" w:sz="4" w:space="0" w:color="000000"/>
        <w:bottom w:val="single" w:sz="4" w:space="0" w:color="000000"/>
      </w:pBdr>
      <w:shd w:val="clear" w:color="000000" w:fill="C1C1C1"/>
      <w:spacing w:before="100" w:beforeAutospacing="1" w:after="100" w:afterAutospacing="1" w:line="240" w:lineRule="auto"/>
      <w:jc w:val="center"/>
    </w:pPr>
    <w:rPr>
      <w:rFonts w:ascii="Arial Narrow" w:hAnsi="Arial Narrow"/>
      <w:b/>
      <w:bCs/>
      <w:sz w:val="16"/>
      <w:szCs w:val="16"/>
    </w:rPr>
  </w:style>
  <w:style w:type="paragraph" w:customStyle="1" w:styleId="xl90">
    <w:name w:val="xl90"/>
    <w:basedOn w:val="Normal"/>
    <w:rsid w:val="004E403C"/>
    <w:pPr>
      <w:pBdr>
        <w:top w:val="single" w:sz="4" w:space="0" w:color="000000"/>
        <w:bottom w:val="single" w:sz="4" w:space="0" w:color="000000"/>
      </w:pBdr>
      <w:shd w:val="clear" w:color="000000" w:fill="C1C1C1"/>
      <w:spacing w:before="100" w:beforeAutospacing="1" w:after="100" w:afterAutospacing="1" w:line="240" w:lineRule="auto"/>
      <w:jc w:val="center"/>
    </w:pPr>
    <w:rPr>
      <w:rFonts w:ascii="Arial Narrow" w:hAnsi="Arial Narrow"/>
      <w:b/>
      <w:bCs/>
      <w:sz w:val="16"/>
      <w:szCs w:val="16"/>
    </w:rPr>
  </w:style>
  <w:style w:type="paragraph" w:customStyle="1" w:styleId="xl91">
    <w:name w:val="xl91"/>
    <w:basedOn w:val="Normal"/>
    <w:rsid w:val="004E403C"/>
    <w:pPr>
      <w:pBdr>
        <w:top w:val="single" w:sz="4" w:space="0" w:color="000000"/>
        <w:bottom w:val="single" w:sz="4" w:space="0" w:color="000000"/>
        <w:right w:val="single" w:sz="4" w:space="0" w:color="000000"/>
      </w:pBdr>
      <w:shd w:val="clear" w:color="000000" w:fill="C1C1C1"/>
      <w:spacing w:before="100" w:beforeAutospacing="1" w:after="100" w:afterAutospacing="1" w:line="240" w:lineRule="auto"/>
      <w:jc w:val="center"/>
    </w:pPr>
    <w:rPr>
      <w:rFonts w:ascii="Arial Narrow" w:hAnsi="Arial Narrow"/>
      <w:b/>
      <w:bCs/>
      <w:sz w:val="16"/>
      <w:szCs w:val="16"/>
    </w:rPr>
  </w:style>
  <w:style w:type="paragraph" w:customStyle="1" w:styleId="xl92">
    <w:name w:val="xl92"/>
    <w:basedOn w:val="Normal"/>
    <w:rsid w:val="004E403C"/>
    <w:pPr>
      <w:pBdr>
        <w:top w:val="single" w:sz="4" w:space="0" w:color="000000"/>
        <w:left w:val="single" w:sz="4" w:space="0" w:color="000000"/>
        <w:bottom w:val="single" w:sz="4" w:space="0" w:color="000000"/>
      </w:pBdr>
      <w:shd w:val="clear" w:color="000000" w:fill="E0E0E0"/>
      <w:spacing w:before="100" w:beforeAutospacing="1" w:after="100" w:afterAutospacing="1" w:line="240" w:lineRule="auto"/>
      <w:jc w:val="center"/>
    </w:pPr>
    <w:rPr>
      <w:rFonts w:ascii="Arial Narrow" w:hAnsi="Arial Narrow"/>
      <w:sz w:val="16"/>
      <w:szCs w:val="16"/>
    </w:rPr>
  </w:style>
  <w:style w:type="paragraph" w:customStyle="1" w:styleId="xl93">
    <w:name w:val="xl93"/>
    <w:basedOn w:val="Normal"/>
    <w:rsid w:val="004E403C"/>
    <w:pPr>
      <w:pBdr>
        <w:top w:val="single" w:sz="4" w:space="0" w:color="000000"/>
        <w:bottom w:val="single" w:sz="4" w:space="0" w:color="000000"/>
        <w:right w:val="single" w:sz="4" w:space="0" w:color="000000"/>
      </w:pBdr>
      <w:spacing w:before="100" w:beforeAutospacing="1" w:after="100" w:afterAutospacing="1" w:line="240" w:lineRule="auto"/>
    </w:pPr>
    <w:rPr>
      <w:rFonts w:ascii="Arial Narrow" w:hAnsi="Arial Narrow"/>
      <w:sz w:val="16"/>
      <w:szCs w:val="16"/>
    </w:rPr>
  </w:style>
  <w:style w:type="paragraph" w:customStyle="1" w:styleId="xl94">
    <w:name w:val="xl94"/>
    <w:basedOn w:val="Normal"/>
    <w:rsid w:val="004E40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Narrow" w:hAnsi="Arial Narro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4150">
      <w:marLeft w:val="0"/>
      <w:marRight w:val="0"/>
      <w:marTop w:val="0"/>
      <w:marBottom w:val="0"/>
      <w:divBdr>
        <w:top w:val="none" w:sz="0" w:space="0" w:color="auto"/>
        <w:left w:val="none" w:sz="0" w:space="0" w:color="auto"/>
        <w:bottom w:val="none" w:sz="0" w:space="0" w:color="auto"/>
        <w:right w:val="none" w:sz="0" w:space="0" w:color="auto"/>
      </w:divBdr>
    </w:div>
    <w:div w:id="765034151">
      <w:marLeft w:val="0"/>
      <w:marRight w:val="0"/>
      <w:marTop w:val="0"/>
      <w:marBottom w:val="0"/>
      <w:divBdr>
        <w:top w:val="none" w:sz="0" w:space="0" w:color="auto"/>
        <w:left w:val="none" w:sz="0" w:space="0" w:color="auto"/>
        <w:bottom w:val="none" w:sz="0" w:space="0" w:color="auto"/>
        <w:right w:val="none" w:sz="0" w:space="0" w:color="auto"/>
      </w:divBdr>
    </w:div>
    <w:div w:id="765034152">
      <w:marLeft w:val="0"/>
      <w:marRight w:val="0"/>
      <w:marTop w:val="0"/>
      <w:marBottom w:val="0"/>
      <w:divBdr>
        <w:top w:val="none" w:sz="0" w:space="0" w:color="auto"/>
        <w:left w:val="none" w:sz="0" w:space="0" w:color="auto"/>
        <w:bottom w:val="none" w:sz="0" w:space="0" w:color="auto"/>
        <w:right w:val="none" w:sz="0" w:space="0" w:color="auto"/>
      </w:divBdr>
    </w:div>
    <w:div w:id="765034153">
      <w:marLeft w:val="0"/>
      <w:marRight w:val="0"/>
      <w:marTop w:val="0"/>
      <w:marBottom w:val="0"/>
      <w:divBdr>
        <w:top w:val="none" w:sz="0" w:space="0" w:color="auto"/>
        <w:left w:val="none" w:sz="0" w:space="0" w:color="auto"/>
        <w:bottom w:val="none" w:sz="0" w:space="0" w:color="auto"/>
        <w:right w:val="none" w:sz="0" w:space="0" w:color="auto"/>
      </w:divBdr>
    </w:div>
    <w:div w:id="765034154">
      <w:marLeft w:val="0"/>
      <w:marRight w:val="0"/>
      <w:marTop w:val="0"/>
      <w:marBottom w:val="0"/>
      <w:divBdr>
        <w:top w:val="none" w:sz="0" w:space="0" w:color="auto"/>
        <w:left w:val="none" w:sz="0" w:space="0" w:color="auto"/>
        <w:bottom w:val="none" w:sz="0" w:space="0" w:color="auto"/>
        <w:right w:val="none" w:sz="0" w:space="0" w:color="auto"/>
      </w:divBdr>
    </w:div>
    <w:div w:id="765034155">
      <w:marLeft w:val="0"/>
      <w:marRight w:val="0"/>
      <w:marTop w:val="0"/>
      <w:marBottom w:val="0"/>
      <w:divBdr>
        <w:top w:val="none" w:sz="0" w:space="0" w:color="auto"/>
        <w:left w:val="none" w:sz="0" w:space="0" w:color="auto"/>
        <w:bottom w:val="none" w:sz="0" w:space="0" w:color="auto"/>
        <w:right w:val="none" w:sz="0" w:space="0" w:color="auto"/>
      </w:divBdr>
    </w:div>
    <w:div w:id="765034156">
      <w:marLeft w:val="0"/>
      <w:marRight w:val="0"/>
      <w:marTop w:val="0"/>
      <w:marBottom w:val="0"/>
      <w:divBdr>
        <w:top w:val="none" w:sz="0" w:space="0" w:color="auto"/>
        <w:left w:val="none" w:sz="0" w:space="0" w:color="auto"/>
        <w:bottom w:val="none" w:sz="0" w:space="0" w:color="auto"/>
        <w:right w:val="none" w:sz="0" w:space="0" w:color="auto"/>
      </w:divBdr>
    </w:div>
    <w:div w:id="765034157">
      <w:marLeft w:val="0"/>
      <w:marRight w:val="0"/>
      <w:marTop w:val="0"/>
      <w:marBottom w:val="0"/>
      <w:divBdr>
        <w:top w:val="none" w:sz="0" w:space="0" w:color="auto"/>
        <w:left w:val="none" w:sz="0" w:space="0" w:color="auto"/>
        <w:bottom w:val="none" w:sz="0" w:space="0" w:color="auto"/>
        <w:right w:val="none" w:sz="0" w:space="0" w:color="auto"/>
      </w:divBdr>
    </w:div>
    <w:div w:id="765034158">
      <w:marLeft w:val="0"/>
      <w:marRight w:val="0"/>
      <w:marTop w:val="0"/>
      <w:marBottom w:val="0"/>
      <w:divBdr>
        <w:top w:val="none" w:sz="0" w:space="0" w:color="auto"/>
        <w:left w:val="none" w:sz="0" w:space="0" w:color="auto"/>
        <w:bottom w:val="none" w:sz="0" w:space="0" w:color="auto"/>
        <w:right w:val="none" w:sz="0" w:space="0" w:color="auto"/>
      </w:divBdr>
    </w:div>
    <w:div w:id="765034159">
      <w:marLeft w:val="0"/>
      <w:marRight w:val="0"/>
      <w:marTop w:val="0"/>
      <w:marBottom w:val="0"/>
      <w:divBdr>
        <w:top w:val="none" w:sz="0" w:space="0" w:color="auto"/>
        <w:left w:val="none" w:sz="0" w:space="0" w:color="auto"/>
        <w:bottom w:val="none" w:sz="0" w:space="0" w:color="auto"/>
        <w:right w:val="none" w:sz="0" w:space="0" w:color="auto"/>
      </w:divBdr>
    </w:div>
    <w:div w:id="765034160">
      <w:marLeft w:val="0"/>
      <w:marRight w:val="0"/>
      <w:marTop w:val="0"/>
      <w:marBottom w:val="0"/>
      <w:divBdr>
        <w:top w:val="none" w:sz="0" w:space="0" w:color="auto"/>
        <w:left w:val="none" w:sz="0" w:space="0" w:color="auto"/>
        <w:bottom w:val="none" w:sz="0" w:space="0" w:color="auto"/>
        <w:right w:val="none" w:sz="0" w:space="0" w:color="auto"/>
      </w:divBdr>
    </w:div>
    <w:div w:id="765034161">
      <w:marLeft w:val="0"/>
      <w:marRight w:val="0"/>
      <w:marTop w:val="0"/>
      <w:marBottom w:val="0"/>
      <w:divBdr>
        <w:top w:val="none" w:sz="0" w:space="0" w:color="auto"/>
        <w:left w:val="none" w:sz="0" w:space="0" w:color="auto"/>
        <w:bottom w:val="none" w:sz="0" w:space="0" w:color="auto"/>
        <w:right w:val="none" w:sz="0" w:space="0" w:color="auto"/>
      </w:divBdr>
    </w:div>
    <w:div w:id="765034162">
      <w:marLeft w:val="0"/>
      <w:marRight w:val="0"/>
      <w:marTop w:val="0"/>
      <w:marBottom w:val="0"/>
      <w:divBdr>
        <w:top w:val="none" w:sz="0" w:space="0" w:color="auto"/>
        <w:left w:val="none" w:sz="0" w:space="0" w:color="auto"/>
        <w:bottom w:val="none" w:sz="0" w:space="0" w:color="auto"/>
        <w:right w:val="none" w:sz="0" w:space="0" w:color="auto"/>
      </w:divBdr>
    </w:div>
    <w:div w:id="765034163">
      <w:marLeft w:val="0"/>
      <w:marRight w:val="0"/>
      <w:marTop w:val="0"/>
      <w:marBottom w:val="0"/>
      <w:divBdr>
        <w:top w:val="none" w:sz="0" w:space="0" w:color="auto"/>
        <w:left w:val="none" w:sz="0" w:space="0" w:color="auto"/>
        <w:bottom w:val="none" w:sz="0" w:space="0" w:color="auto"/>
        <w:right w:val="none" w:sz="0" w:space="0" w:color="auto"/>
      </w:divBdr>
    </w:div>
    <w:div w:id="765034164">
      <w:marLeft w:val="0"/>
      <w:marRight w:val="0"/>
      <w:marTop w:val="0"/>
      <w:marBottom w:val="0"/>
      <w:divBdr>
        <w:top w:val="none" w:sz="0" w:space="0" w:color="auto"/>
        <w:left w:val="none" w:sz="0" w:space="0" w:color="auto"/>
        <w:bottom w:val="none" w:sz="0" w:space="0" w:color="auto"/>
        <w:right w:val="none" w:sz="0" w:space="0" w:color="auto"/>
      </w:divBdr>
    </w:div>
    <w:div w:id="765034165">
      <w:marLeft w:val="0"/>
      <w:marRight w:val="0"/>
      <w:marTop w:val="0"/>
      <w:marBottom w:val="0"/>
      <w:divBdr>
        <w:top w:val="none" w:sz="0" w:space="0" w:color="auto"/>
        <w:left w:val="none" w:sz="0" w:space="0" w:color="auto"/>
        <w:bottom w:val="none" w:sz="0" w:space="0" w:color="auto"/>
        <w:right w:val="none" w:sz="0" w:space="0" w:color="auto"/>
      </w:divBdr>
    </w:div>
    <w:div w:id="765034166">
      <w:marLeft w:val="0"/>
      <w:marRight w:val="0"/>
      <w:marTop w:val="0"/>
      <w:marBottom w:val="0"/>
      <w:divBdr>
        <w:top w:val="none" w:sz="0" w:space="0" w:color="auto"/>
        <w:left w:val="none" w:sz="0" w:space="0" w:color="auto"/>
        <w:bottom w:val="none" w:sz="0" w:space="0" w:color="auto"/>
        <w:right w:val="none" w:sz="0" w:space="0" w:color="auto"/>
      </w:divBdr>
    </w:div>
    <w:div w:id="765034167">
      <w:marLeft w:val="0"/>
      <w:marRight w:val="0"/>
      <w:marTop w:val="0"/>
      <w:marBottom w:val="0"/>
      <w:divBdr>
        <w:top w:val="none" w:sz="0" w:space="0" w:color="auto"/>
        <w:left w:val="none" w:sz="0" w:space="0" w:color="auto"/>
        <w:bottom w:val="none" w:sz="0" w:space="0" w:color="auto"/>
        <w:right w:val="none" w:sz="0" w:space="0" w:color="auto"/>
      </w:divBdr>
    </w:div>
    <w:div w:id="765034168">
      <w:marLeft w:val="0"/>
      <w:marRight w:val="0"/>
      <w:marTop w:val="0"/>
      <w:marBottom w:val="0"/>
      <w:divBdr>
        <w:top w:val="none" w:sz="0" w:space="0" w:color="auto"/>
        <w:left w:val="none" w:sz="0" w:space="0" w:color="auto"/>
        <w:bottom w:val="none" w:sz="0" w:space="0" w:color="auto"/>
        <w:right w:val="none" w:sz="0" w:space="0" w:color="auto"/>
      </w:divBdr>
    </w:div>
    <w:div w:id="765034169">
      <w:marLeft w:val="0"/>
      <w:marRight w:val="0"/>
      <w:marTop w:val="0"/>
      <w:marBottom w:val="0"/>
      <w:divBdr>
        <w:top w:val="none" w:sz="0" w:space="0" w:color="auto"/>
        <w:left w:val="none" w:sz="0" w:space="0" w:color="auto"/>
        <w:bottom w:val="none" w:sz="0" w:space="0" w:color="auto"/>
        <w:right w:val="none" w:sz="0" w:space="0" w:color="auto"/>
      </w:divBdr>
    </w:div>
    <w:div w:id="765034170">
      <w:marLeft w:val="0"/>
      <w:marRight w:val="0"/>
      <w:marTop w:val="0"/>
      <w:marBottom w:val="0"/>
      <w:divBdr>
        <w:top w:val="none" w:sz="0" w:space="0" w:color="auto"/>
        <w:left w:val="none" w:sz="0" w:space="0" w:color="auto"/>
        <w:bottom w:val="none" w:sz="0" w:space="0" w:color="auto"/>
        <w:right w:val="none" w:sz="0" w:space="0" w:color="auto"/>
      </w:divBdr>
    </w:div>
    <w:div w:id="765034171">
      <w:marLeft w:val="0"/>
      <w:marRight w:val="0"/>
      <w:marTop w:val="0"/>
      <w:marBottom w:val="0"/>
      <w:divBdr>
        <w:top w:val="none" w:sz="0" w:space="0" w:color="auto"/>
        <w:left w:val="none" w:sz="0" w:space="0" w:color="auto"/>
        <w:bottom w:val="none" w:sz="0" w:space="0" w:color="auto"/>
        <w:right w:val="none" w:sz="0" w:space="0" w:color="auto"/>
      </w:divBdr>
    </w:div>
    <w:div w:id="765034172">
      <w:marLeft w:val="0"/>
      <w:marRight w:val="0"/>
      <w:marTop w:val="0"/>
      <w:marBottom w:val="0"/>
      <w:divBdr>
        <w:top w:val="none" w:sz="0" w:space="0" w:color="auto"/>
        <w:left w:val="none" w:sz="0" w:space="0" w:color="auto"/>
        <w:bottom w:val="none" w:sz="0" w:space="0" w:color="auto"/>
        <w:right w:val="none" w:sz="0" w:space="0" w:color="auto"/>
      </w:divBdr>
    </w:div>
    <w:div w:id="765034173">
      <w:marLeft w:val="0"/>
      <w:marRight w:val="0"/>
      <w:marTop w:val="0"/>
      <w:marBottom w:val="0"/>
      <w:divBdr>
        <w:top w:val="none" w:sz="0" w:space="0" w:color="auto"/>
        <w:left w:val="none" w:sz="0" w:space="0" w:color="auto"/>
        <w:bottom w:val="none" w:sz="0" w:space="0" w:color="auto"/>
        <w:right w:val="none" w:sz="0" w:space="0" w:color="auto"/>
      </w:divBdr>
    </w:div>
    <w:div w:id="765034174">
      <w:marLeft w:val="0"/>
      <w:marRight w:val="0"/>
      <w:marTop w:val="0"/>
      <w:marBottom w:val="0"/>
      <w:divBdr>
        <w:top w:val="none" w:sz="0" w:space="0" w:color="auto"/>
        <w:left w:val="none" w:sz="0" w:space="0" w:color="auto"/>
        <w:bottom w:val="none" w:sz="0" w:space="0" w:color="auto"/>
        <w:right w:val="none" w:sz="0" w:space="0" w:color="auto"/>
      </w:divBdr>
    </w:div>
    <w:div w:id="765034175">
      <w:marLeft w:val="0"/>
      <w:marRight w:val="0"/>
      <w:marTop w:val="0"/>
      <w:marBottom w:val="0"/>
      <w:divBdr>
        <w:top w:val="none" w:sz="0" w:space="0" w:color="auto"/>
        <w:left w:val="none" w:sz="0" w:space="0" w:color="auto"/>
        <w:bottom w:val="none" w:sz="0" w:space="0" w:color="auto"/>
        <w:right w:val="none" w:sz="0" w:space="0" w:color="auto"/>
      </w:divBdr>
    </w:div>
    <w:div w:id="765034176">
      <w:marLeft w:val="0"/>
      <w:marRight w:val="0"/>
      <w:marTop w:val="0"/>
      <w:marBottom w:val="0"/>
      <w:divBdr>
        <w:top w:val="none" w:sz="0" w:space="0" w:color="auto"/>
        <w:left w:val="none" w:sz="0" w:space="0" w:color="auto"/>
        <w:bottom w:val="none" w:sz="0" w:space="0" w:color="auto"/>
        <w:right w:val="none" w:sz="0" w:space="0" w:color="auto"/>
      </w:divBdr>
    </w:div>
    <w:div w:id="765034177">
      <w:marLeft w:val="0"/>
      <w:marRight w:val="0"/>
      <w:marTop w:val="0"/>
      <w:marBottom w:val="0"/>
      <w:divBdr>
        <w:top w:val="none" w:sz="0" w:space="0" w:color="auto"/>
        <w:left w:val="none" w:sz="0" w:space="0" w:color="auto"/>
        <w:bottom w:val="none" w:sz="0" w:space="0" w:color="auto"/>
        <w:right w:val="none" w:sz="0" w:space="0" w:color="auto"/>
      </w:divBdr>
    </w:div>
    <w:div w:id="765034178">
      <w:marLeft w:val="0"/>
      <w:marRight w:val="0"/>
      <w:marTop w:val="0"/>
      <w:marBottom w:val="0"/>
      <w:divBdr>
        <w:top w:val="none" w:sz="0" w:space="0" w:color="auto"/>
        <w:left w:val="none" w:sz="0" w:space="0" w:color="auto"/>
        <w:bottom w:val="none" w:sz="0" w:space="0" w:color="auto"/>
        <w:right w:val="none" w:sz="0" w:space="0" w:color="auto"/>
      </w:divBdr>
    </w:div>
    <w:div w:id="765034179">
      <w:marLeft w:val="0"/>
      <w:marRight w:val="0"/>
      <w:marTop w:val="0"/>
      <w:marBottom w:val="0"/>
      <w:divBdr>
        <w:top w:val="none" w:sz="0" w:space="0" w:color="auto"/>
        <w:left w:val="none" w:sz="0" w:space="0" w:color="auto"/>
        <w:bottom w:val="none" w:sz="0" w:space="0" w:color="auto"/>
        <w:right w:val="none" w:sz="0" w:space="0" w:color="auto"/>
      </w:divBdr>
    </w:div>
    <w:div w:id="765034180">
      <w:marLeft w:val="0"/>
      <w:marRight w:val="0"/>
      <w:marTop w:val="0"/>
      <w:marBottom w:val="0"/>
      <w:divBdr>
        <w:top w:val="none" w:sz="0" w:space="0" w:color="auto"/>
        <w:left w:val="none" w:sz="0" w:space="0" w:color="auto"/>
        <w:bottom w:val="none" w:sz="0" w:space="0" w:color="auto"/>
        <w:right w:val="none" w:sz="0" w:space="0" w:color="auto"/>
      </w:divBdr>
    </w:div>
    <w:div w:id="765034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package" Target="embeddings/Document_Microsoft_Word1.doc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HP%20SPECTRE\Desktop\Bureau\DPC\Dossier%20SSBAC\NC\NC%20Juin%20repris\Impression%20020817.xlsx" TargetMode="External"/><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3" Type="http://schemas.openxmlformats.org/officeDocument/2006/relationships/oleObject" Target="file:///C:\Users\HP%20SPECTRE\Desktop\Bureau\DPC\Dossier%20SSBAC\NC\NC%20Juin%20repris\Impression%20020817.xlsx" TargetMode="External"/><Relationship Id="rId2" Type="http://schemas.openxmlformats.org/officeDocument/2006/relationships/image" Target="../media/image2.jpeg"/><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oleObject" Target="file:///D:\Minist&#232;re%20de%20l'&#233;conomie%20bien\Statistiques%20budg&#233;taires\R&#233;al.Ex&#233;cu%20r&#233;gies%202014%20-%202017%20(Tab+graph)%20(2).xlsx"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oleObject" Target="file:///E:\R&#233;al.Ex&#233;cu%20r&#233;gies%202014%20-%202017%20(Tab+graph)%20(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6600069189219E-2"/>
          <c:y val="2.1344243734239099E-2"/>
          <c:w val="0.92800669291339499"/>
          <c:h val="0.95731130330020198"/>
        </c:manualLayout>
      </c:layout>
      <c:barChart>
        <c:barDir val="col"/>
        <c:grouping val="clustered"/>
        <c:varyColors val="0"/>
        <c:ser>
          <c:idx val="1"/>
          <c:order val="0"/>
          <c:spPr>
            <a:solidFill>
              <a:srgbClr val="00B050"/>
            </a:solidFill>
            <a:ln w="25400">
              <a:noFill/>
              <a:prstDash val="solid"/>
            </a:ln>
          </c:spPr>
          <c:invertIfNegative val="0"/>
          <c:dPt>
            <c:idx val="0"/>
            <c:invertIfNegative val="0"/>
            <c:bubble3D val="0"/>
          </c:dPt>
          <c:dPt>
            <c:idx val="1"/>
            <c:invertIfNegative val="0"/>
            <c:bubble3D val="0"/>
          </c:dPt>
          <c:dPt>
            <c:idx val="2"/>
            <c:invertIfNegative val="0"/>
            <c:bubble3D val="0"/>
          </c:dPt>
          <c:dPt>
            <c:idx val="3"/>
            <c:invertIfNegative val="0"/>
            <c:bubble3D val="0"/>
            <c:spPr>
              <a:solidFill>
                <a:srgbClr val="FF0000"/>
              </a:solidFill>
              <a:ln w="25400">
                <a:noFill/>
                <a:prstDash val="solid"/>
              </a:ln>
            </c:spPr>
          </c:dPt>
          <c:dPt>
            <c:idx val="4"/>
            <c:invertIfNegative val="0"/>
            <c:bubble3D val="0"/>
            <c:spPr>
              <a:solidFill>
                <a:srgbClr val="FF0000"/>
              </a:solidFill>
              <a:ln w="25400">
                <a:noFill/>
                <a:prstDash val="solid"/>
              </a:ln>
            </c:spPr>
          </c:dPt>
          <c:dPt>
            <c:idx val="5"/>
            <c:invertIfNegative val="0"/>
            <c:bubble3D val="0"/>
          </c:dPt>
          <c:dPt>
            <c:idx val="6"/>
            <c:invertIfNegative val="0"/>
            <c:bubble3D val="0"/>
            <c:spPr>
              <a:solidFill>
                <a:srgbClr val="FF0000"/>
              </a:solidFill>
              <a:ln w="25400">
                <a:noFill/>
                <a:prstDash val="solid"/>
              </a:ln>
            </c:spPr>
          </c:dPt>
          <c:dPt>
            <c:idx val="7"/>
            <c:invertIfNegative val="0"/>
            <c:bubble3D val="0"/>
            <c:spPr>
              <a:solidFill>
                <a:srgbClr val="FF0000"/>
              </a:solidFill>
              <a:ln w="25400">
                <a:noFill/>
                <a:prstDash val="solid"/>
              </a:ln>
            </c:spPr>
          </c:dPt>
          <c:dPt>
            <c:idx val="8"/>
            <c:invertIfNegative val="0"/>
            <c:bubble3D val="0"/>
          </c:dPt>
          <c:dPt>
            <c:idx val="9"/>
            <c:invertIfNegative val="0"/>
            <c:bubble3D val="0"/>
          </c:dPt>
          <c:dPt>
            <c:idx val="10"/>
            <c:invertIfNegative val="0"/>
            <c:bubble3D val="0"/>
            <c:spPr>
              <a:solidFill>
                <a:srgbClr val="FF0000"/>
              </a:solidFill>
              <a:ln w="25400">
                <a:noFill/>
                <a:prstDash val="solid"/>
              </a:ln>
            </c:spPr>
          </c:dPt>
          <c:dPt>
            <c:idx val="11"/>
            <c:invertIfNegative val="0"/>
            <c:bubble3D val="0"/>
            <c:spPr>
              <a:solidFill>
                <a:srgbClr val="FF0000"/>
              </a:solidFill>
              <a:ln w="25400">
                <a:noFill/>
                <a:prstDash val="solid"/>
              </a:ln>
            </c:spPr>
          </c:dPt>
          <c:dPt>
            <c:idx val="12"/>
            <c:invertIfNegative val="0"/>
            <c:bubble3D val="0"/>
          </c:dPt>
          <c:dPt>
            <c:idx val="13"/>
            <c:invertIfNegative val="0"/>
            <c:bubble3D val="0"/>
          </c:dPt>
          <c:dPt>
            <c:idx val="14"/>
            <c:invertIfNegative val="0"/>
            <c:bubble3D val="0"/>
            <c:spPr>
              <a:solidFill>
                <a:srgbClr val="FF0000"/>
              </a:solidFill>
              <a:ln w="25400">
                <a:noFill/>
                <a:prstDash val="solid"/>
              </a:ln>
            </c:spPr>
          </c:dPt>
          <c:dPt>
            <c:idx val="15"/>
            <c:invertIfNegative val="0"/>
            <c:bubble3D val="0"/>
            <c:spPr>
              <a:solidFill>
                <a:srgbClr val="FF0000"/>
              </a:solidFill>
              <a:ln w="25400">
                <a:noFill/>
                <a:prstDash val="solid"/>
              </a:ln>
            </c:spPr>
          </c:dPt>
          <c:dPt>
            <c:idx val="16"/>
            <c:invertIfNegative val="0"/>
            <c:bubble3D val="0"/>
          </c:dPt>
          <c:dPt>
            <c:idx val="17"/>
            <c:invertIfNegative val="0"/>
            <c:bubble3D val="0"/>
          </c:dPt>
          <c:dPt>
            <c:idx val="18"/>
            <c:invertIfNegative val="0"/>
            <c:bubble3D val="0"/>
          </c:dPt>
          <c:dPt>
            <c:idx val="19"/>
            <c:invertIfNegative val="0"/>
            <c:bubble3D val="0"/>
            <c:spPr>
              <a:solidFill>
                <a:srgbClr val="FF0000"/>
              </a:solidFill>
              <a:ln w="25400">
                <a:noFill/>
                <a:prstDash val="solid"/>
              </a:ln>
            </c:spPr>
          </c:dPt>
          <c:dPt>
            <c:idx val="20"/>
            <c:invertIfNegative val="0"/>
            <c:bubble3D val="0"/>
          </c:dPt>
          <c:dPt>
            <c:idx val="21"/>
            <c:invertIfNegative val="0"/>
            <c:bubble3D val="0"/>
            <c:spPr>
              <a:solidFill>
                <a:srgbClr val="FF0000"/>
              </a:solidFill>
              <a:ln w="25400">
                <a:noFill/>
                <a:prstDash val="solid"/>
              </a:ln>
            </c:spPr>
          </c:dPt>
          <c:dPt>
            <c:idx val="22"/>
            <c:invertIfNegative val="0"/>
            <c:bubble3D val="0"/>
          </c:dPt>
          <c:dPt>
            <c:idx val="23"/>
            <c:invertIfNegative val="0"/>
            <c:bubble3D val="0"/>
            <c:spPr>
              <a:solidFill>
                <a:srgbClr val="FF0000"/>
              </a:solidFill>
              <a:ln w="25400">
                <a:noFill/>
                <a:prstDash val="solid"/>
              </a:ln>
            </c:spPr>
          </c:dPt>
          <c:dLbls>
            <c:dLbl>
              <c:idx val="0"/>
              <c:layout>
                <c:manualLayout>
                  <c:x val="2.90640388464353E-3"/>
                  <c:y val="-1.5582660010635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9.7047584143109796E-6"/>
                  <c:y val="-1.0951572229941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8970416471144102E-3"/>
                  <c:y val="-4.8410615339749196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2798863744050101E-4"/>
                  <c:y val="-0.11177602799649999"/>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23392692202743E-3"/>
                  <c:y val="-0.12484792342133701"/>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4563988039170701E-3"/>
                  <c:y val="-0.13207726485169699"/>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2500254036323196E-3"/>
                  <c:y val="-0.17277786355137001"/>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7.24363168044166E-3"/>
                  <c:y val="-1.5012094076475699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3500152421793404E-3"/>
                  <c:y val="-1.93700787401575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81611880451077E-3"/>
                  <c:y val="-0.13100886898941599"/>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2.9193055046531501E-3"/>
                  <c:y val="-0.12209973753280801"/>
                </c:manualLayout>
              </c:layout>
              <c:showLegendKey val="0"/>
              <c:showVal val="1"/>
              <c:showCatName val="0"/>
              <c:showSerName val="0"/>
              <c:showPercent val="0"/>
              <c:showBubbleSize val="0"/>
              <c:extLst>
                <c:ext xmlns:c15="http://schemas.microsoft.com/office/drawing/2012/chart" uri="{CE6537A1-D6FC-4f65-9D91-7224C49458BB}"/>
              </c:extLst>
            </c:dLbl>
            <c:dLbl>
              <c:idx val="12"/>
              <c:layout>
                <c:manualLayout>
                  <c:x val="-1.4661035623313801E-3"/>
                  <c:y val="-1.03635084830083E-2"/>
                </c:manualLayout>
              </c:layout>
              <c:showLegendKey val="0"/>
              <c:showVal val="1"/>
              <c:showCatName val="0"/>
              <c:showSerName val="0"/>
              <c:showPercent val="0"/>
              <c:showBubbleSize val="0"/>
              <c:extLst>
                <c:ext xmlns:c15="http://schemas.microsoft.com/office/drawing/2012/chart" uri="{CE6537A1-D6FC-4f65-9D91-7224C49458BB}"/>
              </c:extLst>
            </c:dLbl>
            <c:dLbl>
              <c:idx val="13"/>
              <c:layout>
                <c:manualLayout>
                  <c:x val="6.9645913325168397E-6"/>
                  <c:y val="1.71382498756283E-2"/>
                </c:manualLayout>
              </c:layout>
              <c:showLegendKey val="0"/>
              <c:showVal val="1"/>
              <c:showCatName val="0"/>
              <c:showSerName val="0"/>
              <c:showPercent val="0"/>
              <c:showBubbleSize val="0"/>
              <c:extLst>
                <c:ext xmlns:c15="http://schemas.microsoft.com/office/drawing/2012/chart" uri="{CE6537A1-D6FC-4f65-9D91-7224C49458BB}"/>
              </c:extLst>
            </c:dLbl>
            <c:dLbl>
              <c:idx val="14"/>
              <c:layout>
                <c:manualLayout>
                  <c:x val="0"/>
                  <c:y val="-9.1709124594720193E-3"/>
                </c:manualLayout>
              </c:layout>
              <c:showLegendKey val="0"/>
              <c:showVal val="1"/>
              <c:showCatName val="0"/>
              <c:showSerName val="0"/>
              <c:showPercent val="0"/>
              <c:showBubbleSize val="0"/>
              <c:extLst>
                <c:ext xmlns:c15="http://schemas.microsoft.com/office/drawing/2012/chart" uri="{CE6537A1-D6FC-4f65-9D91-7224C49458BB}"/>
              </c:extLst>
            </c:dLbl>
            <c:dLbl>
              <c:idx val="15"/>
              <c:layout>
                <c:manualLayout>
                  <c:x val="-1.04012175475733E-3"/>
                  <c:y val="-0.10942891942428799"/>
                </c:manualLayout>
              </c:layout>
              <c:showLegendKey val="0"/>
              <c:showVal val="1"/>
              <c:showCatName val="0"/>
              <c:showSerName val="0"/>
              <c:showPercent val="0"/>
              <c:showBubbleSize val="0"/>
              <c:extLst>
                <c:ext xmlns:c15="http://schemas.microsoft.com/office/drawing/2012/chart" uri="{CE6537A1-D6FC-4f65-9D91-7224C49458BB}"/>
              </c:extLst>
            </c:dLbl>
            <c:dLbl>
              <c:idx val="16"/>
              <c:layout>
                <c:manualLayout>
                  <c:x val="5.8032171845011603E-3"/>
                  <c:y val="-9.1990461976567094E-3"/>
                </c:manualLayout>
              </c:layout>
              <c:showLegendKey val="0"/>
              <c:showVal val="1"/>
              <c:showCatName val="0"/>
              <c:showSerName val="0"/>
              <c:showPercent val="0"/>
              <c:showBubbleSize val="0"/>
              <c:extLst>
                <c:ext xmlns:c15="http://schemas.microsoft.com/office/drawing/2012/chart" uri="{CE6537A1-D6FC-4f65-9D91-7224C49458BB}"/>
              </c:extLst>
            </c:dLbl>
            <c:dLbl>
              <c:idx val="17"/>
              <c:layout>
                <c:manualLayout>
                  <c:x val="-1.6098481604915901E-5"/>
                  <c:y val="-1.94054174600732E-3"/>
                </c:manualLayout>
              </c:layout>
              <c:showLegendKey val="0"/>
              <c:showVal val="1"/>
              <c:showCatName val="0"/>
              <c:showSerName val="0"/>
              <c:showPercent val="0"/>
              <c:showBubbleSize val="0"/>
              <c:extLst>
                <c:ext xmlns:c15="http://schemas.microsoft.com/office/drawing/2012/chart" uri="{CE6537A1-D6FC-4f65-9D91-7224C49458BB}"/>
              </c:extLst>
            </c:dLbl>
            <c:dLbl>
              <c:idx val="18"/>
              <c:layout>
                <c:manualLayout>
                  <c:x val="-3.19686159540877E-6"/>
                  <c:y val="-3.3605407167241301E-2"/>
                </c:manualLayout>
              </c:layout>
              <c:showLegendKey val="0"/>
              <c:showVal val="1"/>
              <c:showCatName val="0"/>
              <c:showSerName val="0"/>
              <c:showPercent val="0"/>
              <c:showBubbleSize val="0"/>
              <c:extLst>
                <c:ext xmlns:c15="http://schemas.microsoft.com/office/drawing/2012/chart" uri="{CE6537A1-D6FC-4f65-9D91-7224C49458BB}"/>
              </c:extLst>
            </c:dLbl>
            <c:dLbl>
              <c:idx val="19"/>
              <c:layout>
                <c:manualLayout>
                  <c:x val="-5.8097250813202699E-3"/>
                  <c:y val="-0.122682311769852"/>
                </c:manualLayout>
              </c:layout>
              <c:showLegendKey val="0"/>
              <c:showVal val="1"/>
              <c:showCatName val="0"/>
              <c:showSerName val="0"/>
              <c:showPercent val="0"/>
              <c:showBubbleSize val="0"/>
              <c:extLst>
                <c:ext xmlns:c15="http://schemas.microsoft.com/office/drawing/2012/chart" uri="{CE6537A1-D6FC-4f65-9D91-7224C49458BB}"/>
              </c:extLst>
            </c:dLbl>
            <c:dLbl>
              <c:idx val="20"/>
              <c:layout>
                <c:manualLayout>
                  <c:x val="-1.4410995377109801E-3"/>
                  <c:y val="-1.9465458974491E-2"/>
                </c:manualLayout>
              </c:layout>
              <c:showLegendKey val="0"/>
              <c:showVal val="1"/>
              <c:showCatName val="0"/>
              <c:showSerName val="0"/>
              <c:showPercent val="0"/>
              <c:showBubbleSize val="0"/>
              <c:extLst>
                <c:ext xmlns:c15="http://schemas.microsoft.com/office/drawing/2012/chart" uri="{CE6537A1-D6FC-4f65-9D91-7224C49458BB}"/>
              </c:extLst>
            </c:dLbl>
            <c:dLbl>
              <c:idx val="21"/>
              <c:layout>
                <c:manualLayout>
                  <c:x val="-1.44946846467297E-2"/>
                  <c:y val="-0.17080678640660099"/>
                </c:manualLayout>
              </c:layout>
              <c:showLegendKey val="0"/>
              <c:showVal val="1"/>
              <c:showCatName val="0"/>
              <c:showSerName val="0"/>
              <c:showPercent val="0"/>
              <c:showBubbleSize val="0"/>
              <c:extLst>
                <c:ext xmlns:c15="http://schemas.microsoft.com/office/drawing/2012/chart" uri="{CE6537A1-D6FC-4f65-9D91-7224C49458BB}"/>
              </c:extLst>
            </c:dLbl>
            <c:dLbl>
              <c:idx val="22"/>
              <c:layout>
                <c:manualLayout>
                  <c:x val="-5.7973943294524601E-3"/>
                  <c:y val="-3.7283035698969E-2"/>
                </c:manualLayout>
              </c:layout>
              <c:showLegendKey val="0"/>
              <c:showVal val="1"/>
              <c:showCatName val="0"/>
              <c:showSerName val="0"/>
              <c:showPercent val="0"/>
              <c:showBubbleSize val="0"/>
              <c:extLst>
                <c:ext xmlns:c15="http://schemas.microsoft.com/office/drawing/2012/chart" uri="{CE6537A1-D6FC-4f65-9D91-7224C49458BB}"/>
              </c:extLst>
            </c:dLbl>
            <c:dLbl>
              <c:idx val="23"/>
              <c:layout>
                <c:manualLayout>
                  <c:x val="2.9589237537091099E-3"/>
                  <c:y val="0.15422915272845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700"/>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[Base_20140625.xlsx]Indice_2ans!$G$1:$AD$1</c:f>
              <c:numCache>
                <c:formatCode>mmm\-yy</c:formatCode>
                <c:ptCount val="24"/>
                <c:pt idx="0">
                  <c:v>42200.625</c:v>
                </c:pt>
                <c:pt idx="1">
                  <c:v>42231.0625</c:v>
                </c:pt>
                <c:pt idx="2">
                  <c:v>42261.5</c:v>
                </c:pt>
                <c:pt idx="3">
                  <c:v>42291.9375</c:v>
                </c:pt>
                <c:pt idx="4">
                  <c:v>42322.375</c:v>
                </c:pt>
                <c:pt idx="5">
                  <c:v>42352.8125</c:v>
                </c:pt>
                <c:pt idx="6">
                  <c:v>42383.25</c:v>
                </c:pt>
                <c:pt idx="7">
                  <c:v>42413.6875</c:v>
                </c:pt>
                <c:pt idx="8">
                  <c:v>42444.125</c:v>
                </c:pt>
                <c:pt idx="9">
                  <c:v>42474.5625</c:v>
                </c:pt>
                <c:pt idx="10">
                  <c:v>42505</c:v>
                </c:pt>
                <c:pt idx="11">
                  <c:v>42535.4375</c:v>
                </c:pt>
                <c:pt idx="12">
                  <c:v>42565.875</c:v>
                </c:pt>
                <c:pt idx="13">
                  <c:v>42596.3125</c:v>
                </c:pt>
                <c:pt idx="14">
                  <c:v>42626.75</c:v>
                </c:pt>
                <c:pt idx="15">
                  <c:v>42657.1875</c:v>
                </c:pt>
                <c:pt idx="16">
                  <c:v>42687.625</c:v>
                </c:pt>
                <c:pt idx="17">
                  <c:v>42718.0625</c:v>
                </c:pt>
                <c:pt idx="18">
                  <c:v>42748.5</c:v>
                </c:pt>
                <c:pt idx="19">
                  <c:v>42778.9375</c:v>
                </c:pt>
                <c:pt idx="20">
                  <c:v>42809.375</c:v>
                </c:pt>
                <c:pt idx="21">
                  <c:v>42839.8125</c:v>
                </c:pt>
                <c:pt idx="22">
                  <c:v>42870.25</c:v>
                </c:pt>
                <c:pt idx="23">
                  <c:v>42900.6875</c:v>
                </c:pt>
              </c:numCache>
            </c:numRef>
          </c:cat>
          <c:val>
            <c:numRef>
              <c:f>[Base_20140625.xlsx]Indice_2ans!$G$60:$AD$60</c:f>
              <c:numCache>
                <c:formatCode>0.0%</c:formatCode>
                <c:ptCount val="24"/>
                <c:pt idx="0">
                  <c:v>-2.4824323426161501E-2</c:v>
                </c:pt>
                <c:pt idx="1">
                  <c:v>4.5602545315979199E-3</c:v>
                </c:pt>
                <c:pt idx="2">
                  <c:v>-5.5510838491212898E-4</c:v>
                </c:pt>
                <c:pt idx="3">
                  <c:v>-2.5465855758282599E-2</c:v>
                </c:pt>
                <c:pt idx="4">
                  <c:v>4.27447851362173E-4</c:v>
                </c:pt>
                <c:pt idx="5">
                  <c:v>1.0653146096219999E-2</c:v>
                </c:pt>
                <c:pt idx="6">
                  <c:v>-2.2829119810602299E-3</c:v>
                </c:pt>
                <c:pt idx="7">
                  <c:v>-9.0960451977401009E-3</c:v>
                </c:pt>
                <c:pt idx="8">
                  <c:v>2.1095843548661901E-3</c:v>
                </c:pt>
                <c:pt idx="9">
                  <c:v>2.7651342740100199E-2</c:v>
                </c:pt>
                <c:pt idx="10">
                  <c:v>-3.09212711770568E-2</c:v>
                </c:pt>
                <c:pt idx="11">
                  <c:v>-5.85597166281027E-3</c:v>
                </c:pt>
                <c:pt idx="12">
                  <c:v>2.39066720303431E-2</c:v>
                </c:pt>
                <c:pt idx="13">
                  <c:v>1.52943817702194E-2</c:v>
                </c:pt>
                <c:pt idx="14">
                  <c:v>1.63078028690666E-3</c:v>
                </c:pt>
                <c:pt idx="15">
                  <c:v>-1.65572051437746E-4</c:v>
                </c:pt>
                <c:pt idx="16">
                  <c:v>2.8427909030690501E-3</c:v>
                </c:pt>
                <c:pt idx="17">
                  <c:v>-8.5317187284983398E-4</c:v>
                </c:pt>
                <c:pt idx="18">
                  <c:v>1.8455266637285E-3</c:v>
                </c:pt>
                <c:pt idx="19">
                  <c:v>-6.5986637705861605E-4</c:v>
                </c:pt>
                <c:pt idx="20">
                  <c:v>6.4379453600023097E-3</c:v>
                </c:pt>
                <c:pt idx="21">
                  <c:v>-4.7565676170689998E-3</c:v>
                </c:pt>
                <c:pt idx="22">
                  <c:v>2.0600433982476099E-3</c:v>
                </c:pt>
                <c:pt idx="23">
                  <c:v>-9.5937722712569095E-4</c:v>
                </c:pt>
              </c:numCache>
            </c:numRef>
          </c:val>
        </c:ser>
        <c:dLbls>
          <c:showLegendKey val="0"/>
          <c:showVal val="0"/>
          <c:showCatName val="0"/>
          <c:showSerName val="0"/>
          <c:showPercent val="0"/>
          <c:showBubbleSize val="0"/>
        </c:dLbls>
        <c:gapWidth val="60"/>
        <c:axId val="-377050432"/>
        <c:axId val="-377049888"/>
      </c:barChart>
      <c:dateAx>
        <c:axId val="-377050432"/>
        <c:scaling>
          <c:orientation val="minMax"/>
        </c:scaling>
        <c:delete val="0"/>
        <c:axPos val="b"/>
        <c:numFmt formatCode="mmm\ yy" sourceLinked="0"/>
        <c:majorTickMark val="out"/>
        <c:minorTickMark val="none"/>
        <c:tickLblPos val="nextTo"/>
        <c:txPr>
          <a:bodyPr rot="5400000" vert="horz"/>
          <a:lstStyle/>
          <a:p>
            <a:pPr>
              <a:defRPr sz="800"/>
            </a:pPr>
            <a:endParaRPr lang="fr-FR"/>
          </a:p>
        </c:txPr>
        <c:crossAx val="-377049888"/>
        <c:crosses val="autoZero"/>
        <c:auto val="1"/>
        <c:lblOffset val="100"/>
        <c:baseTimeUnit val="months"/>
        <c:majorUnit val="1"/>
      </c:dateAx>
      <c:valAx>
        <c:axId val="-377049888"/>
        <c:scaling>
          <c:orientation val="minMax"/>
          <c:max val="0.09"/>
          <c:min val="-0.08"/>
        </c:scaling>
        <c:delete val="0"/>
        <c:axPos val="l"/>
        <c:numFmt formatCode="0.0%" sourceLinked="1"/>
        <c:majorTickMark val="out"/>
        <c:minorTickMark val="none"/>
        <c:tickLblPos val="nextTo"/>
        <c:txPr>
          <a:bodyPr/>
          <a:lstStyle/>
          <a:p>
            <a:pPr>
              <a:defRPr sz="800"/>
            </a:pPr>
            <a:endParaRPr lang="fr-FR"/>
          </a:p>
        </c:txPr>
        <c:crossAx val="-377050432"/>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c:spPr>
  <c:txPr>
    <a:bodyPr/>
    <a:lstStyle/>
    <a:p>
      <a:pPr>
        <a:defRPr sz="1100"/>
      </a:pPr>
      <a:endParaRPr lang="fr-FR"/>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0"/>
          <c:tx>
            <c:v>Taux d'inflation (en critère de convergence)</c:v>
          </c:tx>
          <c:spPr>
            <a:ln w="31750"/>
          </c:spPr>
          <c:marker>
            <c:symbol val="star"/>
            <c:size val="7"/>
          </c:marker>
          <c:dLbls>
            <c:dLbl>
              <c:idx val="3"/>
              <c:layout>
                <c:manualLayout>
                  <c:x val="0"/>
                  <c:y val="5.834476343142500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7025662670754198E-4"/>
                  <c:y val="6.1190849452470102E-2"/>
                </c:manualLayout>
              </c:layout>
              <c:showLegendKey val="0"/>
              <c:showVal val="1"/>
              <c:showCatName val="0"/>
              <c:showSerName val="0"/>
              <c:showPercent val="0"/>
              <c:showBubbleSize val="0"/>
              <c:extLst>
                <c:ext xmlns:c15="http://schemas.microsoft.com/office/drawing/2012/chart" uri="{CE6537A1-D6FC-4f65-9D91-7224C49458BB}"/>
              </c:extLst>
            </c:dLbl>
            <c:spPr>
              <a:ln w="63500"/>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'[Indice des prix.xlsx]Sortie ICA'!$E$7:$Q$7</c:f>
              <c:numCache>
                <c:formatCode>mmm\-yy</c:formatCode>
                <c:ptCount val="13"/>
                <c:pt idx="0">
                  <c:v>42535.6875</c:v>
                </c:pt>
                <c:pt idx="1">
                  <c:v>42566.125</c:v>
                </c:pt>
                <c:pt idx="2">
                  <c:v>42596.5625</c:v>
                </c:pt>
                <c:pt idx="3">
                  <c:v>42627</c:v>
                </c:pt>
                <c:pt idx="4">
                  <c:v>42657.4375</c:v>
                </c:pt>
                <c:pt idx="5">
                  <c:v>42687.875</c:v>
                </c:pt>
                <c:pt idx="6">
                  <c:v>42718.3125</c:v>
                </c:pt>
                <c:pt idx="7">
                  <c:v>42748.75</c:v>
                </c:pt>
                <c:pt idx="8">
                  <c:v>42779.1875</c:v>
                </c:pt>
                <c:pt idx="9">
                  <c:v>42809.625</c:v>
                </c:pt>
                <c:pt idx="10">
                  <c:v>42840.0625</c:v>
                </c:pt>
                <c:pt idx="11">
                  <c:v>42870.5</c:v>
                </c:pt>
                <c:pt idx="12">
                  <c:v>42900.9375</c:v>
                </c:pt>
              </c:numCache>
            </c:numRef>
          </c:cat>
          <c:val>
            <c:numRef>
              <c:f>'[Indice des prix.xlsx]Sortie ICA'!$E$21:$Q$21</c:f>
              <c:numCache>
                <c:formatCode>0.0%</c:formatCode>
                <c:ptCount val="13"/>
                <c:pt idx="0">
                  <c:v>7.5602031978996304E-3</c:v>
                </c:pt>
                <c:pt idx="1">
                  <c:v>6.3227301197055202E-3</c:v>
                </c:pt>
                <c:pt idx="2">
                  <c:v>5.2447042622893996E-3</c:v>
                </c:pt>
                <c:pt idx="3">
                  <c:v>3.6559070543697998E-3</c:v>
                </c:pt>
                <c:pt idx="4">
                  <c:v>2.22044604925032E-16</c:v>
                </c:pt>
                <c:pt idx="5">
                  <c:v>-4.1721628551524299E-3</c:v>
                </c:pt>
                <c:pt idx="6">
                  <c:v>-8.4023047166812397E-3</c:v>
                </c:pt>
                <c:pt idx="7">
                  <c:v>-9.0686510196685798E-3</c:v>
                </c:pt>
                <c:pt idx="8">
                  <c:v>-9.7062239681585602E-3</c:v>
                </c:pt>
                <c:pt idx="9">
                  <c:v>-1.1775931829781599E-2</c:v>
                </c:pt>
                <c:pt idx="10">
                  <c:v>-1.8188386564039202E-2</c:v>
                </c:pt>
                <c:pt idx="11">
                  <c:v>-2.0313513832359902E-2</c:v>
                </c:pt>
                <c:pt idx="12">
                  <c:v>-2.01809273634189E-2</c:v>
                </c:pt>
              </c:numCache>
            </c:numRef>
          </c:val>
          <c:smooth val="0"/>
        </c:ser>
        <c:dLbls>
          <c:showLegendKey val="0"/>
          <c:showVal val="0"/>
          <c:showCatName val="0"/>
          <c:showSerName val="0"/>
          <c:showPercent val="0"/>
          <c:showBubbleSize val="0"/>
        </c:dLbls>
        <c:marker val="1"/>
        <c:smooth val="0"/>
        <c:axId val="-377049344"/>
        <c:axId val="-377054240"/>
      </c:lineChart>
      <c:dateAx>
        <c:axId val="-377049344"/>
        <c:scaling>
          <c:orientation val="minMax"/>
        </c:scaling>
        <c:delete val="0"/>
        <c:axPos val="b"/>
        <c:numFmt formatCode="mmm\ yy" sourceLinked="0"/>
        <c:majorTickMark val="out"/>
        <c:minorTickMark val="none"/>
        <c:tickLblPos val="nextTo"/>
        <c:crossAx val="-377054240"/>
        <c:crosses val="autoZero"/>
        <c:auto val="1"/>
        <c:lblOffset val="100"/>
        <c:baseTimeUnit val="months"/>
      </c:dateAx>
      <c:valAx>
        <c:axId val="-377054240"/>
        <c:scaling>
          <c:orientation val="minMax"/>
        </c:scaling>
        <c:delete val="0"/>
        <c:axPos val="l"/>
        <c:numFmt formatCode="0.0%" sourceLinked="1"/>
        <c:majorTickMark val="out"/>
        <c:minorTickMark val="none"/>
        <c:tickLblPos val="nextTo"/>
        <c:crossAx val="-377049344"/>
        <c:crosses val="autoZero"/>
        <c:crossBetween val="between"/>
      </c:valAx>
    </c:plotArea>
    <c:legend>
      <c:legendPos val="t"/>
      <c:overlay val="0"/>
    </c:legend>
    <c:plotVisOnly val="1"/>
    <c:dispBlanksAs val="gap"/>
    <c:showDLblsOverMax val="0"/>
  </c:chart>
  <c:spPr>
    <a:blipFill>
      <a:blip xmlns:r="http://schemas.openxmlformats.org/officeDocument/2006/relationships" r:embed="rId2"/>
      <a:tile tx="0" ty="0" sx="100000" sy="100000" flip="none" algn="tl"/>
    </a:blipFill>
  </c:spPr>
  <c:txPr>
    <a:bodyPr/>
    <a:lstStyle/>
    <a:p>
      <a:pPr>
        <a:defRPr sz="800"/>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r>
              <a:rPr lang="fr-FR" sz="1200" b="1" i="0" baseline="0">
                <a:effectLst/>
                <a:latin typeface="Segoe UI" panose="020B0502040204020203" pitchFamily="34" charset="0"/>
                <a:cs typeface="Segoe UI" panose="020B0502040204020203" pitchFamily="34" charset="0"/>
              </a:rPr>
              <a:t>Evolution des réalisations brutes par régie à fin juin 2016 et 2017, en millions de FCFA</a:t>
            </a:r>
            <a:endParaRPr lang="fr-FR" sz="1100">
              <a:effectLst/>
              <a:latin typeface="Segoe UI" panose="020B0502040204020203" pitchFamily="34" charset="0"/>
              <a:cs typeface="Segoe UI" panose="020B0502040204020203" pitchFamily="34" charset="0"/>
            </a:endParaRP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'Juin,2017 '!$B$1</c:f>
              <c:strCache>
                <c:ptCount val="1"/>
                <c:pt idx="0">
                  <c:v>2016</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99700290842023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'Juin,2017 '!$A$2:$A$4</c:f>
              <c:strCache>
                <c:ptCount val="3"/>
                <c:pt idx="0">
                  <c:v>DGDDI</c:v>
                </c:pt>
                <c:pt idx="1">
                  <c:v>DGI</c:v>
                </c:pt>
                <c:pt idx="2">
                  <c:v>DGTCP</c:v>
                </c:pt>
              </c:strCache>
            </c:strRef>
          </c:cat>
          <c:val>
            <c:numRef>
              <c:f>'Juin,2017 '!$B$2:$B$4</c:f>
              <c:numCache>
                <c:formatCode>#,##0.0</c:formatCode>
                <c:ptCount val="3"/>
                <c:pt idx="0">
                  <c:v>151193.9</c:v>
                </c:pt>
                <c:pt idx="1">
                  <c:v>210418</c:v>
                </c:pt>
                <c:pt idx="2">
                  <c:v>23442</c:v>
                </c:pt>
              </c:numCache>
            </c:numRef>
          </c:val>
          <c:shape val="cylinder"/>
        </c:ser>
        <c:ser>
          <c:idx val="1"/>
          <c:order val="1"/>
          <c:tx>
            <c:strRef>
              <c:f>'Juin,2017 '!$C$1</c:f>
              <c:strCache>
                <c:ptCount val="1"/>
                <c:pt idx="0">
                  <c:v>2017</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9444385330212102E-2"/>
                  <c:y val="-1.851851851851860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8423423423423338E-2"/>
                  <c:y val="-1.388888888888893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5645704759877989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'Juin,2017 '!$A$2:$A$4</c:f>
              <c:strCache>
                <c:ptCount val="3"/>
                <c:pt idx="0">
                  <c:v>DGDDI</c:v>
                </c:pt>
                <c:pt idx="1">
                  <c:v>DGI</c:v>
                </c:pt>
                <c:pt idx="2">
                  <c:v>DGTCP</c:v>
                </c:pt>
              </c:strCache>
            </c:strRef>
          </c:cat>
          <c:val>
            <c:numRef>
              <c:f>'Juin,2017 '!$C$2:$C$4</c:f>
              <c:numCache>
                <c:formatCode>#,##0.0</c:formatCode>
                <c:ptCount val="3"/>
                <c:pt idx="0">
                  <c:v>141355.5</c:v>
                </c:pt>
                <c:pt idx="1">
                  <c:v>198617.9</c:v>
                </c:pt>
                <c:pt idx="2">
                  <c:v>70370.7</c:v>
                </c:pt>
              </c:numCache>
            </c:numRef>
          </c:val>
          <c:shape val="cylinder"/>
        </c:ser>
        <c:dLbls>
          <c:showLegendKey val="0"/>
          <c:showVal val="1"/>
          <c:showCatName val="0"/>
          <c:showSerName val="0"/>
          <c:showPercent val="0"/>
          <c:showBubbleSize val="0"/>
        </c:dLbls>
        <c:gapWidth val="150"/>
        <c:shape val="box"/>
        <c:axId val="-427885216"/>
        <c:axId val="-427884128"/>
        <c:axId val="0"/>
      </c:bar3DChart>
      <c:catAx>
        <c:axId val="-42788521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crossAx val="-427884128"/>
        <c:crosses val="autoZero"/>
        <c:auto val="1"/>
        <c:lblAlgn val="ctr"/>
        <c:lblOffset val="100"/>
        <c:noMultiLvlLbl val="0"/>
      </c:catAx>
      <c:valAx>
        <c:axId val="-4278841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crossAx val="-427885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legend>
    <c:plotVisOnly val="1"/>
    <c:dispBlanksAs val="gap"/>
    <c:showDLblsOverMax val="0"/>
  </c:chart>
  <c:spPr>
    <a:solidFill>
      <a:schemeClr val="bg1"/>
    </a:solidFill>
    <a:ln w="25400" cap="flat" cmpd="sng" algn="ctr">
      <a:solidFill>
        <a:schemeClr val="tx1"/>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fr-FR" sz="1200" b="1" i="0" baseline="0">
                <a:effectLst/>
                <a:latin typeface="Segoe UI" panose="020B0502040204020203" pitchFamily="34" charset="0"/>
                <a:cs typeface="Segoe UI" panose="020B0502040204020203" pitchFamily="34" charset="0"/>
              </a:rPr>
              <a:t>Evolution des dépenses budgétaires par masse à fin juin 2016 et 2017, en millions de FCFA</a:t>
            </a:r>
            <a:endParaRPr lang="fr-FR" sz="900">
              <a:effectLst/>
              <a:latin typeface="Segoe UI" panose="020B0502040204020203" pitchFamily="34" charset="0"/>
              <a:cs typeface="Segoe UI" panose="020B0502040204020203" pitchFamily="34" charset="0"/>
            </a:endParaRPr>
          </a:p>
        </c:rich>
      </c:tx>
      <c:layout>
        <c:manualLayout>
          <c:xMode val="edge"/>
          <c:yMode val="edge"/>
          <c:x val="0.17869674398808258"/>
          <c:y val="2.6858517246702882E-2"/>
        </c:manualLayout>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fr-F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140332458442694"/>
          <c:y val="0.22043168797472584"/>
          <c:w val="0.87217024898914663"/>
          <c:h val="0.60783332129886469"/>
        </c:manualLayout>
      </c:layout>
      <c:bar3DChart>
        <c:barDir val="col"/>
        <c:grouping val="clustered"/>
        <c:varyColors val="0"/>
        <c:ser>
          <c:idx val="0"/>
          <c:order val="0"/>
          <c:tx>
            <c:strRef>
              <c:f>'Juin,2017 '!$B$19</c:f>
              <c:strCache>
                <c:ptCount val="1"/>
                <c:pt idx="0">
                  <c:v>2016</c:v>
                </c:pt>
              </c:strCache>
            </c:strRef>
          </c:tx>
          <c:spPr>
            <a:solidFill>
              <a:schemeClr val="accent1"/>
            </a:solidFill>
            <a:ln>
              <a:noFill/>
            </a:ln>
            <a:effectLst/>
            <a:sp3d/>
          </c:spPr>
          <c:invertIfNegative val="0"/>
          <c:dLbls>
            <c:dLbl>
              <c:idx val="1"/>
              <c:layout>
                <c:manualLayout>
                  <c:x val="1.5029522275899088E-2"/>
                  <c:y val="2.686108979278589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6036036036036036E-2"/>
                  <c:y val="1.151079310572980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4414414414414415E-2"/>
                  <c:y val="2.30215862114596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4023567102421377E-3"/>
                  <c:y val="-3.8403200367413781E-3"/>
                </c:manualLayout>
              </c:layout>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extLst>
                <c:ext xmlns:c15="http://schemas.microsoft.com/office/drawing/2012/chart" uri="{CE6537A1-D6FC-4f65-9D91-7224C49458BB}"/>
              </c:extLst>
            </c:dLbl>
            <c:dLbl>
              <c:idx val="6"/>
              <c:layout>
                <c:manualLayout>
                  <c:x val="2.4024024024024027E-3"/>
                  <c:y val="1.918465517621634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4414414414414415E-2"/>
                  <c:y val="1.91846551762162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288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'Juin,2017 '!$A$20:$A$27</c:f>
              <c:strCache>
                <c:ptCount val="8"/>
                <c:pt idx="0">
                  <c:v>Charges fin.de la dette pub</c:v>
                </c:pt>
                <c:pt idx="1">
                  <c:v>Dép.Personnel</c:v>
                </c:pt>
                <c:pt idx="2">
                  <c:v>Dép d'acquis de biens et services</c:v>
                </c:pt>
                <c:pt idx="3">
                  <c:v>Dép.Transferts</c:v>
                </c:pt>
                <c:pt idx="4">
                  <c:v>Dép.Capital (Fin.Inté)</c:v>
                </c:pt>
                <c:pt idx="5">
                  <c:v>Dép.Capital (Fin.Exté)</c:v>
                </c:pt>
                <c:pt idx="6">
                  <c:v>Autres budgets</c:v>
                </c:pt>
                <c:pt idx="7">
                  <c:v>Comptes d'Affect.Spécial</c:v>
                </c:pt>
              </c:strCache>
            </c:strRef>
          </c:cat>
          <c:val>
            <c:numRef>
              <c:f>'Juin,2017 '!$B$20:$B$27</c:f>
              <c:numCache>
                <c:formatCode>#,##0.0</c:formatCode>
                <c:ptCount val="8"/>
                <c:pt idx="0">
                  <c:v>23867.7</c:v>
                </c:pt>
                <c:pt idx="1">
                  <c:v>189959.7</c:v>
                </c:pt>
                <c:pt idx="2">
                  <c:v>58224.3</c:v>
                </c:pt>
                <c:pt idx="3">
                  <c:v>127333.3</c:v>
                </c:pt>
                <c:pt idx="4">
                  <c:v>101973.8</c:v>
                </c:pt>
                <c:pt idx="5">
                  <c:v>43683.3</c:v>
                </c:pt>
                <c:pt idx="6">
                  <c:v>38867</c:v>
                </c:pt>
                <c:pt idx="7">
                  <c:v>21667.599999999999</c:v>
                </c:pt>
              </c:numCache>
            </c:numRef>
          </c:val>
          <c:shape val="cylinder"/>
        </c:ser>
        <c:ser>
          <c:idx val="1"/>
          <c:order val="1"/>
          <c:tx>
            <c:strRef>
              <c:f>'Juin,2017 '!$C$19</c:f>
              <c:strCache>
                <c:ptCount val="1"/>
                <c:pt idx="0">
                  <c:v>2017</c:v>
                </c:pt>
              </c:strCache>
            </c:strRef>
          </c:tx>
          <c:spPr>
            <a:solidFill>
              <a:schemeClr val="accent2"/>
            </a:solidFill>
            <a:ln>
              <a:noFill/>
            </a:ln>
            <a:effectLst/>
            <a:sp3d/>
          </c:spPr>
          <c:invertIfNegative val="0"/>
          <c:dLbls>
            <c:dLbl>
              <c:idx val="0"/>
              <c:layout>
                <c:manualLayout>
                  <c:x val="3.0209846957536104E-2"/>
                  <c:y val="1.150887413056483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621621621621585E-2"/>
                  <c:y val="2.30215862114596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8828828828828874E-2"/>
                  <c:y val="3.069544828194608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30065384339035E-2"/>
                  <c:y val="-1.5107474574120291E-6"/>
                </c:manualLayout>
              </c:layout>
              <c:spPr>
                <a:noFill/>
                <a:ln>
                  <a:noFill/>
                </a:ln>
                <a:effectLst/>
              </c:spPr>
              <c:txPr>
                <a:bodyPr rot="-324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3.3633633633633642E-2"/>
                  <c:y val="1.151079310572980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8828828828828829E-2"/>
                  <c:y val="1.918465517621628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3.6036036036035946E-2"/>
                  <c:y val="1.151079310572987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3633633633633642E-2"/>
                  <c:y val="1.534772414097293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27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'Juin,2017 '!$A$20:$A$27</c:f>
              <c:strCache>
                <c:ptCount val="8"/>
                <c:pt idx="0">
                  <c:v>Charges fin.de la dette pub</c:v>
                </c:pt>
                <c:pt idx="1">
                  <c:v>Dép.Personnel</c:v>
                </c:pt>
                <c:pt idx="2">
                  <c:v>Dép d'acquis de biens et services</c:v>
                </c:pt>
                <c:pt idx="3">
                  <c:v>Dép.Transferts</c:v>
                </c:pt>
                <c:pt idx="4">
                  <c:v>Dép.Capital (Fin.Inté)</c:v>
                </c:pt>
                <c:pt idx="5">
                  <c:v>Dép.Capital (Fin.Exté)</c:v>
                </c:pt>
                <c:pt idx="6">
                  <c:v>Autres budgets</c:v>
                </c:pt>
                <c:pt idx="7">
                  <c:v>Comptes d'Affect.Spécial</c:v>
                </c:pt>
              </c:strCache>
            </c:strRef>
          </c:cat>
          <c:val>
            <c:numRef>
              <c:f>'Juin,2017 '!$C$20:$C$27</c:f>
              <c:numCache>
                <c:formatCode>#,##0.0</c:formatCode>
                <c:ptCount val="8"/>
                <c:pt idx="0">
                  <c:v>46090.400000000001</c:v>
                </c:pt>
                <c:pt idx="1">
                  <c:v>168633</c:v>
                </c:pt>
                <c:pt idx="2">
                  <c:v>49870.1</c:v>
                </c:pt>
                <c:pt idx="3">
                  <c:v>85442.9</c:v>
                </c:pt>
                <c:pt idx="4">
                  <c:v>161399.79999999999</c:v>
                </c:pt>
                <c:pt idx="5">
                  <c:v>60353.9</c:v>
                </c:pt>
                <c:pt idx="6">
                  <c:v>43258.400000000001</c:v>
                </c:pt>
                <c:pt idx="7">
                  <c:v>20882.2</c:v>
                </c:pt>
              </c:numCache>
            </c:numRef>
          </c:val>
          <c:shape val="cylinder"/>
        </c:ser>
        <c:dLbls>
          <c:showLegendKey val="0"/>
          <c:showVal val="0"/>
          <c:showCatName val="0"/>
          <c:showSerName val="0"/>
          <c:showPercent val="0"/>
          <c:showBubbleSize val="0"/>
        </c:dLbls>
        <c:gapWidth val="150"/>
        <c:shape val="box"/>
        <c:axId val="-427882496"/>
        <c:axId val="-427884672"/>
        <c:axId val="0"/>
      </c:bar3DChart>
      <c:catAx>
        <c:axId val="-4278824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cap="none" spc="0" normalizeH="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crossAx val="-427884672"/>
        <c:crosses val="autoZero"/>
        <c:auto val="1"/>
        <c:lblAlgn val="ctr"/>
        <c:lblOffset val="100"/>
        <c:noMultiLvlLbl val="0"/>
      </c:catAx>
      <c:valAx>
        <c:axId val="-42788467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fr-FR"/>
          </a:p>
        </c:txPr>
        <c:crossAx val="-427882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28575" cap="flat" cmpd="sng" algn="ctr">
      <a:solidFill>
        <a:sysClr val="windowText" lastClr="000000"/>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2015-07-14T00:00:00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E06AEF-2931-4212-BFA2-70A95A93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42</Pages>
  <Words>10678</Words>
  <Characters>58735</Characters>
  <Application>Microsoft Office Word</Application>
  <DocSecurity>0</DocSecurity>
  <Lines>489</Lines>
  <Paragraphs>138</Paragraphs>
  <ScaleCrop>false</ScaleCrop>
  <HeadingPairs>
    <vt:vector size="2" baseType="variant">
      <vt:variant>
        <vt:lpstr>Titre</vt:lpstr>
      </vt:variant>
      <vt:variant>
        <vt:i4>1</vt:i4>
      </vt:variant>
    </vt:vector>
  </HeadingPairs>
  <TitlesOfParts>
    <vt:vector size="1" baseType="lpstr">
      <vt:lpstr>Rapport de présentation</vt:lpstr>
    </vt:vector>
  </TitlesOfParts>
  <Company>Hewlett-Packard</Company>
  <LinksUpToDate>false</LinksUpToDate>
  <CharactersWithSpaces>69275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présentation</dc:title>
  <dc:subject/>
  <dc:creator>User</dc:creator>
  <cp:keywords/>
  <dc:description/>
  <cp:lastModifiedBy>hp</cp:lastModifiedBy>
  <cp:revision>50</cp:revision>
  <cp:lastPrinted>2017-09-22T15:47:00Z</cp:lastPrinted>
  <dcterms:created xsi:type="dcterms:W3CDTF">2017-10-07T18:12:00Z</dcterms:created>
  <dcterms:modified xsi:type="dcterms:W3CDTF">2017-10-17T17:33:00Z</dcterms:modified>
</cp:coreProperties>
</file>