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MON_1551037797"/>
    <w:bookmarkEnd w:id="0"/>
    <w:p w14:paraId="5CF415C1" w14:textId="039EF412" w:rsidR="00D96831" w:rsidRPr="00A73BA5" w:rsidRDefault="008C2869" w:rsidP="00166A8D">
      <w:pPr>
        <w:rPr>
          <w:rFonts w:ascii="Segoe UI" w:hAnsi="Segoe UI" w:cs="Segoe UI"/>
          <w:sz w:val="20"/>
          <w:szCs w:val="20"/>
        </w:rPr>
      </w:pPr>
      <w:r w:rsidRPr="00BB2BCE">
        <w:rPr>
          <w:rFonts w:ascii="Segoe UI" w:hAnsi="Segoe UI" w:cs="Segoe UI"/>
          <w:b/>
          <w:sz w:val="16"/>
          <w:szCs w:val="16"/>
        </w:rPr>
        <w:object w:dxaOrig="9841" w:dyaOrig="13155" w14:anchorId="03D2D0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4pt;height:664.2pt" o:ole="">
            <v:imagedata r:id="rId9" o:title=""/>
          </v:shape>
          <o:OLEObject Type="Embed" ProgID="Word.Document.12" ShapeID="_x0000_i1025" DrawAspect="Content" ObjectID="_1557867949" r:id="rId10"/>
        </w:object>
      </w:r>
      <w:r w:rsidR="00E07FE4">
        <w:rPr>
          <w:rFonts w:ascii="Segoe UI" w:hAnsi="Segoe UI" w:cs="Segoe UI"/>
          <w:b/>
          <w:noProof/>
          <w:sz w:val="28"/>
          <w:szCs w:val="28"/>
        </w:rPr>
        <w:pict w14:anchorId="499AB137">
          <v:shapetype id="_x0000_t202" coordsize="21600,21600" o:spt="202" path="m,l,21600r21600,l21600,xe">
            <v:stroke joinstyle="miter"/>
            <v:path gradientshapeok="t" o:connecttype="rect"/>
          </v:shapetype>
          <v:shape id="Text Box 7" o:spid="_x0000_s1026" type="#_x0000_t202" style="position:absolute;margin-left:132.85pt;margin-top:641.35pt;width:192.15pt;height:48.25pt;z-index:25166643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qqSggIAAA8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" stroked="f">
            <v:textbox>
              <w:txbxContent>
                <w:p w14:paraId="4BC6E1E7" w14:textId="77777777" w:rsidR="00EE133A" w:rsidRPr="0098220B" w:rsidRDefault="00EE133A" w:rsidP="00103402">
                  <w:pPr>
                    <w:spacing w:after="0" w:line="240" w:lineRule="auto"/>
                    <w:jc w:val="center"/>
                    <w:rPr>
                      <w:rFonts w:ascii="Arial Narrow" w:hAnsi="Arial Narrow"/>
                    </w:rPr>
                  </w:pPr>
                </w:p>
                <w:p w14:paraId="27D52B3E" w14:textId="77777777" w:rsidR="00EE133A" w:rsidRPr="001E78AF" w:rsidRDefault="00EE133A" w:rsidP="00103402">
                  <w:pPr>
                    <w:spacing w:after="0"/>
                    <w:jc w:val="center"/>
                    <w:rPr>
                      <w:rFonts w:ascii="AR CENA" w:hAnsi="AR CENA"/>
                    </w:rPr>
                  </w:pPr>
                </w:p>
              </w:txbxContent>
            </v:textbox>
          </v:shape>
        </w:pict>
      </w:r>
    </w:p>
    <w:p w14:paraId="095DEEDE" w14:textId="77777777" w:rsidR="00DC1875" w:rsidRDefault="00DC1875" w:rsidP="0068414F">
      <w:pPr>
        <w:pStyle w:val="Tabledesillustrations"/>
        <w:tabs>
          <w:tab w:val="right" w:leader="underscore" w:pos="9344"/>
        </w:tabs>
        <w:rPr>
          <w:rFonts w:ascii="Segoe UI" w:hAnsi="Segoe UI" w:cs="Segoe UI"/>
          <w:b/>
          <w:iCs w:val="0"/>
          <w:noProof/>
          <w:sz w:val="22"/>
          <w:szCs w:val="22"/>
        </w:rPr>
      </w:pPr>
    </w:p>
    <w:p w14:paraId="73A161C2" w14:textId="77777777" w:rsidR="00DC1875" w:rsidRDefault="00DC1875" w:rsidP="0068414F">
      <w:pPr>
        <w:pStyle w:val="Tabledesillustrations"/>
        <w:tabs>
          <w:tab w:val="right" w:leader="underscore" w:pos="9344"/>
        </w:tabs>
        <w:rPr>
          <w:rFonts w:ascii="Segoe UI" w:hAnsi="Segoe UI" w:cs="Segoe UI"/>
          <w:b/>
          <w:iCs w:val="0"/>
          <w:noProof/>
          <w:sz w:val="22"/>
          <w:szCs w:val="22"/>
        </w:rPr>
      </w:pPr>
    </w:p>
    <w:p w14:paraId="113048A4" w14:textId="77777777" w:rsidR="00DC1875" w:rsidRDefault="00DC1875" w:rsidP="0068414F">
      <w:pPr>
        <w:pStyle w:val="Tabledesillustrations"/>
        <w:tabs>
          <w:tab w:val="right" w:leader="underscore" w:pos="9344"/>
        </w:tabs>
        <w:rPr>
          <w:rFonts w:ascii="Segoe UI" w:hAnsi="Segoe UI" w:cs="Segoe UI"/>
          <w:b/>
          <w:iCs w:val="0"/>
          <w:noProof/>
          <w:sz w:val="22"/>
          <w:szCs w:val="22"/>
        </w:rPr>
      </w:pPr>
    </w:p>
    <w:p w14:paraId="045F641E" w14:textId="77777777" w:rsidR="00DC1875" w:rsidRDefault="00DC1875" w:rsidP="0068414F">
      <w:pPr>
        <w:pStyle w:val="Tabledesillustrations"/>
        <w:tabs>
          <w:tab w:val="right" w:leader="underscore" w:pos="9344"/>
        </w:tabs>
        <w:rPr>
          <w:rFonts w:ascii="Segoe UI" w:hAnsi="Segoe UI" w:cs="Segoe UI"/>
          <w:b/>
          <w:iCs w:val="0"/>
          <w:noProof/>
          <w:sz w:val="22"/>
          <w:szCs w:val="22"/>
        </w:rPr>
      </w:pPr>
    </w:p>
    <w:p w14:paraId="1AF3774A" w14:textId="77777777" w:rsidR="0068414F" w:rsidRPr="00A73BA5" w:rsidRDefault="0068414F" w:rsidP="0068414F">
      <w:pPr>
        <w:pStyle w:val="Tabledesillustrations"/>
        <w:tabs>
          <w:tab w:val="right" w:leader="underscore" w:pos="9344"/>
        </w:tabs>
        <w:rPr>
          <w:rFonts w:ascii="Segoe UI" w:hAnsi="Segoe UI" w:cs="Segoe UI"/>
          <w:b/>
          <w:iCs w:val="0"/>
          <w:noProof/>
          <w:sz w:val="22"/>
          <w:szCs w:val="22"/>
        </w:rPr>
      </w:pPr>
      <w:r w:rsidRPr="00A73BA5">
        <w:rPr>
          <w:rFonts w:ascii="Segoe UI" w:hAnsi="Segoe UI" w:cs="Segoe UI"/>
          <w:b/>
          <w:iCs w:val="0"/>
          <w:noProof/>
          <w:sz w:val="22"/>
          <w:szCs w:val="22"/>
        </w:rPr>
        <w:t>DEVELOPPEMENT DES SIGLES</w:t>
      </w:r>
    </w:p>
    <w:p w14:paraId="09341420" w14:textId="77777777" w:rsidR="0068414F" w:rsidRPr="00A73BA5" w:rsidRDefault="0068414F" w:rsidP="0068414F">
      <w:pPr>
        <w:pStyle w:val="Pieddepage"/>
        <w:tabs>
          <w:tab w:val="clear" w:pos="4536"/>
          <w:tab w:val="clear" w:pos="9072"/>
        </w:tabs>
        <w:rPr>
          <w:rFonts w:ascii="Segoe UI" w:hAnsi="Segoe UI" w:cs="Segoe UI"/>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1"/>
        <w:gridCol w:w="260"/>
        <w:gridCol w:w="7641"/>
      </w:tblGrid>
      <w:tr w:rsidR="003128FB" w:rsidRPr="00540FF8" w14:paraId="253A6E80" w14:textId="77777777" w:rsidTr="003128FB">
        <w:tc>
          <w:tcPr>
            <w:tcW w:w="0" w:type="auto"/>
          </w:tcPr>
          <w:p w14:paraId="2DF4B29E"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AFS </w:t>
            </w:r>
          </w:p>
        </w:tc>
        <w:tc>
          <w:tcPr>
            <w:tcW w:w="0" w:type="auto"/>
          </w:tcPr>
          <w:p w14:paraId="1F752A92"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6CEEEE57"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Acompte Forfaitaire Spécial</w:t>
            </w:r>
          </w:p>
        </w:tc>
      </w:tr>
      <w:tr w:rsidR="003128FB" w:rsidRPr="00540FF8" w14:paraId="5CC09974" w14:textId="77777777" w:rsidTr="003128FB">
        <w:tc>
          <w:tcPr>
            <w:tcW w:w="0" w:type="auto"/>
          </w:tcPr>
          <w:p w14:paraId="4DADF7BF"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CGI </w:t>
            </w:r>
          </w:p>
        </w:tc>
        <w:tc>
          <w:tcPr>
            <w:tcW w:w="0" w:type="auto"/>
          </w:tcPr>
          <w:p w14:paraId="26062CA9"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55EC13CE"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Code Général des Impôts</w:t>
            </w:r>
          </w:p>
        </w:tc>
      </w:tr>
      <w:tr w:rsidR="003128FB" w:rsidRPr="00540FF8" w14:paraId="37CF724F" w14:textId="77777777" w:rsidTr="003128FB">
        <w:tc>
          <w:tcPr>
            <w:tcW w:w="0" w:type="auto"/>
          </w:tcPr>
          <w:p w14:paraId="63CBEC40"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CFPB </w:t>
            </w:r>
          </w:p>
        </w:tc>
        <w:tc>
          <w:tcPr>
            <w:tcW w:w="0" w:type="auto"/>
          </w:tcPr>
          <w:p w14:paraId="21334FC8"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48888126"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Contribution  Foncière des Propriétés Bâties</w:t>
            </w:r>
          </w:p>
        </w:tc>
      </w:tr>
      <w:tr w:rsidR="003128FB" w:rsidRPr="00540FF8" w14:paraId="59EFA701" w14:textId="77777777" w:rsidTr="003128FB">
        <w:tc>
          <w:tcPr>
            <w:tcW w:w="0" w:type="auto"/>
          </w:tcPr>
          <w:p w14:paraId="2C6122EF"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DGDDI </w:t>
            </w:r>
          </w:p>
        </w:tc>
        <w:tc>
          <w:tcPr>
            <w:tcW w:w="0" w:type="auto"/>
          </w:tcPr>
          <w:p w14:paraId="2585E352"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1C6E98FB"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Direction Générale des Douanes et Droits Indirects</w:t>
            </w:r>
          </w:p>
        </w:tc>
      </w:tr>
      <w:tr w:rsidR="003128FB" w:rsidRPr="00540FF8" w14:paraId="2AF3981E" w14:textId="77777777" w:rsidTr="003128FB">
        <w:tc>
          <w:tcPr>
            <w:tcW w:w="0" w:type="auto"/>
          </w:tcPr>
          <w:p w14:paraId="59E6B8B0"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DGI </w:t>
            </w:r>
          </w:p>
        </w:tc>
        <w:tc>
          <w:tcPr>
            <w:tcW w:w="0" w:type="auto"/>
          </w:tcPr>
          <w:p w14:paraId="0348244A"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01A4D107"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 xml:space="preserve">Direction Générale des Impôts </w:t>
            </w:r>
          </w:p>
        </w:tc>
      </w:tr>
      <w:tr w:rsidR="003128FB" w:rsidRPr="00540FF8" w14:paraId="761F2235" w14:textId="77777777" w:rsidTr="003128FB">
        <w:tc>
          <w:tcPr>
            <w:tcW w:w="0" w:type="auto"/>
          </w:tcPr>
          <w:p w14:paraId="5E1F8591"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DGTCP </w:t>
            </w:r>
          </w:p>
        </w:tc>
        <w:tc>
          <w:tcPr>
            <w:tcW w:w="0" w:type="auto"/>
          </w:tcPr>
          <w:p w14:paraId="7A53EE17"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00E1EBC9"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Direction Générale du Trésor et de la Comptabilité Publique</w:t>
            </w:r>
          </w:p>
        </w:tc>
      </w:tr>
      <w:tr w:rsidR="003128FB" w:rsidRPr="00540FF8" w14:paraId="0245E446" w14:textId="77777777" w:rsidTr="003128FB">
        <w:tc>
          <w:tcPr>
            <w:tcW w:w="0" w:type="auto"/>
          </w:tcPr>
          <w:p w14:paraId="23704132"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SCRP </w:t>
            </w:r>
          </w:p>
        </w:tc>
        <w:tc>
          <w:tcPr>
            <w:tcW w:w="0" w:type="auto"/>
          </w:tcPr>
          <w:p w14:paraId="2481D66F"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240C2DCD"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Stratégie de Croissance pour la Réduction de la Pauvreté</w:t>
            </w:r>
          </w:p>
        </w:tc>
      </w:tr>
      <w:tr w:rsidR="003128FB" w:rsidRPr="00540FF8" w14:paraId="4379FE9F" w14:textId="77777777" w:rsidTr="003128FB">
        <w:tc>
          <w:tcPr>
            <w:tcW w:w="0" w:type="auto"/>
          </w:tcPr>
          <w:p w14:paraId="4E52F9E4"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FNRB </w:t>
            </w:r>
          </w:p>
        </w:tc>
        <w:tc>
          <w:tcPr>
            <w:tcW w:w="0" w:type="auto"/>
          </w:tcPr>
          <w:p w14:paraId="60497CF7"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7E4BF81A"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Fonds National des Retraites du Bénin</w:t>
            </w:r>
          </w:p>
        </w:tc>
      </w:tr>
      <w:tr w:rsidR="00540FF8" w:rsidRPr="00540FF8" w14:paraId="39E51D18" w14:textId="77777777" w:rsidTr="003128FB">
        <w:tc>
          <w:tcPr>
            <w:tcW w:w="0" w:type="auto"/>
          </w:tcPr>
          <w:p w14:paraId="3A29F94C" w14:textId="77777777" w:rsidR="00540FF8" w:rsidRPr="00540FF8" w:rsidRDefault="00540FF8"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FR</w:t>
            </w:r>
          </w:p>
        </w:tc>
        <w:tc>
          <w:tcPr>
            <w:tcW w:w="0" w:type="auto"/>
          </w:tcPr>
          <w:p w14:paraId="774DA2C9" w14:textId="77777777" w:rsidR="00540FF8" w:rsidRPr="00540FF8" w:rsidRDefault="00540FF8"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786AF27A" w14:textId="77777777" w:rsidR="00540FF8" w:rsidRPr="00540FF8" w:rsidRDefault="00540FF8"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Fonds Routier</w:t>
            </w:r>
          </w:p>
        </w:tc>
      </w:tr>
      <w:tr w:rsidR="003128FB" w:rsidRPr="00540FF8" w14:paraId="5B222CC4" w14:textId="77777777" w:rsidTr="003128FB">
        <w:tc>
          <w:tcPr>
            <w:tcW w:w="0" w:type="auto"/>
          </w:tcPr>
          <w:p w14:paraId="2599F56A"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 xml:space="preserve">IPTS </w:t>
            </w:r>
          </w:p>
        </w:tc>
        <w:tc>
          <w:tcPr>
            <w:tcW w:w="0" w:type="auto"/>
          </w:tcPr>
          <w:p w14:paraId="1E68B93A"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3296B81E"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Impôt Progressif sur Traitements et Salaires</w:t>
            </w:r>
          </w:p>
        </w:tc>
      </w:tr>
      <w:tr w:rsidR="003128FB" w:rsidRPr="00540FF8" w14:paraId="17AD8D72" w14:textId="77777777" w:rsidTr="003128FB">
        <w:tc>
          <w:tcPr>
            <w:tcW w:w="0" w:type="auto"/>
          </w:tcPr>
          <w:p w14:paraId="491C3B30"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IBNC </w:t>
            </w:r>
          </w:p>
        </w:tc>
        <w:tc>
          <w:tcPr>
            <w:tcW w:w="0" w:type="auto"/>
          </w:tcPr>
          <w:p w14:paraId="5B176E10"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2CE63C8C"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Impôt  sur les Bénéfices non Commerciaux</w:t>
            </w:r>
          </w:p>
        </w:tc>
      </w:tr>
      <w:tr w:rsidR="003128FB" w:rsidRPr="00540FF8" w14:paraId="61245000" w14:textId="77777777" w:rsidTr="003128FB">
        <w:tc>
          <w:tcPr>
            <w:tcW w:w="0" w:type="auto"/>
          </w:tcPr>
          <w:p w14:paraId="781805EF"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 xml:space="preserve">IFU  </w:t>
            </w:r>
          </w:p>
        </w:tc>
        <w:tc>
          <w:tcPr>
            <w:tcW w:w="0" w:type="auto"/>
          </w:tcPr>
          <w:p w14:paraId="4CA89284"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7A09B2FB"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Identifiant Fiscal Unique</w:t>
            </w:r>
          </w:p>
        </w:tc>
      </w:tr>
      <w:tr w:rsidR="00D96831" w:rsidRPr="00540FF8" w14:paraId="6E64CB5C" w14:textId="77777777" w:rsidTr="003128FB">
        <w:tc>
          <w:tcPr>
            <w:tcW w:w="0" w:type="auto"/>
          </w:tcPr>
          <w:p w14:paraId="491E03EA" w14:textId="77777777" w:rsidR="00D96831" w:rsidRPr="00540FF8" w:rsidRDefault="00D96831"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IRPP</w:t>
            </w:r>
          </w:p>
        </w:tc>
        <w:tc>
          <w:tcPr>
            <w:tcW w:w="0" w:type="auto"/>
          </w:tcPr>
          <w:p w14:paraId="1F8901C6" w14:textId="77777777" w:rsidR="00D96831" w:rsidRPr="00540FF8" w:rsidRDefault="00D96831"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6615D3A2" w14:textId="77777777" w:rsidR="00D96831" w:rsidRPr="00540FF8" w:rsidRDefault="00D96831"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Impôt sur les Revenus des Personnes Physiques</w:t>
            </w:r>
          </w:p>
        </w:tc>
      </w:tr>
      <w:tr w:rsidR="003128FB" w:rsidRPr="00540FF8" w14:paraId="66A33052" w14:textId="77777777" w:rsidTr="003128FB">
        <w:tc>
          <w:tcPr>
            <w:tcW w:w="0" w:type="auto"/>
          </w:tcPr>
          <w:p w14:paraId="2BDA7CA3"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 xml:space="preserve">OMD </w:t>
            </w:r>
          </w:p>
        </w:tc>
        <w:tc>
          <w:tcPr>
            <w:tcW w:w="0" w:type="auto"/>
          </w:tcPr>
          <w:p w14:paraId="77EC4890"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3EA8A3DD"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Objectifs du Millénaire pour le Développement</w:t>
            </w:r>
          </w:p>
        </w:tc>
      </w:tr>
      <w:tr w:rsidR="003128FB" w:rsidRPr="00540FF8" w14:paraId="71911DB9" w14:textId="77777777" w:rsidTr="003128FB">
        <w:tc>
          <w:tcPr>
            <w:tcW w:w="0" w:type="auto"/>
          </w:tcPr>
          <w:p w14:paraId="1D81AE3B"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OHADA </w:t>
            </w:r>
          </w:p>
        </w:tc>
        <w:tc>
          <w:tcPr>
            <w:tcW w:w="0" w:type="auto"/>
          </w:tcPr>
          <w:p w14:paraId="1305CB41"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60532A78"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 xml:space="preserve">Organisation pour l’Harmonisation en Afrique du Droit des Affaires </w:t>
            </w:r>
          </w:p>
        </w:tc>
      </w:tr>
      <w:tr w:rsidR="003128FB" w:rsidRPr="00540FF8" w14:paraId="4EE9983F" w14:textId="77777777" w:rsidTr="003128FB">
        <w:tc>
          <w:tcPr>
            <w:tcW w:w="0" w:type="auto"/>
          </w:tcPr>
          <w:p w14:paraId="672E4421"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 xml:space="preserve">PIB </w:t>
            </w:r>
          </w:p>
        </w:tc>
        <w:tc>
          <w:tcPr>
            <w:tcW w:w="0" w:type="auto"/>
          </w:tcPr>
          <w:p w14:paraId="74F8A4FD"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01DE798C"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Produit Intérieur Brut</w:t>
            </w:r>
          </w:p>
        </w:tc>
      </w:tr>
      <w:tr w:rsidR="00540FF8" w:rsidRPr="00540FF8" w14:paraId="1CFEBBBC" w14:textId="77777777" w:rsidTr="003128FB">
        <w:tc>
          <w:tcPr>
            <w:tcW w:w="0" w:type="auto"/>
          </w:tcPr>
          <w:p w14:paraId="72827F0E" w14:textId="77777777" w:rsidR="00540FF8" w:rsidRPr="00540FF8" w:rsidRDefault="00540FF8"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PPTE</w:t>
            </w:r>
          </w:p>
        </w:tc>
        <w:tc>
          <w:tcPr>
            <w:tcW w:w="0" w:type="auto"/>
          </w:tcPr>
          <w:p w14:paraId="13512896" w14:textId="77777777" w:rsidR="00540FF8" w:rsidRPr="00540FF8" w:rsidRDefault="00540FF8"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2B8EB692" w14:textId="77777777" w:rsidR="00540FF8" w:rsidRPr="00540FF8" w:rsidRDefault="00540FF8"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Pays Pauvre Très Endetté</w:t>
            </w:r>
          </w:p>
        </w:tc>
      </w:tr>
      <w:tr w:rsidR="003128FB" w:rsidRPr="00540FF8" w14:paraId="67DEA2D9" w14:textId="77777777" w:rsidTr="003128FB">
        <w:tc>
          <w:tcPr>
            <w:tcW w:w="0" w:type="auto"/>
          </w:tcPr>
          <w:p w14:paraId="7374D3B7"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RFU </w:t>
            </w:r>
          </w:p>
        </w:tc>
        <w:tc>
          <w:tcPr>
            <w:tcW w:w="0" w:type="auto"/>
          </w:tcPr>
          <w:p w14:paraId="63EB0B10"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4B14611E"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Régime Foncier Urbain</w:t>
            </w:r>
          </w:p>
        </w:tc>
      </w:tr>
      <w:tr w:rsidR="003128FB" w:rsidRPr="00540FF8" w14:paraId="515ED293" w14:textId="77777777" w:rsidTr="003128FB">
        <w:tc>
          <w:tcPr>
            <w:tcW w:w="0" w:type="auto"/>
          </w:tcPr>
          <w:p w14:paraId="631A4EB3"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SICOPE </w:t>
            </w:r>
          </w:p>
        </w:tc>
        <w:tc>
          <w:tcPr>
            <w:tcW w:w="0" w:type="auto"/>
          </w:tcPr>
          <w:p w14:paraId="034A0A23"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4A73A3C6"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Système Intégré de Cotisation et des Pensions</w:t>
            </w:r>
          </w:p>
        </w:tc>
      </w:tr>
      <w:tr w:rsidR="003128FB" w:rsidRPr="00540FF8" w14:paraId="1D18AD29" w14:textId="77777777" w:rsidTr="003128FB">
        <w:tc>
          <w:tcPr>
            <w:tcW w:w="0" w:type="auto"/>
          </w:tcPr>
          <w:p w14:paraId="3DC1349C"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SIGFiP </w:t>
            </w:r>
          </w:p>
        </w:tc>
        <w:tc>
          <w:tcPr>
            <w:tcW w:w="0" w:type="auto"/>
          </w:tcPr>
          <w:p w14:paraId="380C0B08"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410FFAE3"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Système Intégré de Gestion des Finances Publiques</w:t>
            </w:r>
          </w:p>
        </w:tc>
      </w:tr>
      <w:tr w:rsidR="003128FB" w:rsidRPr="00540FF8" w14:paraId="3AC84AE1" w14:textId="77777777" w:rsidTr="003128FB">
        <w:tc>
          <w:tcPr>
            <w:tcW w:w="0" w:type="auto"/>
          </w:tcPr>
          <w:p w14:paraId="56B7B770"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SIGMAP </w:t>
            </w:r>
          </w:p>
        </w:tc>
        <w:tc>
          <w:tcPr>
            <w:tcW w:w="0" w:type="auto"/>
          </w:tcPr>
          <w:p w14:paraId="610530B5"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1F2A749C"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Système Informatisé de Gestion des Marchés Publics</w:t>
            </w:r>
          </w:p>
        </w:tc>
      </w:tr>
      <w:tr w:rsidR="003128FB" w:rsidRPr="00540FF8" w14:paraId="4D33C1F8" w14:textId="77777777" w:rsidTr="003128FB">
        <w:tc>
          <w:tcPr>
            <w:tcW w:w="0" w:type="auto"/>
          </w:tcPr>
          <w:p w14:paraId="30ED7B25"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SIPIBE </w:t>
            </w:r>
          </w:p>
        </w:tc>
        <w:tc>
          <w:tcPr>
            <w:tcW w:w="0" w:type="auto"/>
          </w:tcPr>
          <w:p w14:paraId="219A1961"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2FCC5709"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Système Informatique de Préparation Intégrée du Budget de l’Etat</w:t>
            </w:r>
          </w:p>
        </w:tc>
      </w:tr>
      <w:tr w:rsidR="003128FB" w:rsidRPr="00540FF8" w14:paraId="3F448DC8" w14:textId="77777777" w:rsidTr="003128FB">
        <w:tc>
          <w:tcPr>
            <w:tcW w:w="0" w:type="auto"/>
          </w:tcPr>
          <w:p w14:paraId="55A52ECB"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SYDONIA </w:t>
            </w:r>
          </w:p>
        </w:tc>
        <w:tc>
          <w:tcPr>
            <w:tcW w:w="0" w:type="auto"/>
          </w:tcPr>
          <w:p w14:paraId="3D010A92"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6BFF614C"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Système Douanier Automatisé</w:t>
            </w:r>
          </w:p>
        </w:tc>
      </w:tr>
      <w:tr w:rsidR="003128FB" w:rsidRPr="00540FF8" w14:paraId="55C5E8FD" w14:textId="77777777" w:rsidTr="003128FB">
        <w:tc>
          <w:tcPr>
            <w:tcW w:w="0" w:type="auto"/>
          </w:tcPr>
          <w:p w14:paraId="43FFFE28"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TVA </w:t>
            </w:r>
          </w:p>
        </w:tc>
        <w:tc>
          <w:tcPr>
            <w:tcW w:w="0" w:type="auto"/>
          </w:tcPr>
          <w:p w14:paraId="4EC62FD4"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2425B60D"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Taxe sur la Valeur Ajoutée</w:t>
            </w:r>
          </w:p>
        </w:tc>
      </w:tr>
      <w:tr w:rsidR="003128FB" w:rsidRPr="00540FF8" w14:paraId="57171383" w14:textId="77777777" w:rsidTr="003128FB">
        <w:tc>
          <w:tcPr>
            <w:tcW w:w="0" w:type="auto"/>
          </w:tcPr>
          <w:p w14:paraId="24880AB4"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TUCA</w:t>
            </w:r>
          </w:p>
        </w:tc>
        <w:tc>
          <w:tcPr>
            <w:tcW w:w="0" w:type="auto"/>
          </w:tcPr>
          <w:p w14:paraId="120F583C"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71B8BC27"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Taxe Unique sur les Contrats d’Assurance</w:t>
            </w:r>
          </w:p>
        </w:tc>
      </w:tr>
      <w:tr w:rsidR="003128FB" w:rsidRPr="00540FF8" w14:paraId="60768FA3" w14:textId="77777777" w:rsidTr="003128FB">
        <w:tc>
          <w:tcPr>
            <w:tcW w:w="0" w:type="auto"/>
          </w:tcPr>
          <w:p w14:paraId="2B545F6F"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TUTR </w:t>
            </w:r>
          </w:p>
        </w:tc>
        <w:tc>
          <w:tcPr>
            <w:tcW w:w="0" w:type="auto"/>
          </w:tcPr>
          <w:p w14:paraId="5EDDECCE"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02D27F9E"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 xml:space="preserve">Taxe Unique sur les Transports Routiers </w:t>
            </w:r>
          </w:p>
        </w:tc>
      </w:tr>
      <w:tr w:rsidR="003128FB" w:rsidRPr="00540FF8" w14:paraId="4B3A29F0" w14:textId="77777777" w:rsidTr="003128FB">
        <w:tc>
          <w:tcPr>
            <w:tcW w:w="0" w:type="auto"/>
          </w:tcPr>
          <w:p w14:paraId="3F7145BF"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TAF </w:t>
            </w:r>
          </w:p>
        </w:tc>
        <w:tc>
          <w:tcPr>
            <w:tcW w:w="0" w:type="auto"/>
          </w:tcPr>
          <w:p w14:paraId="778D7F95"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0A64771C"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Taxe sur les Activités  Financières</w:t>
            </w:r>
          </w:p>
        </w:tc>
      </w:tr>
      <w:tr w:rsidR="003128FB" w:rsidRPr="00540FF8" w14:paraId="1B9411FB" w14:textId="77777777" w:rsidTr="003128FB">
        <w:tc>
          <w:tcPr>
            <w:tcW w:w="0" w:type="auto"/>
          </w:tcPr>
          <w:p w14:paraId="1167C1F1"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TDL </w:t>
            </w:r>
          </w:p>
        </w:tc>
        <w:tc>
          <w:tcPr>
            <w:tcW w:w="0" w:type="auto"/>
          </w:tcPr>
          <w:p w14:paraId="548807A7"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019A67FD"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Taxe de Développement Local</w:t>
            </w:r>
          </w:p>
        </w:tc>
      </w:tr>
      <w:tr w:rsidR="003128FB" w:rsidRPr="00540FF8" w14:paraId="291329F9" w14:textId="77777777" w:rsidTr="003128FB">
        <w:tc>
          <w:tcPr>
            <w:tcW w:w="0" w:type="auto"/>
          </w:tcPr>
          <w:p w14:paraId="1A827F16"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TPU </w:t>
            </w:r>
          </w:p>
        </w:tc>
        <w:tc>
          <w:tcPr>
            <w:tcW w:w="0" w:type="auto"/>
          </w:tcPr>
          <w:p w14:paraId="1B52371D"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3C1913A3"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Taxe Professionnelle Unique</w:t>
            </w:r>
          </w:p>
        </w:tc>
      </w:tr>
      <w:tr w:rsidR="003128FB" w:rsidRPr="00540FF8" w14:paraId="51ACD89E" w14:textId="77777777" w:rsidTr="003128FB">
        <w:tc>
          <w:tcPr>
            <w:tcW w:w="0" w:type="auto"/>
          </w:tcPr>
          <w:p w14:paraId="5F3DF7D8"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VPS </w:t>
            </w:r>
          </w:p>
        </w:tc>
        <w:tc>
          <w:tcPr>
            <w:tcW w:w="0" w:type="auto"/>
          </w:tcPr>
          <w:p w14:paraId="6759F0C2"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w:t>
            </w:r>
          </w:p>
        </w:tc>
        <w:tc>
          <w:tcPr>
            <w:tcW w:w="7641" w:type="dxa"/>
          </w:tcPr>
          <w:p w14:paraId="007633C6" w14:textId="77777777" w:rsidR="003128FB" w:rsidRPr="00540FF8" w:rsidRDefault="003128FB" w:rsidP="003128FB">
            <w:pPr>
              <w:pStyle w:val="Tabledesillustrations"/>
              <w:spacing w:line="360" w:lineRule="auto"/>
              <w:rPr>
                <w:rFonts w:ascii="Segoe UI" w:hAnsi="Segoe UI" w:cs="Segoe UI"/>
                <w:i w:val="0"/>
                <w:iCs w:val="0"/>
                <w:noProof/>
              </w:rPr>
            </w:pPr>
            <w:r w:rsidRPr="00540FF8">
              <w:rPr>
                <w:rFonts w:ascii="Segoe UI" w:hAnsi="Segoe UI" w:cs="Segoe UI"/>
                <w:i w:val="0"/>
                <w:iCs w:val="0"/>
                <w:noProof/>
              </w:rPr>
              <w:t>Versement Patronal sur Salaires</w:t>
            </w:r>
          </w:p>
        </w:tc>
      </w:tr>
    </w:tbl>
    <w:p w14:paraId="6EFF0D3F" w14:textId="77777777" w:rsidR="0068414F" w:rsidRDefault="0068414F" w:rsidP="0068414F">
      <w:pPr>
        <w:pStyle w:val="Pieddepage"/>
        <w:tabs>
          <w:tab w:val="clear" w:pos="4536"/>
          <w:tab w:val="clear" w:pos="9072"/>
        </w:tabs>
        <w:rPr>
          <w:rFonts w:ascii="Segoe UI" w:hAnsi="Segoe UI" w:cs="Segoe UI"/>
        </w:rPr>
      </w:pPr>
    </w:p>
    <w:p w14:paraId="11891DFE" w14:textId="77777777" w:rsidR="00840AFF" w:rsidRPr="00A73BA5" w:rsidRDefault="00840AFF" w:rsidP="0068414F">
      <w:pPr>
        <w:pStyle w:val="Pieddepage"/>
        <w:tabs>
          <w:tab w:val="clear" w:pos="4536"/>
          <w:tab w:val="clear" w:pos="9072"/>
        </w:tabs>
        <w:rPr>
          <w:rFonts w:ascii="Segoe UI" w:hAnsi="Segoe UI" w:cs="Segoe UI"/>
        </w:rPr>
      </w:pPr>
    </w:p>
    <w:p w14:paraId="49AC2C1D" w14:textId="77777777" w:rsidR="0068414F" w:rsidRPr="00A73BA5" w:rsidRDefault="0068414F" w:rsidP="0068414F">
      <w:pPr>
        <w:pStyle w:val="Pieddepage"/>
        <w:tabs>
          <w:tab w:val="clear" w:pos="4536"/>
          <w:tab w:val="clear" w:pos="9072"/>
        </w:tabs>
        <w:rPr>
          <w:rFonts w:ascii="Segoe UI" w:hAnsi="Segoe UI" w:cs="Segoe UI"/>
        </w:rPr>
      </w:pPr>
    </w:p>
    <w:p w14:paraId="6D2522AF" w14:textId="77777777" w:rsidR="0068414F" w:rsidRPr="00A73BA5" w:rsidRDefault="0068414F" w:rsidP="0068414F">
      <w:pPr>
        <w:pStyle w:val="Pieddepage"/>
        <w:tabs>
          <w:tab w:val="clear" w:pos="4536"/>
          <w:tab w:val="clear" w:pos="9072"/>
        </w:tabs>
        <w:rPr>
          <w:rFonts w:ascii="Segoe UI" w:hAnsi="Segoe UI" w:cs="Segoe UI"/>
        </w:rPr>
      </w:pPr>
    </w:p>
    <w:sdt>
      <w:sdtPr>
        <w:rPr>
          <w:rFonts w:ascii="Segoe UI" w:eastAsiaTheme="minorEastAsia" w:hAnsi="Segoe UI" w:cs="Segoe UI"/>
          <w:b w:val="0"/>
          <w:bCs w:val="0"/>
          <w:color w:val="auto"/>
          <w:sz w:val="22"/>
          <w:szCs w:val="22"/>
        </w:rPr>
        <w:id w:val="7282239"/>
        <w:docPartObj>
          <w:docPartGallery w:val="Table of Contents"/>
          <w:docPartUnique/>
        </w:docPartObj>
      </w:sdtPr>
      <w:sdtEndPr/>
      <w:sdtContent>
        <w:p w14:paraId="44B07EB9" w14:textId="77777777" w:rsidR="007D5EA9" w:rsidRPr="00012586" w:rsidRDefault="007D5EA9" w:rsidP="00012586">
          <w:pPr>
            <w:pStyle w:val="En-ttedetabledesmatires"/>
            <w:rPr>
              <w:rFonts w:ascii="Segoe UI" w:hAnsi="Segoe UI" w:cs="Segoe UI"/>
            </w:rPr>
          </w:pPr>
          <w:r w:rsidRPr="00A73BA5">
            <w:rPr>
              <w:rFonts w:ascii="Segoe UI" w:hAnsi="Segoe UI" w:cs="Segoe UI"/>
            </w:rPr>
            <w:t>Sommaire</w:t>
          </w:r>
        </w:p>
        <w:p w14:paraId="61279223" w14:textId="77777777" w:rsidR="00AA3506" w:rsidRDefault="001558F3" w:rsidP="00AA3506">
          <w:pPr>
            <w:pStyle w:val="TM1"/>
            <w:rPr>
              <w:noProof/>
            </w:rPr>
          </w:pPr>
          <w:r w:rsidRPr="00A73BA5">
            <w:rPr>
              <w:rFonts w:ascii="Segoe UI" w:hAnsi="Segoe UI" w:cs="Segoe UI"/>
            </w:rPr>
            <w:fldChar w:fldCharType="begin"/>
          </w:r>
          <w:r w:rsidR="007D5EA9" w:rsidRPr="00A73BA5">
            <w:rPr>
              <w:rFonts w:ascii="Segoe UI" w:hAnsi="Segoe UI" w:cs="Segoe UI"/>
            </w:rPr>
            <w:instrText xml:space="preserve"> TOC \o "1-3" \h \z \u </w:instrText>
          </w:r>
          <w:r w:rsidRPr="00A73BA5">
            <w:rPr>
              <w:rFonts w:ascii="Segoe UI" w:hAnsi="Segoe UI" w:cs="Segoe UI"/>
            </w:rPr>
            <w:fldChar w:fldCharType="separate"/>
          </w:r>
          <w:hyperlink w:anchor="_Toc484105598" w:history="1">
            <w:r w:rsidR="00AA3506" w:rsidRPr="005A78DA">
              <w:rPr>
                <w:rStyle w:val="Lienhypertexte"/>
                <w:rFonts w:ascii="Segoe UI" w:hAnsi="Segoe UI" w:cs="Segoe UI"/>
                <w:noProof/>
              </w:rPr>
              <w:t>RESUME EXECUTIF</w:t>
            </w:r>
            <w:r w:rsidR="00AA3506">
              <w:rPr>
                <w:noProof/>
                <w:webHidden/>
              </w:rPr>
              <w:tab/>
            </w:r>
            <w:r w:rsidR="00AA3506">
              <w:rPr>
                <w:noProof/>
                <w:webHidden/>
              </w:rPr>
              <w:fldChar w:fldCharType="begin"/>
            </w:r>
            <w:r w:rsidR="00AA3506">
              <w:rPr>
                <w:noProof/>
                <w:webHidden/>
              </w:rPr>
              <w:instrText xml:space="preserve"> PAGEREF _Toc484105598 \h </w:instrText>
            </w:r>
            <w:r w:rsidR="00AA3506">
              <w:rPr>
                <w:noProof/>
                <w:webHidden/>
              </w:rPr>
            </w:r>
            <w:r w:rsidR="00AA3506">
              <w:rPr>
                <w:noProof/>
                <w:webHidden/>
              </w:rPr>
              <w:fldChar w:fldCharType="separate"/>
            </w:r>
            <w:r w:rsidR="00AA3506">
              <w:rPr>
                <w:noProof/>
                <w:webHidden/>
              </w:rPr>
              <w:t>5</w:t>
            </w:r>
            <w:r w:rsidR="00AA3506">
              <w:rPr>
                <w:noProof/>
                <w:webHidden/>
              </w:rPr>
              <w:fldChar w:fldCharType="end"/>
            </w:r>
          </w:hyperlink>
        </w:p>
        <w:p w14:paraId="461E34E9" w14:textId="77777777" w:rsidR="00AA3506" w:rsidRDefault="00E07FE4" w:rsidP="00AA3506">
          <w:pPr>
            <w:pStyle w:val="TM1"/>
            <w:rPr>
              <w:noProof/>
            </w:rPr>
          </w:pPr>
          <w:hyperlink w:anchor="_Toc484105599" w:history="1">
            <w:r w:rsidR="00AA3506" w:rsidRPr="00AA3506">
              <w:rPr>
                <w:rStyle w:val="Lienhypertexte"/>
                <w:rFonts w:ascii="Segoe UI" w:hAnsi="Segoe UI" w:cs="Segoe UI"/>
                <w:b/>
                <w:noProof/>
              </w:rPr>
              <w:t>INTRODUCTION</w:t>
            </w:r>
            <w:r w:rsidR="00AA3506">
              <w:rPr>
                <w:noProof/>
                <w:webHidden/>
              </w:rPr>
              <w:tab/>
            </w:r>
            <w:r w:rsidR="00AA3506">
              <w:rPr>
                <w:noProof/>
                <w:webHidden/>
              </w:rPr>
              <w:fldChar w:fldCharType="begin"/>
            </w:r>
            <w:r w:rsidR="00AA3506">
              <w:rPr>
                <w:noProof/>
                <w:webHidden/>
              </w:rPr>
              <w:instrText xml:space="preserve"> PAGEREF _Toc484105599 \h </w:instrText>
            </w:r>
            <w:r w:rsidR="00AA3506">
              <w:rPr>
                <w:noProof/>
                <w:webHidden/>
              </w:rPr>
            </w:r>
            <w:r w:rsidR="00AA3506">
              <w:rPr>
                <w:noProof/>
                <w:webHidden/>
              </w:rPr>
              <w:fldChar w:fldCharType="separate"/>
            </w:r>
            <w:r w:rsidR="00AA3506">
              <w:rPr>
                <w:noProof/>
                <w:webHidden/>
              </w:rPr>
              <w:t>6</w:t>
            </w:r>
            <w:r w:rsidR="00AA3506">
              <w:rPr>
                <w:noProof/>
                <w:webHidden/>
              </w:rPr>
              <w:fldChar w:fldCharType="end"/>
            </w:r>
          </w:hyperlink>
        </w:p>
        <w:p w14:paraId="0FE0B394" w14:textId="77777777" w:rsidR="00AA3506" w:rsidRDefault="00E07FE4" w:rsidP="00AA3506">
          <w:pPr>
            <w:pStyle w:val="TM1"/>
            <w:rPr>
              <w:noProof/>
            </w:rPr>
          </w:pPr>
          <w:hyperlink w:anchor="_Toc484105600" w:history="1">
            <w:r w:rsidR="00AA3506" w:rsidRPr="005A78DA">
              <w:rPr>
                <w:rStyle w:val="Lienhypertexte"/>
                <w:rFonts w:ascii="Segoe UI" w:hAnsi="Segoe UI" w:cs="Segoe UI"/>
                <w:noProof/>
              </w:rPr>
              <w:t>I-</w:t>
            </w:r>
            <w:r w:rsidR="00AA3506">
              <w:rPr>
                <w:noProof/>
              </w:rPr>
              <w:tab/>
            </w:r>
            <w:r w:rsidR="00AA3506" w:rsidRPr="005A78DA">
              <w:rPr>
                <w:rStyle w:val="Lienhypertexte"/>
                <w:rFonts w:ascii="Segoe UI" w:hAnsi="Segoe UI" w:cs="Segoe UI"/>
                <w:noProof/>
              </w:rPr>
              <w:t>SITUATION ECONOMIQUE A FIN MARS 2017</w:t>
            </w:r>
            <w:r w:rsidR="00AA3506">
              <w:rPr>
                <w:noProof/>
                <w:webHidden/>
              </w:rPr>
              <w:tab/>
            </w:r>
            <w:r w:rsidR="00AA3506">
              <w:rPr>
                <w:noProof/>
                <w:webHidden/>
              </w:rPr>
              <w:fldChar w:fldCharType="begin"/>
            </w:r>
            <w:r w:rsidR="00AA3506">
              <w:rPr>
                <w:noProof/>
                <w:webHidden/>
              </w:rPr>
              <w:instrText xml:space="preserve"> PAGEREF _Toc484105600 \h </w:instrText>
            </w:r>
            <w:r w:rsidR="00AA3506">
              <w:rPr>
                <w:noProof/>
                <w:webHidden/>
              </w:rPr>
            </w:r>
            <w:r w:rsidR="00AA3506">
              <w:rPr>
                <w:noProof/>
                <w:webHidden/>
              </w:rPr>
              <w:fldChar w:fldCharType="separate"/>
            </w:r>
            <w:r w:rsidR="00AA3506">
              <w:rPr>
                <w:noProof/>
                <w:webHidden/>
              </w:rPr>
              <w:t>7</w:t>
            </w:r>
            <w:r w:rsidR="00AA3506">
              <w:rPr>
                <w:noProof/>
                <w:webHidden/>
              </w:rPr>
              <w:fldChar w:fldCharType="end"/>
            </w:r>
          </w:hyperlink>
        </w:p>
        <w:p w14:paraId="3A55DB94" w14:textId="77777777" w:rsidR="00AA3506" w:rsidRDefault="00E07FE4" w:rsidP="00AA3506">
          <w:pPr>
            <w:pStyle w:val="TM2"/>
            <w:rPr>
              <w:noProof/>
            </w:rPr>
          </w:pPr>
          <w:hyperlink w:anchor="_Toc484105601" w:history="1">
            <w:r w:rsidR="00AA3506" w:rsidRPr="005A78DA">
              <w:rPr>
                <w:rStyle w:val="Lienhypertexte"/>
                <w:rFonts w:ascii="Segoe UI" w:hAnsi="Segoe UI" w:cs="Segoe UI"/>
                <w:noProof/>
              </w:rPr>
              <w:t>A-</w:t>
            </w:r>
            <w:r w:rsidR="00AA3506">
              <w:rPr>
                <w:noProof/>
              </w:rPr>
              <w:tab/>
            </w:r>
            <w:r w:rsidR="00AA3506" w:rsidRPr="005A78DA">
              <w:rPr>
                <w:rStyle w:val="Lienhypertexte"/>
                <w:rFonts w:ascii="Segoe UI" w:hAnsi="Segoe UI" w:cs="Segoe UI"/>
                <w:noProof/>
              </w:rPr>
              <w:t>Environnements économiques international et régional</w:t>
            </w:r>
            <w:r w:rsidR="00AA3506">
              <w:rPr>
                <w:noProof/>
                <w:webHidden/>
              </w:rPr>
              <w:tab/>
            </w:r>
            <w:r w:rsidR="00AA3506">
              <w:rPr>
                <w:noProof/>
                <w:webHidden/>
              </w:rPr>
              <w:fldChar w:fldCharType="begin"/>
            </w:r>
            <w:r w:rsidR="00AA3506">
              <w:rPr>
                <w:noProof/>
                <w:webHidden/>
              </w:rPr>
              <w:instrText xml:space="preserve"> PAGEREF _Toc484105601 \h </w:instrText>
            </w:r>
            <w:r w:rsidR="00AA3506">
              <w:rPr>
                <w:noProof/>
                <w:webHidden/>
              </w:rPr>
            </w:r>
            <w:r w:rsidR="00AA3506">
              <w:rPr>
                <w:noProof/>
                <w:webHidden/>
              </w:rPr>
              <w:fldChar w:fldCharType="separate"/>
            </w:r>
            <w:r w:rsidR="00AA3506">
              <w:rPr>
                <w:noProof/>
                <w:webHidden/>
              </w:rPr>
              <w:t>7</w:t>
            </w:r>
            <w:r w:rsidR="00AA3506">
              <w:rPr>
                <w:noProof/>
                <w:webHidden/>
              </w:rPr>
              <w:fldChar w:fldCharType="end"/>
            </w:r>
          </w:hyperlink>
        </w:p>
        <w:p w14:paraId="0AD59A0E" w14:textId="77777777" w:rsidR="00AA3506" w:rsidRDefault="00E07FE4" w:rsidP="00AA3506">
          <w:pPr>
            <w:pStyle w:val="TM2"/>
            <w:rPr>
              <w:noProof/>
            </w:rPr>
          </w:pPr>
          <w:hyperlink w:anchor="_Toc484105602" w:history="1">
            <w:r w:rsidR="00AA3506" w:rsidRPr="005A78DA">
              <w:rPr>
                <w:rStyle w:val="Lienhypertexte"/>
                <w:rFonts w:ascii="Segoe UI" w:hAnsi="Segoe UI" w:cs="Segoe UI"/>
                <w:noProof/>
              </w:rPr>
              <w:t>B-</w:t>
            </w:r>
            <w:r w:rsidR="00AA3506">
              <w:rPr>
                <w:noProof/>
              </w:rPr>
              <w:tab/>
            </w:r>
            <w:r w:rsidR="00AA3506" w:rsidRPr="005A78DA">
              <w:rPr>
                <w:rStyle w:val="Lienhypertexte"/>
                <w:rFonts w:ascii="Segoe UI" w:hAnsi="Segoe UI" w:cs="Segoe UI"/>
                <w:noProof/>
              </w:rPr>
              <w:t>Environnement économique national</w:t>
            </w:r>
            <w:r w:rsidR="00AA3506">
              <w:rPr>
                <w:noProof/>
                <w:webHidden/>
              </w:rPr>
              <w:tab/>
            </w:r>
            <w:r w:rsidR="00AA3506">
              <w:rPr>
                <w:noProof/>
                <w:webHidden/>
              </w:rPr>
              <w:fldChar w:fldCharType="begin"/>
            </w:r>
            <w:r w:rsidR="00AA3506">
              <w:rPr>
                <w:noProof/>
                <w:webHidden/>
              </w:rPr>
              <w:instrText xml:space="preserve"> PAGEREF _Toc484105602 \h </w:instrText>
            </w:r>
            <w:r w:rsidR="00AA3506">
              <w:rPr>
                <w:noProof/>
                <w:webHidden/>
              </w:rPr>
            </w:r>
            <w:r w:rsidR="00AA3506">
              <w:rPr>
                <w:noProof/>
                <w:webHidden/>
              </w:rPr>
              <w:fldChar w:fldCharType="separate"/>
            </w:r>
            <w:r w:rsidR="00AA3506">
              <w:rPr>
                <w:noProof/>
                <w:webHidden/>
              </w:rPr>
              <w:t>8</w:t>
            </w:r>
            <w:r w:rsidR="00AA3506">
              <w:rPr>
                <w:noProof/>
                <w:webHidden/>
              </w:rPr>
              <w:fldChar w:fldCharType="end"/>
            </w:r>
          </w:hyperlink>
        </w:p>
        <w:p w14:paraId="3F83C408" w14:textId="77777777" w:rsidR="00AA3506" w:rsidRDefault="00E07FE4" w:rsidP="00AA3506">
          <w:pPr>
            <w:pStyle w:val="TM1"/>
            <w:rPr>
              <w:noProof/>
            </w:rPr>
          </w:pPr>
          <w:hyperlink w:anchor="_Toc484105603" w:history="1">
            <w:r w:rsidR="00AA3506" w:rsidRPr="005A78DA">
              <w:rPr>
                <w:rStyle w:val="Lienhypertexte"/>
                <w:rFonts w:ascii="Segoe UI" w:hAnsi="Segoe UI" w:cs="Segoe UI"/>
                <w:noProof/>
              </w:rPr>
              <w:t>II-</w:t>
            </w:r>
            <w:r w:rsidR="00AA3506">
              <w:rPr>
                <w:noProof/>
              </w:rPr>
              <w:tab/>
            </w:r>
            <w:r w:rsidR="00AA3506" w:rsidRPr="005A78DA">
              <w:rPr>
                <w:rStyle w:val="Lienhypertexte"/>
                <w:rFonts w:ascii="Segoe UI" w:hAnsi="Segoe UI" w:cs="Segoe UI"/>
                <w:noProof/>
              </w:rPr>
              <w:t>SITUATION D’EXECUTION DU BUDGET DE L’ETAT AU 31 MARS 2017</w:t>
            </w:r>
            <w:r w:rsidR="00AA3506">
              <w:rPr>
                <w:noProof/>
                <w:webHidden/>
              </w:rPr>
              <w:tab/>
            </w:r>
            <w:r w:rsidR="00AA3506">
              <w:rPr>
                <w:noProof/>
                <w:webHidden/>
              </w:rPr>
              <w:fldChar w:fldCharType="begin"/>
            </w:r>
            <w:r w:rsidR="00AA3506">
              <w:rPr>
                <w:noProof/>
                <w:webHidden/>
              </w:rPr>
              <w:instrText xml:space="preserve"> PAGEREF _Toc484105603 \h </w:instrText>
            </w:r>
            <w:r w:rsidR="00AA3506">
              <w:rPr>
                <w:noProof/>
                <w:webHidden/>
              </w:rPr>
            </w:r>
            <w:r w:rsidR="00AA3506">
              <w:rPr>
                <w:noProof/>
                <w:webHidden/>
              </w:rPr>
              <w:fldChar w:fldCharType="separate"/>
            </w:r>
            <w:r w:rsidR="00AA3506">
              <w:rPr>
                <w:noProof/>
                <w:webHidden/>
              </w:rPr>
              <w:t>10</w:t>
            </w:r>
            <w:r w:rsidR="00AA3506">
              <w:rPr>
                <w:noProof/>
                <w:webHidden/>
              </w:rPr>
              <w:fldChar w:fldCharType="end"/>
            </w:r>
          </w:hyperlink>
        </w:p>
        <w:p w14:paraId="3D04428B" w14:textId="77777777" w:rsidR="00AA3506" w:rsidRDefault="00E07FE4" w:rsidP="00AA3506">
          <w:pPr>
            <w:pStyle w:val="TM2"/>
            <w:rPr>
              <w:noProof/>
            </w:rPr>
          </w:pPr>
          <w:hyperlink w:anchor="_Toc484105604" w:history="1">
            <w:r w:rsidR="00AA3506" w:rsidRPr="005A78DA">
              <w:rPr>
                <w:rStyle w:val="Lienhypertexte"/>
                <w:rFonts w:ascii="Segoe UI" w:hAnsi="Segoe UI" w:cs="Segoe UI"/>
                <w:noProof/>
              </w:rPr>
              <w:t>A-</w:t>
            </w:r>
            <w:r w:rsidR="00AA3506">
              <w:rPr>
                <w:noProof/>
              </w:rPr>
              <w:tab/>
            </w:r>
            <w:r w:rsidR="00AA3506" w:rsidRPr="005A78DA">
              <w:rPr>
                <w:rStyle w:val="Lienhypertexte"/>
                <w:rFonts w:ascii="Segoe UI" w:hAnsi="Segoe UI" w:cs="Segoe UI"/>
                <w:noProof/>
              </w:rPr>
              <w:t>Recettes budgétaires</w:t>
            </w:r>
            <w:r w:rsidR="00AA3506">
              <w:rPr>
                <w:noProof/>
                <w:webHidden/>
              </w:rPr>
              <w:tab/>
            </w:r>
            <w:r w:rsidR="00AA3506">
              <w:rPr>
                <w:noProof/>
                <w:webHidden/>
              </w:rPr>
              <w:fldChar w:fldCharType="begin"/>
            </w:r>
            <w:r w:rsidR="00AA3506">
              <w:rPr>
                <w:noProof/>
                <w:webHidden/>
              </w:rPr>
              <w:instrText xml:space="preserve"> PAGEREF _Toc484105604 \h </w:instrText>
            </w:r>
            <w:r w:rsidR="00AA3506">
              <w:rPr>
                <w:noProof/>
                <w:webHidden/>
              </w:rPr>
            </w:r>
            <w:r w:rsidR="00AA3506">
              <w:rPr>
                <w:noProof/>
                <w:webHidden/>
              </w:rPr>
              <w:fldChar w:fldCharType="separate"/>
            </w:r>
            <w:r w:rsidR="00AA3506">
              <w:rPr>
                <w:noProof/>
                <w:webHidden/>
              </w:rPr>
              <w:t>10</w:t>
            </w:r>
            <w:r w:rsidR="00AA3506">
              <w:rPr>
                <w:noProof/>
                <w:webHidden/>
              </w:rPr>
              <w:fldChar w:fldCharType="end"/>
            </w:r>
          </w:hyperlink>
        </w:p>
        <w:p w14:paraId="6779ADF4" w14:textId="77777777" w:rsidR="00AA3506" w:rsidRDefault="00E07FE4">
          <w:pPr>
            <w:pStyle w:val="TM3"/>
            <w:rPr>
              <w:noProof/>
            </w:rPr>
          </w:pPr>
          <w:hyperlink w:anchor="_Toc484105605" w:history="1">
            <w:r w:rsidR="00AA3506" w:rsidRPr="005A78DA">
              <w:rPr>
                <w:rStyle w:val="Lienhypertexte"/>
                <w:rFonts w:ascii="Segoe UI" w:hAnsi="Segoe UI" w:cs="Segoe UI"/>
                <w:noProof/>
              </w:rPr>
              <w:t>A-1 Recettes des administrations financières</w:t>
            </w:r>
            <w:r w:rsidR="00AA3506">
              <w:rPr>
                <w:noProof/>
                <w:webHidden/>
              </w:rPr>
              <w:tab/>
            </w:r>
            <w:r w:rsidR="00AA3506">
              <w:rPr>
                <w:noProof/>
                <w:webHidden/>
              </w:rPr>
              <w:fldChar w:fldCharType="begin"/>
            </w:r>
            <w:r w:rsidR="00AA3506">
              <w:rPr>
                <w:noProof/>
                <w:webHidden/>
              </w:rPr>
              <w:instrText xml:space="preserve"> PAGEREF _Toc484105605 \h </w:instrText>
            </w:r>
            <w:r w:rsidR="00AA3506">
              <w:rPr>
                <w:noProof/>
                <w:webHidden/>
              </w:rPr>
            </w:r>
            <w:r w:rsidR="00AA3506">
              <w:rPr>
                <w:noProof/>
                <w:webHidden/>
              </w:rPr>
              <w:fldChar w:fldCharType="separate"/>
            </w:r>
            <w:r w:rsidR="00AA3506">
              <w:rPr>
                <w:noProof/>
                <w:webHidden/>
              </w:rPr>
              <w:t>11</w:t>
            </w:r>
            <w:r w:rsidR="00AA3506">
              <w:rPr>
                <w:noProof/>
                <w:webHidden/>
              </w:rPr>
              <w:fldChar w:fldCharType="end"/>
            </w:r>
          </w:hyperlink>
        </w:p>
        <w:p w14:paraId="42135337" w14:textId="77777777" w:rsidR="00AA3506" w:rsidRDefault="00E07FE4">
          <w:pPr>
            <w:pStyle w:val="TM3"/>
            <w:rPr>
              <w:noProof/>
            </w:rPr>
          </w:pPr>
          <w:hyperlink w:anchor="_Toc484105606" w:history="1">
            <w:r w:rsidR="00AA3506" w:rsidRPr="005A78DA">
              <w:rPr>
                <w:rStyle w:val="Lienhypertexte"/>
                <w:rFonts w:ascii="Segoe UI" w:hAnsi="Segoe UI" w:cs="Segoe UI"/>
                <w:noProof/>
              </w:rPr>
              <w:t>A-2 Recettes du Fonds National des Retraites du Bénin (FNRB) et des autres organismes publics</w:t>
            </w:r>
            <w:r w:rsidR="00AA3506">
              <w:rPr>
                <w:noProof/>
                <w:webHidden/>
              </w:rPr>
              <w:tab/>
            </w:r>
            <w:r w:rsidR="00AA3506">
              <w:rPr>
                <w:noProof/>
                <w:webHidden/>
              </w:rPr>
              <w:fldChar w:fldCharType="begin"/>
            </w:r>
            <w:r w:rsidR="00AA3506">
              <w:rPr>
                <w:noProof/>
                <w:webHidden/>
              </w:rPr>
              <w:instrText xml:space="preserve"> PAGEREF _Toc484105606 \h </w:instrText>
            </w:r>
            <w:r w:rsidR="00AA3506">
              <w:rPr>
                <w:noProof/>
                <w:webHidden/>
              </w:rPr>
            </w:r>
            <w:r w:rsidR="00AA3506">
              <w:rPr>
                <w:noProof/>
                <w:webHidden/>
              </w:rPr>
              <w:fldChar w:fldCharType="separate"/>
            </w:r>
            <w:r w:rsidR="00AA3506">
              <w:rPr>
                <w:noProof/>
                <w:webHidden/>
              </w:rPr>
              <w:t>13</w:t>
            </w:r>
            <w:r w:rsidR="00AA3506">
              <w:rPr>
                <w:noProof/>
                <w:webHidden/>
              </w:rPr>
              <w:fldChar w:fldCharType="end"/>
            </w:r>
          </w:hyperlink>
        </w:p>
        <w:p w14:paraId="7A6C3C32" w14:textId="77777777" w:rsidR="00AA3506" w:rsidRDefault="00E07FE4">
          <w:pPr>
            <w:pStyle w:val="TM3"/>
            <w:rPr>
              <w:noProof/>
            </w:rPr>
          </w:pPr>
          <w:hyperlink w:anchor="_Toc484105607" w:history="1">
            <w:r w:rsidR="00AA3506" w:rsidRPr="005A78DA">
              <w:rPr>
                <w:rStyle w:val="Lienhypertexte"/>
                <w:rFonts w:ascii="Segoe UI" w:hAnsi="Segoe UI" w:cs="Segoe UI"/>
                <w:noProof/>
              </w:rPr>
              <w:t>A-3 Comptes d’Affectation Spéciale (CAS)</w:t>
            </w:r>
            <w:r w:rsidR="00AA3506">
              <w:rPr>
                <w:noProof/>
                <w:webHidden/>
              </w:rPr>
              <w:tab/>
            </w:r>
            <w:r w:rsidR="00AA3506">
              <w:rPr>
                <w:noProof/>
                <w:webHidden/>
              </w:rPr>
              <w:fldChar w:fldCharType="begin"/>
            </w:r>
            <w:r w:rsidR="00AA3506">
              <w:rPr>
                <w:noProof/>
                <w:webHidden/>
              </w:rPr>
              <w:instrText xml:space="preserve"> PAGEREF _Toc484105607 \h </w:instrText>
            </w:r>
            <w:r w:rsidR="00AA3506">
              <w:rPr>
                <w:noProof/>
                <w:webHidden/>
              </w:rPr>
            </w:r>
            <w:r w:rsidR="00AA3506">
              <w:rPr>
                <w:noProof/>
                <w:webHidden/>
              </w:rPr>
              <w:fldChar w:fldCharType="separate"/>
            </w:r>
            <w:r w:rsidR="00AA3506">
              <w:rPr>
                <w:noProof/>
                <w:webHidden/>
              </w:rPr>
              <w:t>15</w:t>
            </w:r>
            <w:r w:rsidR="00AA3506">
              <w:rPr>
                <w:noProof/>
                <w:webHidden/>
              </w:rPr>
              <w:fldChar w:fldCharType="end"/>
            </w:r>
          </w:hyperlink>
        </w:p>
        <w:p w14:paraId="254E347D" w14:textId="77777777" w:rsidR="00AA3506" w:rsidRDefault="00E07FE4">
          <w:pPr>
            <w:pStyle w:val="TM3"/>
            <w:rPr>
              <w:noProof/>
            </w:rPr>
          </w:pPr>
          <w:hyperlink w:anchor="_Toc484105608" w:history="1">
            <w:r w:rsidR="00AA3506" w:rsidRPr="005A78DA">
              <w:rPr>
                <w:rStyle w:val="Lienhypertexte"/>
                <w:rFonts w:ascii="Segoe UI" w:hAnsi="Segoe UI" w:cs="Segoe UI"/>
                <w:noProof/>
              </w:rPr>
              <w:t>A-4 Autres recettes budgétaires</w:t>
            </w:r>
            <w:r w:rsidR="00AA3506">
              <w:rPr>
                <w:noProof/>
                <w:webHidden/>
              </w:rPr>
              <w:tab/>
            </w:r>
            <w:r w:rsidR="00AA3506">
              <w:rPr>
                <w:noProof/>
                <w:webHidden/>
              </w:rPr>
              <w:fldChar w:fldCharType="begin"/>
            </w:r>
            <w:r w:rsidR="00AA3506">
              <w:rPr>
                <w:noProof/>
                <w:webHidden/>
              </w:rPr>
              <w:instrText xml:space="preserve"> PAGEREF _Toc484105608 \h </w:instrText>
            </w:r>
            <w:r w:rsidR="00AA3506">
              <w:rPr>
                <w:noProof/>
                <w:webHidden/>
              </w:rPr>
            </w:r>
            <w:r w:rsidR="00AA3506">
              <w:rPr>
                <w:noProof/>
                <w:webHidden/>
              </w:rPr>
              <w:fldChar w:fldCharType="separate"/>
            </w:r>
            <w:r w:rsidR="00AA3506">
              <w:rPr>
                <w:noProof/>
                <w:webHidden/>
              </w:rPr>
              <w:t>15</w:t>
            </w:r>
            <w:r w:rsidR="00AA3506">
              <w:rPr>
                <w:noProof/>
                <w:webHidden/>
              </w:rPr>
              <w:fldChar w:fldCharType="end"/>
            </w:r>
          </w:hyperlink>
        </w:p>
        <w:p w14:paraId="44406FA9" w14:textId="77777777" w:rsidR="00AA3506" w:rsidRDefault="00E07FE4" w:rsidP="00AA3506">
          <w:pPr>
            <w:pStyle w:val="TM2"/>
            <w:rPr>
              <w:noProof/>
            </w:rPr>
          </w:pPr>
          <w:hyperlink w:anchor="_Toc484105609" w:history="1">
            <w:r w:rsidR="00AA3506" w:rsidRPr="005A78DA">
              <w:rPr>
                <w:rStyle w:val="Lienhypertexte"/>
                <w:rFonts w:ascii="Segoe UI" w:hAnsi="Segoe UI" w:cs="Segoe UI"/>
                <w:noProof/>
              </w:rPr>
              <w:t>B-</w:t>
            </w:r>
            <w:r w:rsidR="00AA3506">
              <w:rPr>
                <w:noProof/>
              </w:rPr>
              <w:tab/>
            </w:r>
            <w:r w:rsidR="00AA3506" w:rsidRPr="005A78DA">
              <w:rPr>
                <w:rStyle w:val="Lienhypertexte"/>
                <w:rFonts w:ascii="Segoe UI" w:hAnsi="Segoe UI" w:cs="Segoe UI"/>
                <w:noProof/>
              </w:rPr>
              <w:t>Dépenses budgétaires au 31mars 2017</w:t>
            </w:r>
            <w:r w:rsidR="00AA3506">
              <w:rPr>
                <w:noProof/>
                <w:webHidden/>
              </w:rPr>
              <w:tab/>
            </w:r>
            <w:r w:rsidR="00AA3506">
              <w:rPr>
                <w:noProof/>
                <w:webHidden/>
              </w:rPr>
              <w:fldChar w:fldCharType="begin"/>
            </w:r>
            <w:r w:rsidR="00AA3506">
              <w:rPr>
                <w:noProof/>
                <w:webHidden/>
              </w:rPr>
              <w:instrText xml:space="preserve"> PAGEREF _Toc484105609 \h </w:instrText>
            </w:r>
            <w:r w:rsidR="00AA3506">
              <w:rPr>
                <w:noProof/>
                <w:webHidden/>
              </w:rPr>
            </w:r>
            <w:r w:rsidR="00AA3506">
              <w:rPr>
                <w:noProof/>
                <w:webHidden/>
              </w:rPr>
              <w:fldChar w:fldCharType="separate"/>
            </w:r>
            <w:r w:rsidR="00AA3506">
              <w:rPr>
                <w:noProof/>
                <w:webHidden/>
              </w:rPr>
              <w:t>16</w:t>
            </w:r>
            <w:r w:rsidR="00AA3506">
              <w:rPr>
                <w:noProof/>
                <w:webHidden/>
              </w:rPr>
              <w:fldChar w:fldCharType="end"/>
            </w:r>
          </w:hyperlink>
        </w:p>
        <w:p w14:paraId="77086E79" w14:textId="77777777" w:rsidR="00AA3506" w:rsidRDefault="00E07FE4">
          <w:pPr>
            <w:pStyle w:val="TM3"/>
            <w:rPr>
              <w:noProof/>
            </w:rPr>
          </w:pPr>
          <w:hyperlink w:anchor="_Toc484105610" w:history="1">
            <w:r w:rsidR="00AA3506" w:rsidRPr="005A78DA">
              <w:rPr>
                <w:rStyle w:val="Lienhypertexte"/>
                <w:rFonts w:ascii="Segoe UI" w:hAnsi="Segoe UI" w:cs="Segoe UI"/>
                <w:noProof/>
              </w:rPr>
              <w:t>B-1 Budget Général</w:t>
            </w:r>
            <w:r w:rsidR="00AA3506">
              <w:rPr>
                <w:noProof/>
                <w:webHidden/>
              </w:rPr>
              <w:tab/>
            </w:r>
            <w:r w:rsidR="00AA3506">
              <w:rPr>
                <w:noProof/>
                <w:webHidden/>
              </w:rPr>
              <w:fldChar w:fldCharType="begin"/>
            </w:r>
            <w:r w:rsidR="00AA3506">
              <w:rPr>
                <w:noProof/>
                <w:webHidden/>
              </w:rPr>
              <w:instrText xml:space="preserve"> PAGEREF _Toc484105610 \h </w:instrText>
            </w:r>
            <w:r w:rsidR="00AA3506">
              <w:rPr>
                <w:noProof/>
                <w:webHidden/>
              </w:rPr>
            </w:r>
            <w:r w:rsidR="00AA3506">
              <w:rPr>
                <w:noProof/>
                <w:webHidden/>
              </w:rPr>
              <w:fldChar w:fldCharType="separate"/>
            </w:r>
            <w:r w:rsidR="00AA3506">
              <w:rPr>
                <w:noProof/>
                <w:webHidden/>
              </w:rPr>
              <w:t>17</w:t>
            </w:r>
            <w:r w:rsidR="00AA3506">
              <w:rPr>
                <w:noProof/>
                <w:webHidden/>
              </w:rPr>
              <w:fldChar w:fldCharType="end"/>
            </w:r>
          </w:hyperlink>
        </w:p>
        <w:p w14:paraId="19830E1F" w14:textId="77777777" w:rsidR="00AA3506" w:rsidRDefault="00E07FE4">
          <w:pPr>
            <w:pStyle w:val="TM3"/>
            <w:rPr>
              <w:noProof/>
            </w:rPr>
          </w:pPr>
          <w:hyperlink w:anchor="_Toc484105611" w:history="1">
            <w:r w:rsidR="00AA3506" w:rsidRPr="005A78DA">
              <w:rPr>
                <w:rStyle w:val="Lienhypertexte"/>
                <w:rFonts w:ascii="Segoe UI" w:hAnsi="Segoe UI" w:cs="Segoe UI"/>
                <w:noProof/>
              </w:rPr>
              <w:t>B-2 Budget annexe du FNRB et Budgets des autres organismes Publics</w:t>
            </w:r>
            <w:r w:rsidR="00AA3506">
              <w:rPr>
                <w:noProof/>
                <w:webHidden/>
              </w:rPr>
              <w:tab/>
            </w:r>
            <w:r w:rsidR="00AA3506">
              <w:rPr>
                <w:noProof/>
                <w:webHidden/>
              </w:rPr>
              <w:fldChar w:fldCharType="begin"/>
            </w:r>
            <w:r w:rsidR="00AA3506">
              <w:rPr>
                <w:noProof/>
                <w:webHidden/>
              </w:rPr>
              <w:instrText xml:space="preserve"> PAGEREF _Toc484105611 \h </w:instrText>
            </w:r>
            <w:r w:rsidR="00AA3506">
              <w:rPr>
                <w:noProof/>
                <w:webHidden/>
              </w:rPr>
            </w:r>
            <w:r w:rsidR="00AA3506">
              <w:rPr>
                <w:noProof/>
                <w:webHidden/>
              </w:rPr>
              <w:fldChar w:fldCharType="separate"/>
            </w:r>
            <w:r w:rsidR="00AA3506">
              <w:rPr>
                <w:noProof/>
                <w:webHidden/>
              </w:rPr>
              <w:t>22</w:t>
            </w:r>
            <w:r w:rsidR="00AA3506">
              <w:rPr>
                <w:noProof/>
                <w:webHidden/>
              </w:rPr>
              <w:fldChar w:fldCharType="end"/>
            </w:r>
          </w:hyperlink>
        </w:p>
        <w:p w14:paraId="53C17FF8" w14:textId="77777777" w:rsidR="00AA3506" w:rsidRDefault="00E07FE4">
          <w:pPr>
            <w:pStyle w:val="TM3"/>
            <w:rPr>
              <w:noProof/>
            </w:rPr>
          </w:pPr>
          <w:hyperlink w:anchor="_Toc484105612" w:history="1">
            <w:r w:rsidR="00AA3506" w:rsidRPr="005A78DA">
              <w:rPr>
                <w:rStyle w:val="Lienhypertexte"/>
                <w:rFonts w:ascii="Segoe UI" w:hAnsi="Segoe UI" w:cs="Segoe UI"/>
                <w:noProof/>
              </w:rPr>
              <w:t>B-3 Comptes d’Affectation Spéciale (CAS)</w:t>
            </w:r>
            <w:r w:rsidR="00AA3506">
              <w:rPr>
                <w:noProof/>
                <w:webHidden/>
              </w:rPr>
              <w:tab/>
            </w:r>
            <w:r w:rsidR="00AA3506">
              <w:rPr>
                <w:noProof/>
                <w:webHidden/>
              </w:rPr>
              <w:fldChar w:fldCharType="begin"/>
            </w:r>
            <w:r w:rsidR="00AA3506">
              <w:rPr>
                <w:noProof/>
                <w:webHidden/>
              </w:rPr>
              <w:instrText xml:space="preserve"> PAGEREF _Toc484105612 \h </w:instrText>
            </w:r>
            <w:r w:rsidR="00AA3506">
              <w:rPr>
                <w:noProof/>
                <w:webHidden/>
              </w:rPr>
            </w:r>
            <w:r w:rsidR="00AA3506">
              <w:rPr>
                <w:noProof/>
                <w:webHidden/>
              </w:rPr>
              <w:fldChar w:fldCharType="separate"/>
            </w:r>
            <w:r w:rsidR="00AA3506">
              <w:rPr>
                <w:noProof/>
                <w:webHidden/>
              </w:rPr>
              <w:t>23</w:t>
            </w:r>
            <w:r w:rsidR="00AA3506">
              <w:rPr>
                <w:noProof/>
                <w:webHidden/>
              </w:rPr>
              <w:fldChar w:fldCharType="end"/>
            </w:r>
          </w:hyperlink>
        </w:p>
        <w:p w14:paraId="41573C96" w14:textId="77777777" w:rsidR="00AA3506" w:rsidRDefault="00E07FE4" w:rsidP="00AA3506">
          <w:pPr>
            <w:pStyle w:val="TM2"/>
            <w:rPr>
              <w:noProof/>
            </w:rPr>
          </w:pPr>
          <w:hyperlink w:anchor="_Toc484105613" w:history="1">
            <w:r w:rsidR="00AA3506" w:rsidRPr="005A78DA">
              <w:rPr>
                <w:rStyle w:val="Lienhypertexte"/>
                <w:rFonts w:ascii="Segoe UI" w:hAnsi="Segoe UI" w:cs="Segoe UI"/>
                <w:noProof/>
              </w:rPr>
              <w:t>C-</w:t>
            </w:r>
            <w:r w:rsidR="00AA3506">
              <w:rPr>
                <w:noProof/>
              </w:rPr>
              <w:tab/>
            </w:r>
            <w:r w:rsidR="00AA3506" w:rsidRPr="005A78DA">
              <w:rPr>
                <w:rStyle w:val="Lienhypertexte"/>
                <w:rFonts w:ascii="Segoe UI" w:hAnsi="Segoe UI" w:cs="Segoe UI"/>
                <w:noProof/>
              </w:rPr>
              <w:t>Solde budgétaire d’exécution au 31mars 2017</w:t>
            </w:r>
            <w:r w:rsidR="00AA3506">
              <w:rPr>
                <w:noProof/>
                <w:webHidden/>
              </w:rPr>
              <w:tab/>
            </w:r>
            <w:r w:rsidR="00AA3506">
              <w:rPr>
                <w:noProof/>
                <w:webHidden/>
              </w:rPr>
              <w:fldChar w:fldCharType="begin"/>
            </w:r>
            <w:r w:rsidR="00AA3506">
              <w:rPr>
                <w:noProof/>
                <w:webHidden/>
              </w:rPr>
              <w:instrText xml:space="preserve"> PAGEREF _Toc484105613 \h </w:instrText>
            </w:r>
            <w:r w:rsidR="00AA3506">
              <w:rPr>
                <w:noProof/>
                <w:webHidden/>
              </w:rPr>
            </w:r>
            <w:r w:rsidR="00AA3506">
              <w:rPr>
                <w:noProof/>
                <w:webHidden/>
              </w:rPr>
              <w:fldChar w:fldCharType="separate"/>
            </w:r>
            <w:r w:rsidR="00AA3506">
              <w:rPr>
                <w:noProof/>
                <w:webHidden/>
              </w:rPr>
              <w:t>24</w:t>
            </w:r>
            <w:r w:rsidR="00AA3506">
              <w:rPr>
                <w:noProof/>
                <w:webHidden/>
              </w:rPr>
              <w:fldChar w:fldCharType="end"/>
            </w:r>
          </w:hyperlink>
        </w:p>
        <w:p w14:paraId="4ABC2B1F" w14:textId="77777777" w:rsidR="00AA3506" w:rsidRDefault="00E07FE4" w:rsidP="00AA3506">
          <w:pPr>
            <w:pStyle w:val="TM1"/>
            <w:rPr>
              <w:noProof/>
            </w:rPr>
          </w:pPr>
          <w:hyperlink w:anchor="_Toc484105614" w:history="1">
            <w:r w:rsidR="00AA3506" w:rsidRPr="005A78DA">
              <w:rPr>
                <w:rStyle w:val="Lienhypertexte"/>
                <w:rFonts w:ascii="Segoe UI" w:hAnsi="Segoe UI" w:cs="Segoe UI"/>
                <w:noProof/>
              </w:rPr>
              <w:t>III-</w:t>
            </w:r>
            <w:r w:rsidR="00AA3506">
              <w:rPr>
                <w:noProof/>
              </w:rPr>
              <w:tab/>
            </w:r>
            <w:r w:rsidR="00AA3506" w:rsidRPr="005A78DA">
              <w:rPr>
                <w:rStyle w:val="Lienhypertexte"/>
                <w:rFonts w:ascii="Segoe UI" w:hAnsi="Segoe UI" w:cs="Segoe UI"/>
                <w:noProof/>
              </w:rPr>
              <w:t>SITUATION DES OPERATIONS DE TRESORERIE AU 31 MARS 2017</w:t>
            </w:r>
            <w:r w:rsidR="00AA3506">
              <w:rPr>
                <w:noProof/>
                <w:webHidden/>
              </w:rPr>
              <w:tab/>
            </w:r>
            <w:r w:rsidR="00AA3506">
              <w:rPr>
                <w:noProof/>
                <w:webHidden/>
              </w:rPr>
              <w:fldChar w:fldCharType="begin"/>
            </w:r>
            <w:r w:rsidR="00AA3506">
              <w:rPr>
                <w:noProof/>
                <w:webHidden/>
              </w:rPr>
              <w:instrText xml:space="preserve"> PAGEREF _Toc484105614 \h </w:instrText>
            </w:r>
            <w:r w:rsidR="00AA3506">
              <w:rPr>
                <w:noProof/>
                <w:webHidden/>
              </w:rPr>
            </w:r>
            <w:r w:rsidR="00AA3506">
              <w:rPr>
                <w:noProof/>
                <w:webHidden/>
              </w:rPr>
              <w:fldChar w:fldCharType="separate"/>
            </w:r>
            <w:r w:rsidR="00AA3506">
              <w:rPr>
                <w:noProof/>
                <w:webHidden/>
              </w:rPr>
              <w:t>25</w:t>
            </w:r>
            <w:r w:rsidR="00AA3506">
              <w:rPr>
                <w:noProof/>
                <w:webHidden/>
              </w:rPr>
              <w:fldChar w:fldCharType="end"/>
            </w:r>
          </w:hyperlink>
        </w:p>
        <w:p w14:paraId="2FCF1BEE" w14:textId="77777777" w:rsidR="00AA3506" w:rsidRPr="00AA3506" w:rsidRDefault="00E07FE4">
          <w:pPr>
            <w:pStyle w:val="TM3"/>
            <w:rPr>
              <w:rFonts w:ascii="Segoe UI" w:hAnsi="Segoe UI" w:cs="Segoe UI"/>
              <w:noProof/>
            </w:rPr>
          </w:pPr>
          <w:hyperlink w:anchor="_Toc484105615" w:history="1">
            <w:r w:rsidR="00AA3506" w:rsidRPr="00AA3506">
              <w:rPr>
                <w:rStyle w:val="Lienhypertexte"/>
                <w:rFonts w:ascii="Segoe UI" w:hAnsi="Segoe UI" w:cs="Segoe UI"/>
                <w:noProof/>
              </w:rPr>
              <w:t>A-</w:t>
            </w:r>
            <w:r w:rsidR="00AA3506" w:rsidRPr="00AA3506">
              <w:rPr>
                <w:rFonts w:ascii="Segoe UI" w:hAnsi="Segoe UI" w:cs="Segoe UI"/>
                <w:noProof/>
              </w:rPr>
              <w:tab/>
            </w:r>
            <w:r w:rsidR="00AA3506" w:rsidRPr="00AA3506">
              <w:rPr>
                <w:rStyle w:val="Lienhypertexte"/>
                <w:rFonts w:ascii="Segoe UI" w:hAnsi="Segoe UI" w:cs="Segoe UI"/>
                <w:noProof/>
              </w:rPr>
              <w:t>La mobilisation des ressources</w:t>
            </w:r>
            <w:r w:rsidR="00AA3506" w:rsidRPr="00AA3506">
              <w:rPr>
                <w:rFonts w:ascii="Segoe UI" w:hAnsi="Segoe UI" w:cs="Segoe UI"/>
                <w:noProof/>
                <w:webHidden/>
              </w:rPr>
              <w:tab/>
            </w:r>
            <w:r w:rsidR="00AA3506" w:rsidRPr="00AA3506">
              <w:rPr>
                <w:rFonts w:ascii="Segoe UI" w:hAnsi="Segoe UI" w:cs="Segoe UI"/>
                <w:noProof/>
                <w:webHidden/>
              </w:rPr>
              <w:fldChar w:fldCharType="begin"/>
            </w:r>
            <w:r w:rsidR="00AA3506" w:rsidRPr="00AA3506">
              <w:rPr>
                <w:rFonts w:ascii="Segoe UI" w:hAnsi="Segoe UI" w:cs="Segoe UI"/>
                <w:noProof/>
                <w:webHidden/>
              </w:rPr>
              <w:instrText xml:space="preserve"> PAGEREF _Toc484105615 \h </w:instrText>
            </w:r>
            <w:r w:rsidR="00AA3506" w:rsidRPr="00AA3506">
              <w:rPr>
                <w:rFonts w:ascii="Segoe UI" w:hAnsi="Segoe UI" w:cs="Segoe UI"/>
                <w:noProof/>
                <w:webHidden/>
              </w:rPr>
            </w:r>
            <w:r w:rsidR="00AA3506" w:rsidRPr="00AA3506">
              <w:rPr>
                <w:rFonts w:ascii="Segoe UI" w:hAnsi="Segoe UI" w:cs="Segoe UI"/>
                <w:noProof/>
                <w:webHidden/>
              </w:rPr>
              <w:fldChar w:fldCharType="separate"/>
            </w:r>
            <w:r w:rsidR="00AA3506" w:rsidRPr="00AA3506">
              <w:rPr>
                <w:rFonts w:ascii="Segoe UI" w:hAnsi="Segoe UI" w:cs="Segoe UI"/>
                <w:noProof/>
                <w:webHidden/>
              </w:rPr>
              <w:t>25</w:t>
            </w:r>
            <w:r w:rsidR="00AA3506" w:rsidRPr="00AA3506">
              <w:rPr>
                <w:rFonts w:ascii="Segoe UI" w:hAnsi="Segoe UI" w:cs="Segoe UI"/>
                <w:noProof/>
                <w:webHidden/>
              </w:rPr>
              <w:fldChar w:fldCharType="end"/>
            </w:r>
          </w:hyperlink>
        </w:p>
        <w:p w14:paraId="376F40DE" w14:textId="77777777" w:rsidR="00AA3506" w:rsidRPr="00AA3506" w:rsidRDefault="00E07FE4">
          <w:pPr>
            <w:pStyle w:val="TM3"/>
            <w:rPr>
              <w:rFonts w:ascii="Segoe UI" w:hAnsi="Segoe UI" w:cs="Segoe UI"/>
              <w:noProof/>
            </w:rPr>
          </w:pPr>
          <w:hyperlink w:anchor="_Toc484105616" w:history="1">
            <w:r w:rsidR="00AA3506" w:rsidRPr="00AA3506">
              <w:rPr>
                <w:rStyle w:val="Lienhypertexte"/>
                <w:rFonts w:ascii="Segoe UI" w:hAnsi="Segoe UI" w:cs="Segoe UI"/>
                <w:noProof/>
              </w:rPr>
              <w:t>B-</w:t>
            </w:r>
            <w:r w:rsidR="00AA3506" w:rsidRPr="00AA3506">
              <w:rPr>
                <w:rFonts w:ascii="Segoe UI" w:hAnsi="Segoe UI" w:cs="Segoe UI"/>
                <w:noProof/>
              </w:rPr>
              <w:tab/>
            </w:r>
            <w:r w:rsidR="00AA3506" w:rsidRPr="00AA3506">
              <w:rPr>
                <w:rStyle w:val="Lienhypertexte"/>
                <w:rFonts w:ascii="Segoe UI" w:hAnsi="Segoe UI" w:cs="Segoe UI"/>
                <w:noProof/>
              </w:rPr>
              <w:t>L’exécution des charges de Trésorerie</w:t>
            </w:r>
            <w:r w:rsidR="00AA3506" w:rsidRPr="00AA3506">
              <w:rPr>
                <w:rFonts w:ascii="Segoe UI" w:hAnsi="Segoe UI" w:cs="Segoe UI"/>
                <w:noProof/>
                <w:webHidden/>
              </w:rPr>
              <w:tab/>
            </w:r>
            <w:r w:rsidR="00AA3506" w:rsidRPr="00AA3506">
              <w:rPr>
                <w:rFonts w:ascii="Segoe UI" w:hAnsi="Segoe UI" w:cs="Segoe UI"/>
                <w:noProof/>
                <w:webHidden/>
              </w:rPr>
              <w:fldChar w:fldCharType="begin"/>
            </w:r>
            <w:r w:rsidR="00AA3506" w:rsidRPr="00AA3506">
              <w:rPr>
                <w:rFonts w:ascii="Segoe UI" w:hAnsi="Segoe UI" w:cs="Segoe UI"/>
                <w:noProof/>
                <w:webHidden/>
              </w:rPr>
              <w:instrText xml:space="preserve"> PAGEREF _Toc484105616 \h </w:instrText>
            </w:r>
            <w:r w:rsidR="00AA3506" w:rsidRPr="00AA3506">
              <w:rPr>
                <w:rFonts w:ascii="Segoe UI" w:hAnsi="Segoe UI" w:cs="Segoe UI"/>
                <w:noProof/>
                <w:webHidden/>
              </w:rPr>
            </w:r>
            <w:r w:rsidR="00AA3506" w:rsidRPr="00AA3506">
              <w:rPr>
                <w:rFonts w:ascii="Segoe UI" w:hAnsi="Segoe UI" w:cs="Segoe UI"/>
                <w:noProof/>
                <w:webHidden/>
              </w:rPr>
              <w:fldChar w:fldCharType="separate"/>
            </w:r>
            <w:r w:rsidR="00AA3506" w:rsidRPr="00AA3506">
              <w:rPr>
                <w:rFonts w:ascii="Segoe UI" w:hAnsi="Segoe UI" w:cs="Segoe UI"/>
                <w:noProof/>
                <w:webHidden/>
              </w:rPr>
              <w:t>26</w:t>
            </w:r>
            <w:r w:rsidR="00AA3506" w:rsidRPr="00AA3506">
              <w:rPr>
                <w:rFonts w:ascii="Segoe UI" w:hAnsi="Segoe UI" w:cs="Segoe UI"/>
                <w:noProof/>
                <w:webHidden/>
              </w:rPr>
              <w:fldChar w:fldCharType="end"/>
            </w:r>
          </w:hyperlink>
        </w:p>
        <w:p w14:paraId="61A65668" w14:textId="77777777" w:rsidR="007D5EA9" w:rsidRPr="00A73BA5" w:rsidRDefault="001558F3" w:rsidP="007D5EA9">
          <w:pPr>
            <w:rPr>
              <w:rFonts w:ascii="Segoe UI" w:hAnsi="Segoe UI" w:cs="Segoe UI"/>
            </w:rPr>
          </w:pPr>
          <w:r w:rsidRPr="00A73BA5">
            <w:rPr>
              <w:rFonts w:ascii="Segoe UI" w:hAnsi="Segoe UI" w:cs="Segoe UI"/>
            </w:rPr>
            <w:fldChar w:fldCharType="end"/>
          </w:r>
        </w:p>
        <w:p w14:paraId="454DC5BF" w14:textId="77777777" w:rsidR="00826B9B" w:rsidRPr="00A73BA5" w:rsidRDefault="007D5EA9" w:rsidP="007D5E09">
          <w:pPr>
            <w:rPr>
              <w:rFonts w:ascii="Segoe UI" w:hAnsi="Segoe UI" w:cs="Segoe UI"/>
            </w:rPr>
          </w:pPr>
          <w:r w:rsidRPr="00A73BA5">
            <w:rPr>
              <w:rFonts w:ascii="Segoe UI" w:hAnsi="Segoe UI" w:cs="Segoe UI"/>
              <w:b/>
            </w:rPr>
            <w:t>CONCLUSION</w:t>
          </w:r>
        </w:p>
      </w:sdtContent>
    </w:sdt>
    <w:p w14:paraId="53A814CA" w14:textId="77777777" w:rsidR="00826B9B" w:rsidRPr="00A73BA5" w:rsidRDefault="00826B9B" w:rsidP="0068414F">
      <w:pPr>
        <w:pStyle w:val="Pieddepage"/>
        <w:tabs>
          <w:tab w:val="clear" w:pos="4536"/>
          <w:tab w:val="clear" w:pos="9072"/>
        </w:tabs>
        <w:rPr>
          <w:rFonts w:ascii="Segoe UI" w:hAnsi="Segoe UI" w:cs="Segoe UI"/>
        </w:rPr>
      </w:pPr>
    </w:p>
    <w:p w14:paraId="72327281" w14:textId="77777777" w:rsidR="0068414F" w:rsidRPr="00A73BA5" w:rsidRDefault="0068414F" w:rsidP="0068414F">
      <w:pPr>
        <w:pStyle w:val="Pieddepage"/>
        <w:tabs>
          <w:tab w:val="clear" w:pos="4536"/>
          <w:tab w:val="clear" w:pos="9072"/>
        </w:tabs>
        <w:rPr>
          <w:rFonts w:ascii="Segoe UI" w:hAnsi="Segoe UI" w:cs="Segoe UI"/>
        </w:rPr>
      </w:pPr>
    </w:p>
    <w:p w14:paraId="145FB900" w14:textId="77777777" w:rsidR="007D5EA9" w:rsidRPr="00A73BA5" w:rsidRDefault="007D5EA9">
      <w:pPr>
        <w:rPr>
          <w:rFonts w:ascii="Segoe UI" w:hAnsi="Segoe UI" w:cs="Segoe UI"/>
          <w:b/>
          <w:sz w:val="24"/>
          <w:szCs w:val="24"/>
        </w:rPr>
      </w:pPr>
      <w:r w:rsidRPr="00A73BA5">
        <w:rPr>
          <w:rFonts w:ascii="Segoe UI" w:hAnsi="Segoe UI" w:cs="Segoe UI"/>
          <w:b/>
          <w:sz w:val="24"/>
          <w:szCs w:val="24"/>
        </w:rPr>
        <w:br w:type="page"/>
      </w:r>
    </w:p>
    <w:p w14:paraId="3748EB79" w14:textId="77777777" w:rsidR="0068414F" w:rsidRPr="00A73BA5" w:rsidRDefault="0068414F" w:rsidP="0068414F">
      <w:pPr>
        <w:pStyle w:val="Pieddepage"/>
        <w:tabs>
          <w:tab w:val="clear" w:pos="4536"/>
          <w:tab w:val="clear" w:pos="9072"/>
        </w:tabs>
        <w:rPr>
          <w:rFonts w:ascii="Segoe UI" w:hAnsi="Segoe UI" w:cs="Segoe UI"/>
          <w:b/>
          <w:sz w:val="24"/>
          <w:szCs w:val="24"/>
        </w:rPr>
      </w:pPr>
      <w:r w:rsidRPr="00A73BA5">
        <w:rPr>
          <w:rFonts w:ascii="Segoe UI" w:hAnsi="Segoe UI" w:cs="Segoe UI"/>
          <w:b/>
          <w:sz w:val="24"/>
          <w:szCs w:val="24"/>
        </w:rPr>
        <w:lastRenderedPageBreak/>
        <w:t>LISTE DES TABLEAUX</w:t>
      </w:r>
    </w:p>
    <w:p w14:paraId="037E5CD3" w14:textId="77777777" w:rsidR="0068414F" w:rsidRPr="00A73BA5" w:rsidRDefault="0068414F" w:rsidP="00BE3016">
      <w:pPr>
        <w:pStyle w:val="Pieddepage"/>
        <w:tabs>
          <w:tab w:val="clear" w:pos="4536"/>
          <w:tab w:val="clear" w:pos="9072"/>
        </w:tabs>
        <w:spacing w:line="360" w:lineRule="auto"/>
        <w:jc w:val="both"/>
        <w:rPr>
          <w:rFonts w:ascii="Segoe UI" w:hAnsi="Segoe UI" w:cs="Segoe UI"/>
        </w:rPr>
      </w:pPr>
    </w:p>
    <w:p w14:paraId="5FCC2145" w14:textId="1A0F8217" w:rsidR="00CF62E7" w:rsidRDefault="001558F3">
      <w:pPr>
        <w:pStyle w:val="Tabledesillustrations"/>
        <w:tabs>
          <w:tab w:val="right" w:leader="dot" w:pos="9062"/>
        </w:tabs>
        <w:rPr>
          <w:rFonts w:asciiTheme="minorHAnsi" w:eastAsiaTheme="minorEastAsia" w:hAnsiTheme="minorHAnsi" w:cstheme="minorBidi"/>
          <w:i w:val="0"/>
          <w:iCs w:val="0"/>
          <w:noProof/>
          <w:sz w:val="22"/>
          <w:szCs w:val="22"/>
        </w:rPr>
      </w:pPr>
      <w:r w:rsidRPr="00A73BA5">
        <w:rPr>
          <w:rFonts w:ascii="Segoe UI" w:hAnsi="Segoe UI" w:cs="Segoe UI"/>
          <w:b/>
          <w:i w:val="0"/>
          <w:sz w:val="22"/>
          <w:szCs w:val="22"/>
        </w:rPr>
        <w:fldChar w:fldCharType="begin"/>
      </w:r>
      <w:r w:rsidR="00143CF5" w:rsidRPr="00A73BA5">
        <w:rPr>
          <w:rFonts w:ascii="Segoe UI" w:hAnsi="Segoe UI" w:cs="Segoe UI"/>
          <w:b/>
          <w:i w:val="0"/>
          <w:sz w:val="22"/>
          <w:szCs w:val="22"/>
        </w:rPr>
        <w:instrText xml:space="preserve"> TOC \h \z \t "Liste des tableaux" \c "Tableau" </w:instrText>
      </w:r>
      <w:r w:rsidRPr="00A73BA5">
        <w:rPr>
          <w:rFonts w:ascii="Segoe UI" w:hAnsi="Segoe UI" w:cs="Segoe UI"/>
          <w:b/>
          <w:i w:val="0"/>
          <w:sz w:val="22"/>
          <w:szCs w:val="22"/>
        </w:rPr>
        <w:fldChar w:fldCharType="separate"/>
      </w:r>
      <w:hyperlink w:anchor="_Toc481952102" w:history="1">
        <w:r w:rsidR="00CF62E7" w:rsidRPr="00426125">
          <w:rPr>
            <w:rStyle w:val="Lienhypertexte"/>
            <w:rFonts w:ascii="Segoe UI" w:eastAsiaTheme="majorEastAsia" w:hAnsi="Segoe UI" w:cs="Segoe UI"/>
            <w:noProof/>
          </w:rPr>
          <w:t>Tableau1 : Evolution des réalisations des recettes brutes des administrations financières au 31 mars 2016 et 2017</w:t>
        </w:r>
      </w:hyperlink>
      <w:r w:rsidR="00F416E0">
        <w:rPr>
          <w:noProof/>
        </w:rPr>
        <w:t xml:space="preserve"> </w:t>
      </w:r>
      <w:hyperlink w:anchor="_Toc481952103" w:history="1">
        <w:r w:rsidR="00CF62E7" w:rsidRPr="00426125">
          <w:rPr>
            <w:rStyle w:val="Lienhypertexte"/>
            <w:rFonts w:ascii="Segoe UI" w:hAnsi="Segoe UI" w:cs="Segoe UI"/>
            <w:noProof/>
          </w:rPr>
          <w:t>En millions de FCFA</w:t>
        </w:r>
        <w:r w:rsidR="00CF62E7">
          <w:rPr>
            <w:noProof/>
            <w:webHidden/>
          </w:rPr>
          <w:tab/>
        </w:r>
        <w:r w:rsidR="00CF62E7">
          <w:rPr>
            <w:noProof/>
            <w:webHidden/>
          </w:rPr>
          <w:fldChar w:fldCharType="begin"/>
        </w:r>
        <w:r w:rsidR="00CF62E7">
          <w:rPr>
            <w:noProof/>
            <w:webHidden/>
          </w:rPr>
          <w:instrText xml:space="preserve"> PAGEREF _Toc481952103 \h </w:instrText>
        </w:r>
        <w:r w:rsidR="00CF62E7">
          <w:rPr>
            <w:noProof/>
            <w:webHidden/>
          </w:rPr>
        </w:r>
        <w:r w:rsidR="00CF62E7">
          <w:rPr>
            <w:noProof/>
            <w:webHidden/>
          </w:rPr>
          <w:fldChar w:fldCharType="separate"/>
        </w:r>
        <w:r w:rsidR="00515A76">
          <w:rPr>
            <w:noProof/>
            <w:webHidden/>
          </w:rPr>
          <w:t>11</w:t>
        </w:r>
        <w:r w:rsidR="00CF62E7">
          <w:rPr>
            <w:noProof/>
            <w:webHidden/>
          </w:rPr>
          <w:fldChar w:fldCharType="end"/>
        </w:r>
      </w:hyperlink>
    </w:p>
    <w:p w14:paraId="71168FA7" w14:textId="072AF1D1" w:rsidR="00CF62E7" w:rsidRDefault="00E07FE4">
      <w:pPr>
        <w:pStyle w:val="Tabledesillustrations"/>
        <w:tabs>
          <w:tab w:val="right" w:leader="dot" w:pos="9062"/>
        </w:tabs>
        <w:rPr>
          <w:rFonts w:asciiTheme="minorHAnsi" w:eastAsiaTheme="minorEastAsia" w:hAnsiTheme="minorHAnsi" w:cstheme="minorBidi"/>
          <w:i w:val="0"/>
          <w:iCs w:val="0"/>
          <w:noProof/>
          <w:sz w:val="22"/>
          <w:szCs w:val="22"/>
        </w:rPr>
      </w:pPr>
      <w:hyperlink w:anchor="_Toc481952104" w:history="1">
        <w:r w:rsidR="00CF62E7" w:rsidRPr="00426125">
          <w:rPr>
            <w:rStyle w:val="Lienhypertexte"/>
            <w:rFonts w:ascii="Segoe UI" w:eastAsiaTheme="majorEastAsia" w:hAnsi="Segoe UI" w:cs="Segoe UI"/>
            <w:noProof/>
          </w:rPr>
          <w:t>Tableau 2 : Evolution des réalisations des recettes du FNRB et des autres organismes publics au 31mars 2016 et 2017</w:t>
        </w:r>
      </w:hyperlink>
      <w:r w:rsidR="00F416E0">
        <w:rPr>
          <w:noProof/>
        </w:rPr>
        <w:t xml:space="preserve"> </w:t>
      </w:r>
      <w:hyperlink w:anchor="_Toc481952105" w:history="1">
        <w:r w:rsidR="00CF62E7" w:rsidRPr="00426125">
          <w:rPr>
            <w:rStyle w:val="Lienhypertexte"/>
            <w:rFonts w:ascii="Segoe UI" w:eastAsiaTheme="majorEastAsia" w:hAnsi="Segoe UI" w:cs="Segoe UI"/>
            <w:noProof/>
          </w:rPr>
          <w:t>En millions de FCFA</w:t>
        </w:r>
        <w:r w:rsidR="00CF62E7">
          <w:rPr>
            <w:noProof/>
            <w:webHidden/>
          </w:rPr>
          <w:tab/>
        </w:r>
        <w:r w:rsidR="00CF62E7">
          <w:rPr>
            <w:noProof/>
            <w:webHidden/>
          </w:rPr>
          <w:fldChar w:fldCharType="begin"/>
        </w:r>
        <w:r w:rsidR="00CF62E7">
          <w:rPr>
            <w:noProof/>
            <w:webHidden/>
          </w:rPr>
          <w:instrText xml:space="preserve"> PAGEREF _Toc481952105 \h </w:instrText>
        </w:r>
        <w:r w:rsidR="00CF62E7">
          <w:rPr>
            <w:noProof/>
            <w:webHidden/>
          </w:rPr>
        </w:r>
        <w:r w:rsidR="00CF62E7">
          <w:rPr>
            <w:noProof/>
            <w:webHidden/>
          </w:rPr>
          <w:fldChar w:fldCharType="separate"/>
        </w:r>
        <w:r w:rsidR="00515A76">
          <w:rPr>
            <w:noProof/>
            <w:webHidden/>
          </w:rPr>
          <w:t>15</w:t>
        </w:r>
        <w:r w:rsidR="00CF62E7">
          <w:rPr>
            <w:noProof/>
            <w:webHidden/>
          </w:rPr>
          <w:fldChar w:fldCharType="end"/>
        </w:r>
      </w:hyperlink>
    </w:p>
    <w:p w14:paraId="40203247" w14:textId="697B9958" w:rsidR="00CF62E7" w:rsidRDefault="00E07FE4">
      <w:pPr>
        <w:pStyle w:val="Tabledesillustrations"/>
        <w:tabs>
          <w:tab w:val="right" w:leader="dot" w:pos="9062"/>
        </w:tabs>
        <w:rPr>
          <w:rFonts w:asciiTheme="minorHAnsi" w:eastAsiaTheme="minorEastAsia" w:hAnsiTheme="minorHAnsi" w:cstheme="minorBidi"/>
          <w:i w:val="0"/>
          <w:iCs w:val="0"/>
          <w:noProof/>
          <w:sz w:val="22"/>
          <w:szCs w:val="22"/>
        </w:rPr>
      </w:pPr>
      <w:hyperlink w:anchor="_Toc481952106" w:history="1">
        <w:r w:rsidR="00CF62E7" w:rsidRPr="00426125">
          <w:rPr>
            <w:rStyle w:val="Lienhypertexte"/>
            <w:rFonts w:ascii="Segoe UI" w:eastAsiaTheme="majorEastAsia" w:hAnsi="Segoe UI" w:cs="Segoe UI"/>
            <w:noProof/>
          </w:rPr>
          <w:t>Tableau 3 : Récapitulatif de la mobilisation des autres ressources budgétaires à fin mars 2016 et 2017</w:t>
        </w:r>
      </w:hyperlink>
      <w:r w:rsidR="00F416E0">
        <w:rPr>
          <w:noProof/>
        </w:rPr>
        <w:t xml:space="preserve"> </w:t>
      </w:r>
      <w:hyperlink w:anchor="_Toc481952107" w:history="1">
        <w:r w:rsidR="00CF62E7" w:rsidRPr="00426125">
          <w:rPr>
            <w:rStyle w:val="Lienhypertexte"/>
            <w:rFonts w:ascii="Segoe UI" w:eastAsiaTheme="majorEastAsia" w:hAnsi="Segoe UI" w:cs="Segoe UI"/>
            <w:noProof/>
          </w:rPr>
          <w:t>En millions de FCFA</w:t>
        </w:r>
        <w:r w:rsidR="00CF62E7">
          <w:rPr>
            <w:noProof/>
            <w:webHidden/>
          </w:rPr>
          <w:tab/>
        </w:r>
        <w:r w:rsidR="00CF62E7">
          <w:rPr>
            <w:noProof/>
            <w:webHidden/>
          </w:rPr>
          <w:fldChar w:fldCharType="begin"/>
        </w:r>
        <w:r w:rsidR="00CF62E7">
          <w:rPr>
            <w:noProof/>
            <w:webHidden/>
          </w:rPr>
          <w:instrText xml:space="preserve"> PAGEREF _Toc481952107 \h </w:instrText>
        </w:r>
        <w:r w:rsidR="00CF62E7">
          <w:rPr>
            <w:noProof/>
            <w:webHidden/>
          </w:rPr>
        </w:r>
        <w:r w:rsidR="00CF62E7">
          <w:rPr>
            <w:noProof/>
            <w:webHidden/>
          </w:rPr>
          <w:fldChar w:fldCharType="separate"/>
        </w:r>
        <w:r w:rsidR="00515A76">
          <w:rPr>
            <w:noProof/>
            <w:webHidden/>
          </w:rPr>
          <w:t>16</w:t>
        </w:r>
        <w:r w:rsidR="00CF62E7">
          <w:rPr>
            <w:noProof/>
            <w:webHidden/>
          </w:rPr>
          <w:fldChar w:fldCharType="end"/>
        </w:r>
      </w:hyperlink>
    </w:p>
    <w:p w14:paraId="591F7E09" w14:textId="76016529" w:rsidR="00CF62E7" w:rsidRDefault="00E07FE4">
      <w:pPr>
        <w:pStyle w:val="Tabledesillustrations"/>
        <w:tabs>
          <w:tab w:val="right" w:leader="dot" w:pos="9062"/>
        </w:tabs>
        <w:rPr>
          <w:rFonts w:asciiTheme="minorHAnsi" w:eastAsiaTheme="minorEastAsia" w:hAnsiTheme="minorHAnsi" w:cstheme="minorBidi"/>
          <w:i w:val="0"/>
          <w:iCs w:val="0"/>
          <w:noProof/>
          <w:sz w:val="22"/>
          <w:szCs w:val="22"/>
        </w:rPr>
      </w:pPr>
      <w:hyperlink w:anchor="_Toc481952108" w:history="1">
        <w:r w:rsidR="00CF62E7" w:rsidRPr="00426125">
          <w:rPr>
            <w:rStyle w:val="Lienhypertexte"/>
            <w:rFonts w:ascii="Segoe UI" w:eastAsiaTheme="majorEastAsia" w:hAnsi="Segoe UI" w:cs="Segoe UI"/>
            <w:noProof/>
          </w:rPr>
          <w:t>Tableau 4 : Evolution des engagements des dépenses ordinaires au 31 mars 2016 et 2017</w:t>
        </w:r>
      </w:hyperlink>
      <w:r w:rsidR="00F416E0">
        <w:rPr>
          <w:noProof/>
        </w:rPr>
        <w:t xml:space="preserve"> </w:t>
      </w:r>
      <w:hyperlink w:anchor="_Toc481952109" w:history="1">
        <w:r w:rsidR="00CF62E7" w:rsidRPr="00426125">
          <w:rPr>
            <w:rStyle w:val="Lienhypertexte"/>
            <w:rFonts w:ascii="Segoe UI" w:eastAsiaTheme="majorEastAsia" w:hAnsi="Segoe UI" w:cs="Segoe UI"/>
            <w:noProof/>
          </w:rPr>
          <w:t>En millions de FCFA</w:t>
        </w:r>
        <w:r w:rsidR="00CF62E7">
          <w:rPr>
            <w:noProof/>
            <w:webHidden/>
          </w:rPr>
          <w:tab/>
        </w:r>
        <w:r w:rsidR="00CF62E7">
          <w:rPr>
            <w:noProof/>
            <w:webHidden/>
          </w:rPr>
          <w:fldChar w:fldCharType="begin"/>
        </w:r>
        <w:r w:rsidR="00CF62E7">
          <w:rPr>
            <w:noProof/>
            <w:webHidden/>
          </w:rPr>
          <w:instrText xml:space="preserve"> PAGEREF _Toc481952109 \h </w:instrText>
        </w:r>
        <w:r w:rsidR="00CF62E7">
          <w:rPr>
            <w:noProof/>
            <w:webHidden/>
          </w:rPr>
        </w:r>
        <w:r w:rsidR="00CF62E7">
          <w:rPr>
            <w:noProof/>
            <w:webHidden/>
          </w:rPr>
          <w:fldChar w:fldCharType="separate"/>
        </w:r>
        <w:r w:rsidR="00515A76">
          <w:rPr>
            <w:noProof/>
            <w:webHidden/>
          </w:rPr>
          <w:t>21</w:t>
        </w:r>
        <w:r w:rsidR="00CF62E7">
          <w:rPr>
            <w:noProof/>
            <w:webHidden/>
          </w:rPr>
          <w:fldChar w:fldCharType="end"/>
        </w:r>
      </w:hyperlink>
    </w:p>
    <w:p w14:paraId="4699D832" w14:textId="6CCDDA5B" w:rsidR="00CF62E7" w:rsidRDefault="00E07FE4">
      <w:pPr>
        <w:pStyle w:val="Tabledesillustrations"/>
        <w:tabs>
          <w:tab w:val="right" w:leader="dot" w:pos="9062"/>
        </w:tabs>
        <w:rPr>
          <w:rFonts w:asciiTheme="minorHAnsi" w:eastAsiaTheme="minorEastAsia" w:hAnsiTheme="minorHAnsi" w:cstheme="minorBidi"/>
          <w:i w:val="0"/>
          <w:iCs w:val="0"/>
          <w:noProof/>
          <w:sz w:val="22"/>
          <w:szCs w:val="22"/>
        </w:rPr>
      </w:pPr>
      <w:hyperlink w:anchor="_Toc481952110" w:history="1">
        <w:r w:rsidR="00CF62E7" w:rsidRPr="00426125">
          <w:rPr>
            <w:rStyle w:val="Lienhypertexte"/>
            <w:rFonts w:ascii="Segoe UI" w:eastAsiaTheme="majorEastAsia" w:hAnsi="Segoe UI" w:cs="Segoe UI"/>
            <w:noProof/>
          </w:rPr>
          <w:t>Tableau 5 : Evolution des engagements des dépenses en capital à fin mars 2016 et 2017</w:t>
        </w:r>
      </w:hyperlink>
      <w:r w:rsidR="00F416E0">
        <w:rPr>
          <w:noProof/>
        </w:rPr>
        <w:t xml:space="preserve"> </w:t>
      </w:r>
      <w:hyperlink w:anchor="_Toc481952111" w:history="1">
        <w:r w:rsidR="00CF62E7" w:rsidRPr="00426125">
          <w:rPr>
            <w:rStyle w:val="Lienhypertexte"/>
            <w:rFonts w:ascii="Segoe UI" w:hAnsi="Segoe UI" w:cs="Segoe UI"/>
            <w:noProof/>
          </w:rPr>
          <w:t>En milliers de FCFA</w:t>
        </w:r>
        <w:r w:rsidR="00CF62E7">
          <w:rPr>
            <w:noProof/>
            <w:webHidden/>
          </w:rPr>
          <w:tab/>
        </w:r>
        <w:r w:rsidR="00CF62E7">
          <w:rPr>
            <w:noProof/>
            <w:webHidden/>
          </w:rPr>
          <w:fldChar w:fldCharType="begin"/>
        </w:r>
        <w:r w:rsidR="00CF62E7">
          <w:rPr>
            <w:noProof/>
            <w:webHidden/>
          </w:rPr>
          <w:instrText xml:space="preserve"> PAGEREF _Toc481952111 \h </w:instrText>
        </w:r>
        <w:r w:rsidR="00CF62E7">
          <w:rPr>
            <w:noProof/>
            <w:webHidden/>
          </w:rPr>
        </w:r>
        <w:r w:rsidR="00CF62E7">
          <w:rPr>
            <w:noProof/>
            <w:webHidden/>
          </w:rPr>
          <w:fldChar w:fldCharType="separate"/>
        </w:r>
        <w:r w:rsidR="00515A76">
          <w:rPr>
            <w:noProof/>
            <w:webHidden/>
          </w:rPr>
          <w:t>22</w:t>
        </w:r>
        <w:r w:rsidR="00CF62E7">
          <w:rPr>
            <w:noProof/>
            <w:webHidden/>
          </w:rPr>
          <w:fldChar w:fldCharType="end"/>
        </w:r>
      </w:hyperlink>
    </w:p>
    <w:p w14:paraId="66D02766" w14:textId="14208D2C" w:rsidR="00CF62E7" w:rsidRDefault="00E07FE4">
      <w:pPr>
        <w:pStyle w:val="Tabledesillustrations"/>
        <w:tabs>
          <w:tab w:val="right" w:leader="dot" w:pos="9062"/>
        </w:tabs>
        <w:rPr>
          <w:rFonts w:asciiTheme="minorHAnsi" w:eastAsiaTheme="minorEastAsia" w:hAnsiTheme="minorHAnsi" w:cstheme="minorBidi"/>
          <w:i w:val="0"/>
          <w:iCs w:val="0"/>
          <w:noProof/>
          <w:sz w:val="22"/>
          <w:szCs w:val="22"/>
        </w:rPr>
      </w:pPr>
      <w:hyperlink w:anchor="_Toc481952112" w:history="1">
        <w:r w:rsidR="00CF62E7" w:rsidRPr="00426125">
          <w:rPr>
            <w:rStyle w:val="Lienhypertexte"/>
            <w:rFonts w:ascii="Segoe UI" w:eastAsiaTheme="majorEastAsia" w:hAnsi="Segoe UI" w:cs="Segoe UI"/>
            <w:noProof/>
          </w:rPr>
          <w:t>Tableau 6 : Exécution des dépenses des Comptes d’Affectation Spéciale au 31</w:t>
        </w:r>
        <w:r w:rsidR="00F416E0">
          <w:rPr>
            <w:rStyle w:val="Lienhypertexte"/>
            <w:rFonts w:ascii="Segoe UI" w:eastAsiaTheme="majorEastAsia" w:hAnsi="Segoe UI" w:cs="Segoe UI"/>
            <w:noProof/>
          </w:rPr>
          <w:t xml:space="preserve"> </w:t>
        </w:r>
      </w:hyperlink>
      <w:hyperlink w:anchor="_Toc481952113" w:history="1">
        <w:r w:rsidR="00CF62E7" w:rsidRPr="00426125">
          <w:rPr>
            <w:rStyle w:val="Lienhypertexte"/>
            <w:rFonts w:ascii="Segoe UI" w:eastAsiaTheme="majorEastAsia" w:hAnsi="Segoe UI" w:cs="Segoe UI"/>
            <w:noProof/>
          </w:rPr>
          <w:t>mars 2017</w:t>
        </w:r>
        <w:r w:rsidR="00F416E0">
          <w:rPr>
            <w:rStyle w:val="Lienhypertexte"/>
            <w:rFonts w:ascii="Segoe UI" w:eastAsiaTheme="majorEastAsia" w:hAnsi="Segoe UI" w:cs="Segoe UI"/>
            <w:noProof/>
          </w:rPr>
          <w:t xml:space="preserve"> </w:t>
        </w:r>
      </w:hyperlink>
      <w:hyperlink w:anchor="_Toc481952114" w:history="1">
        <w:r w:rsidR="00CF62E7" w:rsidRPr="00426125">
          <w:rPr>
            <w:rStyle w:val="Lienhypertexte"/>
            <w:rFonts w:ascii="Segoe UI" w:eastAsiaTheme="majorEastAsia" w:hAnsi="Segoe UI" w:cs="Segoe UI"/>
            <w:noProof/>
          </w:rPr>
          <w:t>En millions de FCFA</w:t>
        </w:r>
        <w:r w:rsidR="00CF62E7">
          <w:rPr>
            <w:noProof/>
            <w:webHidden/>
          </w:rPr>
          <w:tab/>
        </w:r>
        <w:r w:rsidR="00CF62E7">
          <w:rPr>
            <w:noProof/>
            <w:webHidden/>
          </w:rPr>
          <w:fldChar w:fldCharType="begin"/>
        </w:r>
        <w:r w:rsidR="00CF62E7">
          <w:rPr>
            <w:noProof/>
            <w:webHidden/>
          </w:rPr>
          <w:instrText xml:space="preserve"> PAGEREF _Toc481952114 \h </w:instrText>
        </w:r>
        <w:r w:rsidR="00CF62E7">
          <w:rPr>
            <w:noProof/>
            <w:webHidden/>
          </w:rPr>
        </w:r>
        <w:r w:rsidR="00CF62E7">
          <w:rPr>
            <w:noProof/>
            <w:webHidden/>
          </w:rPr>
          <w:fldChar w:fldCharType="separate"/>
        </w:r>
        <w:r w:rsidR="00515A76">
          <w:rPr>
            <w:noProof/>
            <w:webHidden/>
          </w:rPr>
          <w:t>24</w:t>
        </w:r>
        <w:r w:rsidR="00CF62E7">
          <w:rPr>
            <w:noProof/>
            <w:webHidden/>
          </w:rPr>
          <w:fldChar w:fldCharType="end"/>
        </w:r>
      </w:hyperlink>
    </w:p>
    <w:p w14:paraId="2627DCC1" w14:textId="4C99D19A" w:rsidR="00CF62E7" w:rsidRDefault="00E07FE4">
      <w:pPr>
        <w:pStyle w:val="Tabledesillustrations"/>
        <w:tabs>
          <w:tab w:val="right" w:leader="dot" w:pos="9062"/>
        </w:tabs>
        <w:rPr>
          <w:rFonts w:asciiTheme="minorHAnsi" w:eastAsiaTheme="minorEastAsia" w:hAnsiTheme="minorHAnsi" w:cstheme="minorBidi"/>
          <w:i w:val="0"/>
          <w:iCs w:val="0"/>
          <w:noProof/>
          <w:sz w:val="22"/>
          <w:szCs w:val="22"/>
        </w:rPr>
      </w:pPr>
      <w:hyperlink w:anchor="_Toc481952115" w:history="1">
        <w:r w:rsidR="00CF62E7" w:rsidRPr="00426125">
          <w:rPr>
            <w:rStyle w:val="Lienhypertexte"/>
            <w:rFonts w:ascii="Segoe UI" w:eastAsiaTheme="majorEastAsia" w:hAnsi="Segoe UI" w:cs="Segoe UI"/>
            <w:noProof/>
          </w:rPr>
          <w:t>Tableau  7: Présentation des soldes budgétaires d’exécution à fin mars 2017</w:t>
        </w:r>
        <w:r w:rsidR="00F416E0">
          <w:rPr>
            <w:rStyle w:val="Lienhypertexte"/>
            <w:rFonts w:ascii="Segoe UI" w:eastAsiaTheme="majorEastAsia" w:hAnsi="Segoe UI" w:cs="Segoe UI"/>
            <w:noProof/>
          </w:rPr>
          <w:t xml:space="preserve"> </w:t>
        </w:r>
      </w:hyperlink>
      <w:r w:rsidR="00F416E0">
        <w:rPr>
          <w:noProof/>
        </w:rPr>
        <w:t xml:space="preserve"> </w:t>
      </w:r>
      <w:hyperlink w:anchor="_Toc481952116" w:history="1">
        <w:r w:rsidR="00CF62E7" w:rsidRPr="00426125">
          <w:rPr>
            <w:rStyle w:val="Lienhypertexte"/>
            <w:rFonts w:ascii="Segoe UI" w:eastAsiaTheme="majorEastAsia" w:hAnsi="Segoe UI" w:cs="Segoe UI"/>
            <w:noProof/>
          </w:rPr>
          <w:t>En millions de FCFA</w:t>
        </w:r>
        <w:r w:rsidR="00CF62E7">
          <w:rPr>
            <w:noProof/>
            <w:webHidden/>
          </w:rPr>
          <w:tab/>
        </w:r>
        <w:r w:rsidR="00CF62E7">
          <w:rPr>
            <w:noProof/>
            <w:webHidden/>
          </w:rPr>
          <w:fldChar w:fldCharType="begin"/>
        </w:r>
        <w:r w:rsidR="00CF62E7">
          <w:rPr>
            <w:noProof/>
            <w:webHidden/>
          </w:rPr>
          <w:instrText xml:space="preserve"> PAGEREF _Toc481952116 \h </w:instrText>
        </w:r>
        <w:r w:rsidR="00CF62E7">
          <w:rPr>
            <w:noProof/>
            <w:webHidden/>
          </w:rPr>
        </w:r>
        <w:r w:rsidR="00CF62E7">
          <w:rPr>
            <w:noProof/>
            <w:webHidden/>
          </w:rPr>
          <w:fldChar w:fldCharType="separate"/>
        </w:r>
        <w:r w:rsidR="00515A76">
          <w:rPr>
            <w:noProof/>
            <w:webHidden/>
          </w:rPr>
          <w:t>25</w:t>
        </w:r>
        <w:r w:rsidR="00CF62E7">
          <w:rPr>
            <w:noProof/>
            <w:webHidden/>
          </w:rPr>
          <w:fldChar w:fldCharType="end"/>
        </w:r>
      </w:hyperlink>
    </w:p>
    <w:p w14:paraId="30D58C06" w14:textId="5F782059" w:rsidR="00CF62E7" w:rsidRDefault="00E07FE4">
      <w:pPr>
        <w:pStyle w:val="Tabledesillustrations"/>
        <w:tabs>
          <w:tab w:val="right" w:leader="dot" w:pos="9062"/>
        </w:tabs>
        <w:rPr>
          <w:rFonts w:asciiTheme="minorHAnsi" w:eastAsiaTheme="minorEastAsia" w:hAnsiTheme="minorHAnsi" w:cstheme="minorBidi"/>
          <w:i w:val="0"/>
          <w:iCs w:val="0"/>
          <w:noProof/>
          <w:sz w:val="22"/>
          <w:szCs w:val="22"/>
        </w:rPr>
      </w:pPr>
      <w:hyperlink w:anchor="_Toc481952117" w:history="1">
        <w:r w:rsidR="00CF62E7" w:rsidRPr="00426125">
          <w:rPr>
            <w:rStyle w:val="Lienhypertexte"/>
            <w:rFonts w:ascii="Segoe UI" w:eastAsiaTheme="majorEastAsia" w:hAnsi="Segoe UI" w:cs="Segoe UI"/>
            <w:noProof/>
          </w:rPr>
          <w:t>Tableau 8: Niveau de mobilisation des ressources de trésorerie par nature à fin mars 2017</w:t>
        </w:r>
        <w:r w:rsidR="00F416E0">
          <w:rPr>
            <w:rStyle w:val="Lienhypertexte"/>
            <w:rFonts w:ascii="Segoe UI" w:eastAsiaTheme="majorEastAsia" w:hAnsi="Segoe UI" w:cs="Segoe UI"/>
            <w:noProof/>
          </w:rPr>
          <w:t xml:space="preserve"> </w:t>
        </w:r>
      </w:hyperlink>
      <w:hyperlink w:anchor="_Toc481952118" w:history="1">
        <w:r w:rsidR="00CF62E7" w:rsidRPr="00426125">
          <w:rPr>
            <w:rStyle w:val="Lienhypertexte"/>
            <w:rFonts w:ascii="Segoe UI" w:eastAsiaTheme="majorEastAsia" w:hAnsi="Segoe UI" w:cs="Segoe UI"/>
            <w:noProof/>
          </w:rPr>
          <w:t>En millions de FCFA</w:t>
        </w:r>
        <w:r w:rsidR="00CF62E7">
          <w:rPr>
            <w:noProof/>
            <w:webHidden/>
          </w:rPr>
          <w:tab/>
        </w:r>
        <w:r w:rsidR="00CF62E7">
          <w:rPr>
            <w:noProof/>
            <w:webHidden/>
          </w:rPr>
          <w:fldChar w:fldCharType="begin"/>
        </w:r>
        <w:r w:rsidR="00CF62E7">
          <w:rPr>
            <w:noProof/>
            <w:webHidden/>
          </w:rPr>
          <w:instrText xml:space="preserve"> PAGEREF _Toc481952118 \h </w:instrText>
        </w:r>
        <w:r w:rsidR="00CF62E7">
          <w:rPr>
            <w:noProof/>
            <w:webHidden/>
          </w:rPr>
        </w:r>
        <w:r w:rsidR="00CF62E7">
          <w:rPr>
            <w:noProof/>
            <w:webHidden/>
          </w:rPr>
          <w:fldChar w:fldCharType="separate"/>
        </w:r>
        <w:r w:rsidR="00515A76">
          <w:rPr>
            <w:noProof/>
            <w:webHidden/>
          </w:rPr>
          <w:t>26</w:t>
        </w:r>
        <w:r w:rsidR="00CF62E7">
          <w:rPr>
            <w:noProof/>
            <w:webHidden/>
          </w:rPr>
          <w:fldChar w:fldCharType="end"/>
        </w:r>
      </w:hyperlink>
    </w:p>
    <w:p w14:paraId="6CA1C859" w14:textId="638D4710" w:rsidR="00CF62E7" w:rsidRDefault="00E07FE4">
      <w:pPr>
        <w:pStyle w:val="Tabledesillustrations"/>
        <w:tabs>
          <w:tab w:val="right" w:leader="dot" w:pos="9062"/>
        </w:tabs>
        <w:rPr>
          <w:rFonts w:asciiTheme="minorHAnsi" w:eastAsiaTheme="minorEastAsia" w:hAnsiTheme="minorHAnsi" w:cstheme="minorBidi"/>
          <w:i w:val="0"/>
          <w:iCs w:val="0"/>
          <w:noProof/>
          <w:sz w:val="22"/>
          <w:szCs w:val="22"/>
        </w:rPr>
      </w:pPr>
      <w:hyperlink w:anchor="_Toc481952119" w:history="1">
        <w:r w:rsidR="00CF62E7" w:rsidRPr="00426125">
          <w:rPr>
            <w:rStyle w:val="Lienhypertexte"/>
            <w:rFonts w:ascii="Segoe UI" w:eastAsiaTheme="majorEastAsia" w:hAnsi="Segoe UI" w:cs="Segoe UI"/>
            <w:noProof/>
          </w:rPr>
          <w:t>Tableau 9: Niveau d’exécution des charges de trésorerie par nature à fin mars 2017</w:t>
        </w:r>
      </w:hyperlink>
      <w:hyperlink w:anchor="_Toc481952120" w:history="1">
        <w:r w:rsidR="00CF62E7" w:rsidRPr="00426125">
          <w:rPr>
            <w:rStyle w:val="Lienhypertexte"/>
            <w:rFonts w:ascii="Segoe UI" w:hAnsi="Segoe UI" w:cs="Segoe UI"/>
            <w:noProof/>
          </w:rPr>
          <w:t xml:space="preserve">En millions de </w:t>
        </w:r>
        <w:r w:rsidR="00F416E0">
          <w:rPr>
            <w:rStyle w:val="Lienhypertexte"/>
            <w:rFonts w:ascii="Segoe UI" w:hAnsi="Segoe UI" w:cs="Segoe UI"/>
            <w:noProof/>
          </w:rPr>
          <w:t xml:space="preserve">    </w:t>
        </w:r>
        <w:r w:rsidR="00CF62E7" w:rsidRPr="00426125">
          <w:rPr>
            <w:rStyle w:val="Lienhypertexte"/>
            <w:rFonts w:ascii="Segoe UI" w:hAnsi="Segoe UI" w:cs="Segoe UI"/>
            <w:noProof/>
          </w:rPr>
          <w:t>FCFA</w:t>
        </w:r>
        <w:r w:rsidR="00CF62E7">
          <w:rPr>
            <w:noProof/>
            <w:webHidden/>
          </w:rPr>
          <w:tab/>
        </w:r>
        <w:r w:rsidR="00F416E0">
          <w:rPr>
            <w:noProof/>
            <w:webHidden/>
          </w:rPr>
          <w:t>.</w:t>
        </w:r>
        <w:r w:rsidR="00CF62E7">
          <w:rPr>
            <w:noProof/>
            <w:webHidden/>
          </w:rPr>
          <w:fldChar w:fldCharType="begin"/>
        </w:r>
        <w:r w:rsidR="00CF62E7">
          <w:rPr>
            <w:noProof/>
            <w:webHidden/>
          </w:rPr>
          <w:instrText xml:space="preserve"> PAGEREF _Toc481952120 \h </w:instrText>
        </w:r>
        <w:r w:rsidR="00CF62E7">
          <w:rPr>
            <w:noProof/>
            <w:webHidden/>
          </w:rPr>
        </w:r>
        <w:r w:rsidR="00CF62E7">
          <w:rPr>
            <w:noProof/>
            <w:webHidden/>
          </w:rPr>
          <w:fldChar w:fldCharType="separate"/>
        </w:r>
        <w:r w:rsidR="00515A76">
          <w:rPr>
            <w:noProof/>
            <w:webHidden/>
          </w:rPr>
          <w:t>27</w:t>
        </w:r>
        <w:r w:rsidR="00CF62E7">
          <w:rPr>
            <w:noProof/>
            <w:webHidden/>
          </w:rPr>
          <w:fldChar w:fldCharType="end"/>
        </w:r>
      </w:hyperlink>
    </w:p>
    <w:p w14:paraId="158FFEFD" w14:textId="77777777" w:rsidR="00CF62E7" w:rsidRDefault="00E07FE4">
      <w:pPr>
        <w:pStyle w:val="Tabledesillustrations"/>
        <w:tabs>
          <w:tab w:val="right" w:leader="dot" w:pos="9062"/>
        </w:tabs>
        <w:rPr>
          <w:rFonts w:asciiTheme="minorHAnsi" w:eastAsiaTheme="minorEastAsia" w:hAnsiTheme="minorHAnsi" w:cstheme="minorBidi"/>
          <w:i w:val="0"/>
          <w:iCs w:val="0"/>
          <w:noProof/>
          <w:sz w:val="22"/>
          <w:szCs w:val="22"/>
        </w:rPr>
      </w:pPr>
      <w:hyperlink w:anchor="_Toc481952121" w:history="1">
        <w:r w:rsidR="00CF62E7" w:rsidRPr="00426125">
          <w:rPr>
            <w:rStyle w:val="Lienhypertexte"/>
            <w:rFonts w:ascii="Segoe UI" w:eastAsiaTheme="majorEastAsia" w:hAnsi="Segoe UI" w:cs="Segoe UI"/>
            <w:noProof/>
          </w:rPr>
          <w:t>Tableau  10: Tableau de financement d’exécution de la loi de finance pour la gestion 2017 à fin mars</w:t>
        </w:r>
        <w:r w:rsidR="00CF62E7">
          <w:rPr>
            <w:noProof/>
            <w:webHidden/>
          </w:rPr>
          <w:tab/>
        </w:r>
        <w:r w:rsidR="00CF62E7">
          <w:rPr>
            <w:noProof/>
            <w:webHidden/>
          </w:rPr>
          <w:fldChar w:fldCharType="begin"/>
        </w:r>
        <w:r w:rsidR="00CF62E7">
          <w:rPr>
            <w:noProof/>
            <w:webHidden/>
          </w:rPr>
          <w:instrText xml:space="preserve"> PAGEREF _Toc481952121 \h </w:instrText>
        </w:r>
        <w:r w:rsidR="00CF62E7">
          <w:rPr>
            <w:noProof/>
            <w:webHidden/>
          </w:rPr>
        </w:r>
        <w:r w:rsidR="00CF62E7">
          <w:rPr>
            <w:noProof/>
            <w:webHidden/>
          </w:rPr>
          <w:fldChar w:fldCharType="separate"/>
        </w:r>
        <w:r w:rsidR="00515A76">
          <w:rPr>
            <w:noProof/>
            <w:webHidden/>
          </w:rPr>
          <w:t>28</w:t>
        </w:r>
        <w:r w:rsidR="00CF62E7">
          <w:rPr>
            <w:noProof/>
            <w:webHidden/>
          </w:rPr>
          <w:fldChar w:fldCharType="end"/>
        </w:r>
      </w:hyperlink>
    </w:p>
    <w:p w14:paraId="1B0A00FF" w14:textId="77777777" w:rsidR="0068414F" w:rsidRPr="00A73BA5" w:rsidRDefault="001558F3" w:rsidP="00BE3016">
      <w:pPr>
        <w:spacing w:line="360" w:lineRule="auto"/>
        <w:jc w:val="both"/>
        <w:rPr>
          <w:rFonts w:ascii="Segoe UI" w:hAnsi="Segoe UI" w:cs="Segoe UI"/>
          <w:b/>
          <w:sz w:val="24"/>
          <w:szCs w:val="24"/>
        </w:rPr>
      </w:pPr>
      <w:r w:rsidRPr="00A73BA5">
        <w:rPr>
          <w:rFonts w:ascii="Segoe UI" w:hAnsi="Segoe UI" w:cs="Segoe UI"/>
          <w:b/>
        </w:rPr>
        <w:fldChar w:fldCharType="end"/>
      </w:r>
    </w:p>
    <w:p w14:paraId="69D4E65D" w14:textId="77777777" w:rsidR="005B5048" w:rsidRPr="00A73BA5" w:rsidRDefault="005B5048">
      <w:pPr>
        <w:rPr>
          <w:rFonts w:ascii="Segoe UI" w:hAnsi="Segoe UI" w:cs="Segoe UI"/>
          <w:b/>
          <w:sz w:val="28"/>
          <w:szCs w:val="28"/>
        </w:rPr>
      </w:pPr>
    </w:p>
    <w:p w14:paraId="279672AD" w14:textId="77777777" w:rsidR="005B5048" w:rsidRPr="00A73BA5" w:rsidRDefault="005B5048">
      <w:pPr>
        <w:rPr>
          <w:rFonts w:ascii="Segoe UI" w:hAnsi="Segoe UI" w:cs="Segoe UI"/>
          <w:b/>
          <w:sz w:val="28"/>
          <w:szCs w:val="28"/>
        </w:rPr>
      </w:pPr>
      <w:r w:rsidRPr="00A73BA5">
        <w:rPr>
          <w:rFonts w:ascii="Segoe UI" w:hAnsi="Segoe UI" w:cs="Segoe UI"/>
          <w:b/>
          <w:sz w:val="28"/>
          <w:szCs w:val="28"/>
        </w:rPr>
        <w:br w:type="page"/>
      </w:r>
    </w:p>
    <w:p w14:paraId="51BA181C" w14:textId="77777777" w:rsidR="004162ED" w:rsidRPr="00012586" w:rsidRDefault="004162ED" w:rsidP="00012586">
      <w:pPr>
        <w:pStyle w:val="Titre1"/>
        <w:rPr>
          <w:rFonts w:ascii="Segoe UI" w:hAnsi="Segoe UI" w:cs="Segoe UI"/>
          <w:color w:val="000000" w:themeColor="text1"/>
        </w:rPr>
      </w:pPr>
      <w:bookmarkStart w:id="1" w:name="_Toc484105598"/>
      <w:r w:rsidRPr="00012586">
        <w:rPr>
          <w:rFonts w:ascii="Segoe UI" w:hAnsi="Segoe UI" w:cs="Segoe UI"/>
          <w:color w:val="000000" w:themeColor="text1"/>
        </w:rPr>
        <w:lastRenderedPageBreak/>
        <w:t>RESUME EXECUTIF</w:t>
      </w:r>
      <w:bookmarkEnd w:id="1"/>
    </w:p>
    <w:p w14:paraId="69C2ECCD" w14:textId="62CD587C" w:rsidR="00B72C98" w:rsidRPr="00A73BA5" w:rsidRDefault="00F52F8C" w:rsidP="00B72C98">
      <w:pPr>
        <w:jc w:val="both"/>
        <w:rPr>
          <w:rFonts w:ascii="Segoe UI" w:hAnsi="Segoe UI" w:cs="Segoe UI"/>
          <w:sz w:val="24"/>
          <w:szCs w:val="24"/>
        </w:rPr>
      </w:pPr>
      <w:r w:rsidRPr="00A73BA5">
        <w:rPr>
          <w:rFonts w:ascii="Segoe UI" w:hAnsi="Segoe UI" w:cs="Segoe UI"/>
          <w:sz w:val="24"/>
          <w:szCs w:val="24"/>
        </w:rPr>
        <w:t xml:space="preserve">Au cours du </w:t>
      </w:r>
      <w:r w:rsidR="009C660C">
        <w:rPr>
          <w:rFonts w:ascii="Segoe UI" w:hAnsi="Segoe UI" w:cs="Segoe UI"/>
          <w:sz w:val="24"/>
          <w:szCs w:val="24"/>
        </w:rPr>
        <w:t xml:space="preserve">premier trimestre </w:t>
      </w:r>
      <w:r w:rsidR="00C6090F">
        <w:rPr>
          <w:rFonts w:ascii="Segoe UI" w:hAnsi="Segoe UI" w:cs="Segoe UI"/>
          <w:sz w:val="24"/>
          <w:szCs w:val="24"/>
        </w:rPr>
        <w:t xml:space="preserve">de l’année </w:t>
      </w:r>
      <w:r w:rsidR="009C660C">
        <w:rPr>
          <w:rFonts w:ascii="Segoe UI" w:hAnsi="Segoe UI" w:cs="Segoe UI"/>
          <w:sz w:val="24"/>
          <w:szCs w:val="24"/>
        </w:rPr>
        <w:t>2017</w:t>
      </w:r>
      <w:r w:rsidRPr="00A73BA5">
        <w:rPr>
          <w:rFonts w:ascii="Segoe UI" w:hAnsi="Segoe UI" w:cs="Segoe UI"/>
          <w:sz w:val="24"/>
          <w:szCs w:val="24"/>
        </w:rPr>
        <w:t xml:space="preserve">, l'environnement économique </w:t>
      </w:r>
      <w:r w:rsidR="00BC03D9">
        <w:rPr>
          <w:rFonts w:ascii="Segoe UI" w:hAnsi="Segoe UI" w:cs="Segoe UI"/>
          <w:sz w:val="24"/>
          <w:szCs w:val="24"/>
        </w:rPr>
        <w:t>a été moins favorable que prévu. A</w:t>
      </w:r>
      <w:r w:rsidR="00C6090F">
        <w:rPr>
          <w:rFonts w:ascii="Segoe UI" w:hAnsi="Segoe UI" w:cs="Segoe UI"/>
          <w:sz w:val="24"/>
          <w:szCs w:val="24"/>
        </w:rPr>
        <w:t>insi,</w:t>
      </w:r>
      <w:r w:rsidR="00BC03D9">
        <w:rPr>
          <w:rFonts w:ascii="Segoe UI" w:hAnsi="Segoe UI" w:cs="Segoe UI"/>
          <w:sz w:val="24"/>
          <w:szCs w:val="24"/>
        </w:rPr>
        <w:t xml:space="preserve"> l’exécution de </w:t>
      </w:r>
      <w:r w:rsidR="00AD6414">
        <w:rPr>
          <w:rFonts w:ascii="Segoe UI" w:hAnsi="Segoe UI" w:cs="Segoe UI"/>
          <w:sz w:val="24"/>
          <w:szCs w:val="24"/>
        </w:rPr>
        <w:t xml:space="preserve">la </w:t>
      </w:r>
      <w:r w:rsidR="00BC03D9">
        <w:rPr>
          <w:rFonts w:ascii="Segoe UI" w:hAnsi="Segoe UI" w:cs="Segoe UI"/>
          <w:sz w:val="24"/>
          <w:szCs w:val="24"/>
        </w:rPr>
        <w:t>loi de finances</w:t>
      </w:r>
      <w:r w:rsidR="000243F1" w:rsidRPr="00A73BA5">
        <w:rPr>
          <w:rFonts w:ascii="Segoe UI" w:hAnsi="Segoe UI" w:cs="Segoe UI"/>
          <w:sz w:val="24"/>
          <w:szCs w:val="24"/>
        </w:rPr>
        <w:t>,</w:t>
      </w:r>
      <w:r w:rsidR="00BC03D9">
        <w:rPr>
          <w:rFonts w:ascii="Segoe UI" w:hAnsi="Segoe UI" w:cs="Segoe UI"/>
          <w:sz w:val="24"/>
          <w:szCs w:val="24"/>
        </w:rPr>
        <w:t xml:space="preserve"> gestion 2017 </w:t>
      </w:r>
      <w:r w:rsidR="00C6090F">
        <w:rPr>
          <w:rFonts w:ascii="Segoe UI" w:hAnsi="Segoe UI" w:cs="Segoe UI"/>
          <w:sz w:val="24"/>
          <w:szCs w:val="24"/>
        </w:rPr>
        <w:t xml:space="preserve">au </w:t>
      </w:r>
      <w:r w:rsidR="009A1CEF">
        <w:rPr>
          <w:rFonts w:ascii="Segoe UI" w:hAnsi="Segoe UI" w:cs="Segoe UI"/>
          <w:sz w:val="24"/>
          <w:szCs w:val="24"/>
        </w:rPr>
        <w:t xml:space="preserve">premier </w:t>
      </w:r>
      <w:r w:rsidR="00C6090F">
        <w:rPr>
          <w:rFonts w:ascii="Segoe UI" w:hAnsi="Segoe UI" w:cs="Segoe UI"/>
          <w:sz w:val="24"/>
          <w:szCs w:val="24"/>
        </w:rPr>
        <w:t xml:space="preserve">trimestre </w:t>
      </w:r>
      <w:r w:rsidR="00BC03D9">
        <w:rPr>
          <w:rFonts w:ascii="Segoe UI" w:hAnsi="Segoe UI" w:cs="Segoe UI"/>
          <w:sz w:val="24"/>
          <w:szCs w:val="24"/>
        </w:rPr>
        <w:t>est marqué</w:t>
      </w:r>
      <w:r w:rsidR="00B72C98">
        <w:rPr>
          <w:rFonts w:ascii="Segoe UI" w:hAnsi="Segoe UI" w:cs="Segoe UI"/>
          <w:sz w:val="24"/>
          <w:szCs w:val="24"/>
        </w:rPr>
        <w:t>e par</w:t>
      </w:r>
      <w:r w:rsidR="009A1CEF">
        <w:rPr>
          <w:rFonts w:ascii="Segoe UI" w:hAnsi="Segoe UI" w:cs="Segoe UI"/>
          <w:sz w:val="24"/>
          <w:szCs w:val="24"/>
        </w:rPr>
        <w:t xml:space="preserve"> le renforcement de la</w:t>
      </w:r>
      <w:r w:rsidR="00372D8B">
        <w:rPr>
          <w:rFonts w:ascii="Segoe UI" w:hAnsi="Segoe UI" w:cs="Segoe UI"/>
          <w:sz w:val="24"/>
          <w:szCs w:val="24"/>
        </w:rPr>
        <w:t xml:space="preserve"> politique d’arrimage des engagements de dépenses budgétaires </w:t>
      </w:r>
      <w:r w:rsidR="00C6090F">
        <w:rPr>
          <w:rFonts w:ascii="Segoe UI" w:hAnsi="Segoe UI" w:cs="Segoe UI"/>
          <w:sz w:val="24"/>
          <w:szCs w:val="24"/>
        </w:rPr>
        <w:t>au rythme de recouvrement des recettes</w:t>
      </w:r>
      <w:r w:rsidR="00B72C98">
        <w:rPr>
          <w:rFonts w:ascii="Segoe UI" w:hAnsi="Segoe UI" w:cs="Segoe UI"/>
          <w:sz w:val="24"/>
          <w:szCs w:val="24"/>
        </w:rPr>
        <w:t>.</w:t>
      </w:r>
      <w:r w:rsidR="00200497">
        <w:rPr>
          <w:rFonts w:ascii="Segoe UI" w:hAnsi="Segoe UI" w:cs="Segoe UI"/>
          <w:sz w:val="24"/>
          <w:szCs w:val="24"/>
        </w:rPr>
        <w:t xml:space="preserve"> </w:t>
      </w:r>
      <w:r w:rsidR="00711140">
        <w:rPr>
          <w:rFonts w:ascii="Segoe UI" w:hAnsi="Segoe UI" w:cs="Segoe UI"/>
          <w:sz w:val="24"/>
          <w:szCs w:val="24"/>
        </w:rPr>
        <w:t xml:space="preserve">Les </w:t>
      </w:r>
      <w:r w:rsidR="007F052D">
        <w:rPr>
          <w:rFonts w:ascii="Segoe UI" w:hAnsi="Segoe UI" w:cs="Segoe UI"/>
          <w:sz w:val="24"/>
          <w:szCs w:val="24"/>
        </w:rPr>
        <w:t xml:space="preserve">principaux résultats de l’exécution, en termes de recettes et de dépenses, à fin mars par </w:t>
      </w:r>
      <w:r w:rsidR="00581B43">
        <w:rPr>
          <w:rFonts w:ascii="Segoe UI" w:hAnsi="Segoe UI" w:cs="Segoe UI"/>
          <w:sz w:val="24"/>
          <w:szCs w:val="24"/>
        </w:rPr>
        <w:t>catégorie se présente</w:t>
      </w:r>
      <w:r w:rsidR="00FF5DCC">
        <w:rPr>
          <w:rFonts w:ascii="Segoe UI" w:hAnsi="Segoe UI" w:cs="Segoe UI"/>
          <w:sz w:val="24"/>
          <w:szCs w:val="24"/>
        </w:rPr>
        <w:t>nt</w:t>
      </w:r>
      <w:r w:rsidR="00581B43">
        <w:rPr>
          <w:rFonts w:ascii="Segoe UI" w:hAnsi="Segoe UI" w:cs="Segoe UI"/>
          <w:sz w:val="24"/>
          <w:szCs w:val="24"/>
        </w:rPr>
        <w:t xml:space="preserve"> </w:t>
      </w:r>
      <w:r w:rsidR="00C6090F">
        <w:rPr>
          <w:rFonts w:ascii="Segoe UI" w:hAnsi="Segoe UI" w:cs="Segoe UI"/>
          <w:sz w:val="24"/>
          <w:szCs w:val="24"/>
        </w:rPr>
        <w:t xml:space="preserve">comme </w:t>
      </w:r>
      <w:r w:rsidR="00581B43">
        <w:rPr>
          <w:rFonts w:ascii="Segoe UI" w:hAnsi="Segoe UI" w:cs="Segoe UI"/>
          <w:sz w:val="24"/>
          <w:szCs w:val="24"/>
        </w:rPr>
        <w:t>ci-après :</w:t>
      </w:r>
    </w:p>
    <w:p w14:paraId="0C22EC9C" w14:textId="77777777" w:rsidR="00273B54" w:rsidRPr="00A73BA5" w:rsidRDefault="00273B54" w:rsidP="000243F1">
      <w:pPr>
        <w:pStyle w:val="Paragraphedeliste"/>
        <w:numPr>
          <w:ilvl w:val="0"/>
          <w:numId w:val="23"/>
        </w:numPr>
        <w:jc w:val="both"/>
        <w:rPr>
          <w:rFonts w:ascii="Segoe UI" w:hAnsi="Segoe UI" w:cs="Segoe UI"/>
          <w:b/>
          <w:sz w:val="24"/>
          <w:szCs w:val="24"/>
        </w:rPr>
      </w:pPr>
      <w:r w:rsidRPr="00A73BA5">
        <w:rPr>
          <w:rFonts w:ascii="Segoe UI" w:hAnsi="Segoe UI" w:cs="Segoe UI"/>
          <w:b/>
          <w:sz w:val="24"/>
          <w:szCs w:val="24"/>
        </w:rPr>
        <w:t xml:space="preserve">les </w:t>
      </w:r>
      <w:r w:rsidR="00ED4AE3" w:rsidRPr="00A73BA5">
        <w:rPr>
          <w:rFonts w:ascii="Segoe UI" w:hAnsi="Segoe UI" w:cs="Segoe UI"/>
          <w:b/>
          <w:sz w:val="24"/>
          <w:szCs w:val="24"/>
        </w:rPr>
        <w:t>produits de recettes</w:t>
      </w:r>
      <w:r w:rsidRPr="00A73BA5">
        <w:rPr>
          <w:rFonts w:ascii="Segoe UI" w:hAnsi="Segoe UI" w:cs="Segoe UI"/>
          <w:b/>
          <w:sz w:val="24"/>
          <w:szCs w:val="24"/>
        </w:rPr>
        <w:t xml:space="preserve"> de l’Etat</w:t>
      </w:r>
    </w:p>
    <w:p w14:paraId="32DBCD4D" w14:textId="341C47E3" w:rsidR="00F44F0A" w:rsidRPr="00A73BA5" w:rsidRDefault="00AD6414" w:rsidP="00F44F0A">
      <w:pPr>
        <w:pStyle w:val="Paragraphedeliste"/>
        <w:numPr>
          <w:ilvl w:val="0"/>
          <w:numId w:val="24"/>
        </w:numPr>
        <w:jc w:val="both"/>
        <w:rPr>
          <w:rFonts w:ascii="Segoe UI" w:hAnsi="Segoe UI" w:cs="Segoe UI"/>
          <w:b/>
          <w:sz w:val="24"/>
          <w:szCs w:val="24"/>
        </w:rPr>
      </w:pPr>
      <w:r>
        <w:rPr>
          <w:rFonts w:ascii="Segoe UI" w:hAnsi="Segoe UI" w:cs="Segoe UI"/>
          <w:sz w:val="24"/>
          <w:szCs w:val="24"/>
        </w:rPr>
        <w:t>L</w:t>
      </w:r>
      <w:r w:rsidR="00F44F0A" w:rsidRPr="00A73BA5">
        <w:rPr>
          <w:rFonts w:ascii="Segoe UI" w:hAnsi="Segoe UI" w:cs="Segoe UI"/>
          <w:sz w:val="24"/>
          <w:szCs w:val="24"/>
        </w:rPr>
        <w:t>e</w:t>
      </w:r>
      <w:r w:rsidR="00EC357B" w:rsidRPr="00A73BA5">
        <w:rPr>
          <w:rFonts w:ascii="Segoe UI" w:hAnsi="Segoe UI" w:cs="Segoe UI"/>
          <w:sz w:val="24"/>
          <w:szCs w:val="24"/>
        </w:rPr>
        <w:t xml:space="preserve"> </w:t>
      </w:r>
      <w:r w:rsidR="00F44F0A" w:rsidRPr="00A73BA5">
        <w:rPr>
          <w:rFonts w:ascii="Segoe UI" w:hAnsi="Segoe UI" w:cs="Segoe UI"/>
          <w:sz w:val="24"/>
          <w:szCs w:val="24"/>
        </w:rPr>
        <w:t>niveau global de mobilisation des re</w:t>
      </w:r>
      <w:r w:rsidR="00ED4AE3" w:rsidRPr="00A73BA5">
        <w:rPr>
          <w:rFonts w:ascii="Segoe UI" w:hAnsi="Segoe UI" w:cs="Segoe UI"/>
          <w:sz w:val="24"/>
          <w:szCs w:val="24"/>
        </w:rPr>
        <w:t>cettes</w:t>
      </w:r>
      <w:r w:rsidR="00F44F0A" w:rsidRPr="00A73BA5">
        <w:rPr>
          <w:rFonts w:ascii="Segoe UI" w:hAnsi="Segoe UI" w:cs="Segoe UI"/>
          <w:sz w:val="24"/>
          <w:szCs w:val="24"/>
        </w:rPr>
        <w:t xml:space="preserve"> budgétaires s’établit à </w:t>
      </w:r>
      <w:r w:rsidR="002F2B14">
        <w:rPr>
          <w:rFonts w:ascii="Segoe UI" w:hAnsi="Segoe UI" w:cs="Segoe UI"/>
          <w:sz w:val="24"/>
          <w:szCs w:val="24"/>
        </w:rPr>
        <w:t>19</w:t>
      </w:r>
      <w:r w:rsidR="00FF5DCC">
        <w:rPr>
          <w:rFonts w:ascii="Segoe UI" w:hAnsi="Segoe UI" w:cs="Segoe UI"/>
          <w:sz w:val="24"/>
          <w:szCs w:val="24"/>
        </w:rPr>
        <w:t>6 239,2</w:t>
      </w:r>
      <w:r w:rsidR="00F44F0A" w:rsidRPr="00A73BA5">
        <w:rPr>
          <w:rFonts w:ascii="Segoe UI" w:hAnsi="Segoe UI" w:cs="Segoe UI"/>
          <w:sz w:val="24"/>
          <w:szCs w:val="24"/>
        </w:rPr>
        <w:t xml:space="preserve"> millions de FCFA sur une prévision annuelle de </w:t>
      </w:r>
      <w:r w:rsidR="00BC0FAA">
        <w:rPr>
          <w:rFonts w:ascii="Segoe UI" w:hAnsi="Segoe UI" w:cs="Segoe UI"/>
          <w:sz w:val="24"/>
          <w:szCs w:val="24"/>
        </w:rPr>
        <w:t>1 007 724</w:t>
      </w:r>
      <w:r w:rsidR="00F44F0A" w:rsidRPr="00A73BA5">
        <w:rPr>
          <w:rFonts w:ascii="Segoe UI" w:hAnsi="Segoe UI" w:cs="Segoe UI"/>
          <w:sz w:val="24"/>
          <w:szCs w:val="24"/>
        </w:rPr>
        <w:t xml:space="preserve"> millions de FCFA</w:t>
      </w:r>
      <w:r w:rsidR="004F2A06">
        <w:rPr>
          <w:rFonts w:ascii="Segoe UI" w:hAnsi="Segoe UI" w:cs="Segoe UI"/>
          <w:sz w:val="24"/>
          <w:szCs w:val="24"/>
        </w:rPr>
        <w:t xml:space="preserve">, soit un </w:t>
      </w:r>
      <w:r w:rsidR="00F44F0A" w:rsidRPr="00A73BA5">
        <w:rPr>
          <w:rFonts w:ascii="Segoe UI" w:hAnsi="Segoe UI" w:cs="Segoe UI"/>
          <w:sz w:val="24"/>
          <w:szCs w:val="24"/>
        </w:rPr>
        <w:t xml:space="preserve">taux de recouvrement de </w:t>
      </w:r>
      <w:r w:rsidR="00F021C2">
        <w:rPr>
          <w:rFonts w:ascii="Segoe UI" w:hAnsi="Segoe UI" w:cs="Segoe UI"/>
          <w:sz w:val="24"/>
          <w:szCs w:val="24"/>
        </w:rPr>
        <w:t>19</w:t>
      </w:r>
      <w:r w:rsidR="00FF5DCC">
        <w:rPr>
          <w:rFonts w:ascii="Segoe UI" w:hAnsi="Segoe UI" w:cs="Segoe UI"/>
          <w:sz w:val="24"/>
          <w:szCs w:val="24"/>
        </w:rPr>
        <w:t>,5</w:t>
      </w:r>
      <w:r w:rsidR="00F44F0A" w:rsidRPr="00A73BA5">
        <w:rPr>
          <w:rFonts w:ascii="Segoe UI" w:hAnsi="Segoe UI" w:cs="Segoe UI"/>
          <w:sz w:val="24"/>
          <w:szCs w:val="24"/>
        </w:rPr>
        <w:t>%</w:t>
      </w:r>
      <w:r w:rsidR="004F2A06">
        <w:rPr>
          <w:rFonts w:ascii="Segoe UI" w:hAnsi="Segoe UI" w:cs="Segoe UI"/>
          <w:sz w:val="24"/>
          <w:szCs w:val="24"/>
        </w:rPr>
        <w:t xml:space="preserve">, en </w:t>
      </w:r>
      <w:r w:rsidR="00135931">
        <w:rPr>
          <w:rFonts w:ascii="Segoe UI" w:hAnsi="Segoe UI" w:cs="Segoe UI"/>
          <w:sz w:val="24"/>
          <w:szCs w:val="24"/>
        </w:rPr>
        <w:t>baisse de</w:t>
      </w:r>
      <w:r w:rsidR="004F2A06">
        <w:rPr>
          <w:rFonts w:ascii="Segoe UI" w:hAnsi="Segoe UI" w:cs="Segoe UI"/>
          <w:sz w:val="24"/>
          <w:szCs w:val="24"/>
        </w:rPr>
        <w:t xml:space="preserve"> </w:t>
      </w:r>
      <w:r w:rsidR="00135931">
        <w:rPr>
          <w:rFonts w:ascii="Segoe UI" w:hAnsi="Segoe UI" w:cs="Segoe UI"/>
          <w:sz w:val="24"/>
          <w:szCs w:val="24"/>
        </w:rPr>
        <w:t>0</w:t>
      </w:r>
      <w:r w:rsidR="00F021C2">
        <w:rPr>
          <w:rFonts w:ascii="Segoe UI" w:hAnsi="Segoe UI" w:cs="Segoe UI"/>
          <w:sz w:val="24"/>
          <w:szCs w:val="24"/>
        </w:rPr>
        <w:t>,</w:t>
      </w:r>
      <w:r w:rsidR="00135931">
        <w:rPr>
          <w:rFonts w:ascii="Segoe UI" w:hAnsi="Segoe UI" w:cs="Segoe UI"/>
          <w:sz w:val="24"/>
          <w:szCs w:val="24"/>
        </w:rPr>
        <w:t>8</w:t>
      </w:r>
      <w:r w:rsidR="009A1CEF">
        <w:rPr>
          <w:rFonts w:ascii="Segoe UI" w:hAnsi="Segoe UI" w:cs="Segoe UI"/>
          <w:sz w:val="24"/>
          <w:szCs w:val="24"/>
        </w:rPr>
        <w:t xml:space="preserve"> point</w:t>
      </w:r>
      <w:r w:rsidR="002D5655">
        <w:rPr>
          <w:rFonts w:ascii="Segoe UI" w:hAnsi="Segoe UI" w:cs="Segoe UI"/>
          <w:sz w:val="24"/>
          <w:szCs w:val="24"/>
        </w:rPr>
        <w:t xml:space="preserve"> de pourcentage</w:t>
      </w:r>
      <w:r w:rsidR="004F2A06">
        <w:rPr>
          <w:rFonts w:ascii="Segoe UI" w:hAnsi="Segoe UI" w:cs="Segoe UI"/>
          <w:sz w:val="24"/>
          <w:szCs w:val="24"/>
        </w:rPr>
        <w:t xml:space="preserve"> par rapport au nive</w:t>
      </w:r>
      <w:r w:rsidR="00BC0FAA">
        <w:rPr>
          <w:rFonts w:ascii="Segoe UI" w:hAnsi="Segoe UI" w:cs="Segoe UI"/>
          <w:sz w:val="24"/>
          <w:szCs w:val="24"/>
        </w:rPr>
        <w:t>au de réalisation à fin mars 2016</w:t>
      </w:r>
      <w:r w:rsidR="009A1CEF">
        <w:rPr>
          <w:rFonts w:ascii="Segoe UI" w:hAnsi="Segoe UI" w:cs="Segoe UI"/>
          <w:sz w:val="24"/>
          <w:szCs w:val="24"/>
        </w:rPr>
        <w:t xml:space="preserve"> (192 254,1 millions de </w:t>
      </w:r>
      <w:r>
        <w:rPr>
          <w:rFonts w:ascii="Segoe UI" w:hAnsi="Segoe UI" w:cs="Segoe UI"/>
          <w:sz w:val="24"/>
          <w:szCs w:val="24"/>
        </w:rPr>
        <w:t>FCFA sur une prévision</w:t>
      </w:r>
      <w:r w:rsidR="00135931">
        <w:rPr>
          <w:rFonts w:ascii="Segoe UI" w:hAnsi="Segoe UI" w:cs="Segoe UI"/>
          <w:sz w:val="24"/>
          <w:szCs w:val="24"/>
        </w:rPr>
        <w:t xml:space="preserve"> annuelle révisée de 948 519</w:t>
      </w:r>
      <w:r w:rsidR="009A1CEF">
        <w:rPr>
          <w:rFonts w:ascii="Segoe UI" w:hAnsi="Segoe UI" w:cs="Segoe UI"/>
          <w:sz w:val="24"/>
          <w:szCs w:val="24"/>
        </w:rPr>
        <w:t xml:space="preserve"> millions de FCFA)</w:t>
      </w:r>
      <w:r w:rsidR="004F2A06">
        <w:rPr>
          <w:rFonts w:ascii="Segoe UI" w:hAnsi="Segoe UI" w:cs="Segoe UI"/>
          <w:sz w:val="24"/>
          <w:szCs w:val="24"/>
        </w:rPr>
        <w:t xml:space="preserve"> </w:t>
      </w:r>
      <w:r w:rsidR="00F44F0A" w:rsidRPr="00A73BA5">
        <w:rPr>
          <w:rFonts w:ascii="Segoe UI" w:hAnsi="Segoe UI" w:cs="Segoe UI"/>
          <w:sz w:val="24"/>
          <w:szCs w:val="24"/>
        </w:rPr>
        <w:t>;</w:t>
      </w:r>
    </w:p>
    <w:p w14:paraId="355FD864" w14:textId="29E14BA7" w:rsidR="00F44F0A" w:rsidRPr="00A73BA5" w:rsidRDefault="00AD6414" w:rsidP="00F44F0A">
      <w:pPr>
        <w:pStyle w:val="Paragraphedeliste"/>
        <w:numPr>
          <w:ilvl w:val="0"/>
          <w:numId w:val="24"/>
        </w:numPr>
        <w:jc w:val="both"/>
        <w:rPr>
          <w:rFonts w:ascii="Segoe UI" w:hAnsi="Segoe UI" w:cs="Segoe UI"/>
          <w:b/>
          <w:sz w:val="24"/>
          <w:szCs w:val="24"/>
        </w:rPr>
      </w:pPr>
      <w:r>
        <w:rPr>
          <w:rFonts w:ascii="Segoe UI" w:hAnsi="Segoe UI" w:cs="Segoe UI"/>
          <w:sz w:val="24"/>
          <w:szCs w:val="24"/>
        </w:rPr>
        <w:t>L</w:t>
      </w:r>
      <w:r w:rsidR="00F44F0A" w:rsidRPr="00A73BA5">
        <w:rPr>
          <w:rFonts w:ascii="Segoe UI" w:hAnsi="Segoe UI" w:cs="Segoe UI"/>
          <w:sz w:val="24"/>
          <w:szCs w:val="24"/>
        </w:rPr>
        <w:t xml:space="preserve">es ressources de trésorerie ont été mobilisées à hauteur de </w:t>
      </w:r>
      <w:r w:rsidR="00A122B4" w:rsidRPr="00B84CEC">
        <w:rPr>
          <w:rFonts w:ascii="Segoe UI" w:hAnsi="Segoe UI" w:cs="Segoe UI"/>
          <w:sz w:val="24"/>
          <w:szCs w:val="24"/>
        </w:rPr>
        <w:t>11,7</w:t>
      </w:r>
      <w:r w:rsidR="00F44F0A" w:rsidRPr="00B84CEC">
        <w:rPr>
          <w:rFonts w:ascii="Segoe UI" w:hAnsi="Segoe UI" w:cs="Segoe UI"/>
          <w:sz w:val="24"/>
          <w:szCs w:val="24"/>
        </w:rPr>
        <w:t>%</w:t>
      </w:r>
      <w:r w:rsidR="00F44F0A" w:rsidRPr="00A73BA5">
        <w:rPr>
          <w:rFonts w:ascii="Segoe UI" w:hAnsi="Segoe UI" w:cs="Segoe UI"/>
          <w:sz w:val="24"/>
          <w:szCs w:val="24"/>
        </w:rPr>
        <w:t xml:space="preserve"> correspondant à </w:t>
      </w:r>
      <w:r w:rsidR="00710717" w:rsidRPr="007D171C">
        <w:rPr>
          <w:rFonts w:ascii="Segoe UI" w:hAnsi="Segoe UI" w:cs="Segoe UI"/>
          <w:sz w:val="24"/>
          <w:szCs w:val="24"/>
        </w:rPr>
        <w:t>116 935</w:t>
      </w:r>
      <w:r w:rsidR="00F44F0A" w:rsidRPr="00A73BA5">
        <w:rPr>
          <w:rFonts w:ascii="Segoe UI" w:hAnsi="Segoe UI" w:cs="Segoe UI"/>
          <w:sz w:val="24"/>
          <w:szCs w:val="24"/>
        </w:rPr>
        <w:t xml:space="preserve"> millions de FCFA sur </w:t>
      </w:r>
      <w:r w:rsidR="00ED4AE3" w:rsidRPr="00A73BA5">
        <w:rPr>
          <w:rFonts w:ascii="Segoe UI" w:hAnsi="Segoe UI" w:cs="Segoe UI"/>
          <w:sz w:val="24"/>
          <w:szCs w:val="24"/>
        </w:rPr>
        <w:t xml:space="preserve">une prévision annuelle de </w:t>
      </w:r>
      <w:r w:rsidR="00C744E5">
        <w:rPr>
          <w:rFonts w:ascii="Segoe UI" w:hAnsi="Segoe UI" w:cs="Segoe UI"/>
          <w:sz w:val="24"/>
          <w:szCs w:val="24"/>
        </w:rPr>
        <w:t xml:space="preserve">   </w:t>
      </w:r>
      <w:r w:rsidR="00BC0FAA">
        <w:rPr>
          <w:rFonts w:ascii="Segoe UI" w:hAnsi="Segoe UI" w:cs="Segoe UI"/>
          <w:sz w:val="24"/>
          <w:szCs w:val="24"/>
        </w:rPr>
        <w:t>1 002 861</w:t>
      </w:r>
      <w:r w:rsidR="00F44F0A" w:rsidRPr="00A73BA5">
        <w:rPr>
          <w:rFonts w:ascii="Segoe UI" w:hAnsi="Segoe UI" w:cs="Segoe UI"/>
          <w:sz w:val="24"/>
          <w:szCs w:val="24"/>
        </w:rPr>
        <w:t xml:space="preserve"> millions de FCFA</w:t>
      </w:r>
      <w:r w:rsidR="00FA7729">
        <w:rPr>
          <w:rFonts w:ascii="Segoe UI" w:hAnsi="Segoe UI" w:cs="Segoe UI"/>
          <w:sz w:val="24"/>
          <w:szCs w:val="24"/>
        </w:rPr>
        <w:t>.</w:t>
      </w:r>
      <w:r w:rsidR="00C6090F">
        <w:rPr>
          <w:rFonts w:ascii="Segoe UI" w:hAnsi="Segoe UI" w:cs="Segoe UI"/>
          <w:sz w:val="24"/>
          <w:szCs w:val="24"/>
        </w:rPr>
        <w:t xml:space="preserve"> A la même période en 2016, les ressources de trésorerie étaient mobilisées pour un montant de 96</w:t>
      </w:r>
      <w:r w:rsidR="00C744E5">
        <w:rPr>
          <w:rFonts w:ascii="Segoe UI" w:hAnsi="Segoe UI" w:cs="Segoe UI"/>
          <w:sz w:val="24"/>
          <w:szCs w:val="24"/>
        </w:rPr>
        <w:t> </w:t>
      </w:r>
      <w:r w:rsidR="00C6090F">
        <w:rPr>
          <w:rFonts w:ascii="Segoe UI" w:hAnsi="Segoe UI" w:cs="Segoe UI"/>
          <w:sz w:val="24"/>
          <w:szCs w:val="24"/>
        </w:rPr>
        <w:t>03</w:t>
      </w:r>
      <w:r w:rsidR="00C744E5">
        <w:rPr>
          <w:rFonts w:ascii="Segoe UI" w:hAnsi="Segoe UI" w:cs="Segoe UI"/>
          <w:sz w:val="24"/>
          <w:szCs w:val="24"/>
        </w:rPr>
        <w:t>0,8 millions de FCFA (20,2%) sur une prévision de 474 968</w:t>
      </w:r>
      <w:r w:rsidR="00C6090F">
        <w:rPr>
          <w:rFonts w:ascii="Segoe UI" w:hAnsi="Segoe UI" w:cs="Segoe UI"/>
          <w:sz w:val="24"/>
          <w:szCs w:val="24"/>
        </w:rPr>
        <w:t xml:space="preserve"> millions de FCFA.</w:t>
      </w:r>
    </w:p>
    <w:p w14:paraId="38FD50DE" w14:textId="77777777" w:rsidR="00273B54" w:rsidRPr="00A73BA5" w:rsidRDefault="00ED4AE3" w:rsidP="000243F1">
      <w:pPr>
        <w:pStyle w:val="Paragraphedeliste"/>
        <w:numPr>
          <w:ilvl w:val="0"/>
          <w:numId w:val="23"/>
        </w:numPr>
        <w:jc w:val="both"/>
        <w:rPr>
          <w:rFonts w:ascii="Segoe UI" w:hAnsi="Segoe UI" w:cs="Segoe UI"/>
          <w:b/>
          <w:sz w:val="24"/>
          <w:szCs w:val="24"/>
        </w:rPr>
      </w:pPr>
      <w:r w:rsidRPr="00A73BA5">
        <w:rPr>
          <w:rFonts w:ascii="Segoe UI" w:hAnsi="Segoe UI" w:cs="Segoe UI"/>
          <w:b/>
          <w:sz w:val="24"/>
          <w:szCs w:val="24"/>
        </w:rPr>
        <w:t>les dépenses</w:t>
      </w:r>
      <w:r w:rsidR="00273B54" w:rsidRPr="00A73BA5">
        <w:rPr>
          <w:rFonts w:ascii="Segoe UI" w:hAnsi="Segoe UI" w:cs="Segoe UI"/>
          <w:b/>
          <w:sz w:val="24"/>
          <w:szCs w:val="24"/>
        </w:rPr>
        <w:t xml:space="preserve"> de l’Etat</w:t>
      </w:r>
    </w:p>
    <w:p w14:paraId="691414A3" w14:textId="233DB798" w:rsidR="00ED4AE3" w:rsidRPr="00A73BA5" w:rsidRDefault="00AD6414" w:rsidP="00F44F0A">
      <w:pPr>
        <w:pStyle w:val="Paragraphedeliste"/>
        <w:numPr>
          <w:ilvl w:val="0"/>
          <w:numId w:val="24"/>
        </w:numPr>
        <w:jc w:val="both"/>
        <w:rPr>
          <w:rFonts w:ascii="Segoe UI" w:hAnsi="Segoe UI" w:cs="Segoe UI"/>
          <w:b/>
          <w:sz w:val="24"/>
          <w:szCs w:val="24"/>
        </w:rPr>
      </w:pPr>
      <w:r>
        <w:rPr>
          <w:rFonts w:ascii="Segoe UI" w:hAnsi="Segoe UI" w:cs="Segoe UI"/>
          <w:sz w:val="24"/>
          <w:szCs w:val="24"/>
        </w:rPr>
        <w:t>L</w:t>
      </w:r>
      <w:r w:rsidR="00ED4AE3" w:rsidRPr="00A73BA5">
        <w:rPr>
          <w:rFonts w:ascii="Segoe UI" w:hAnsi="Segoe UI" w:cs="Segoe UI"/>
          <w:sz w:val="24"/>
          <w:szCs w:val="24"/>
        </w:rPr>
        <w:t>’exécution des dépenses budgé</w:t>
      </w:r>
      <w:r w:rsidR="009C660C">
        <w:rPr>
          <w:rFonts w:ascii="Segoe UI" w:hAnsi="Segoe UI" w:cs="Segoe UI"/>
          <w:sz w:val="24"/>
          <w:szCs w:val="24"/>
        </w:rPr>
        <w:t>taires à fin mars 2017</w:t>
      </w:r>
      <w:r w:rsidR="00EC357B" w:rsidRPr="00A73BA5">
        <w:rPr>
          <w:rFonts w:ascii="Segoe UI" w:hAnsi="Segoe UI" w:cs="Segoe UI"/>
          <w:sz w:val="24"/>
          <w:szCs w:val="24"/>
        </w:rPr>
        <w:t xml:space="preserve"> s’établit</w:t>
      </w:r>
      <w:r w:rsidR="00471737">
        <w:rPr>
          <w:rFonts w:ascii="Segoe UI" w:hAnsi="Segoe UI" w:cs="Segoe UI"/>
          <w:sz w:val="24"/>
          <w:szCs w:val="24"/>
        </w:rPr>
        <w:t>,</w:t>
      </w:r>
      <w:r w:rsidR="00ED4AE3" w:rsidRPr="00A73BA5">
        <w:rPr>
          <w:rFonts w:ascii="Segoe UI" w:hAnsi="Segoe UI" w:cs="Segoe UI"/>
          <w:sz w:val="24"/>
          <w:szCs w:val="24"/>
        </w:rPr>
        <w:t xml:space="preserve"> en engagement</w:t>
      </w:r>
      <w:r w:rsidR="00471737">
        <w:rPr>
          <w:rFonts w:ascii="Segoe UI" w:hAnsi="Segoe UI" w:cs="Segoe UI"/>
          <w:sz w:val="24"/>
          <w:szCs w:val="24"/>
        </w:rPr>
        <w:t>,</w:t>
      </w:r>
      <w:r w:rsidR="00EC357B" w:rsidRPr="00A73BA5">
        <w:rPr>
          <w:rFonts w:ascii="Segoe UI" w:hAnsi="Segoe UI" w:cs="Segoe UI"/>
          <w:sz w:val="24"/>
          <w:szCs w:val="24"/>
        </w:rPr>
        <w:t xml:space="preserve"> </w:t>
      </w:r>
      <w:r w:rsidR="00ED4AE3" w:rsidRPr="00A73BA5">
        <w:rPr>
          <w:rFonts w:ascii="Segoe UI" w:hAnsi="Segoe UI" w:cs="Segoe UI"/>
          <w:sz w:val="24"/>
          <w:szCs w:val="24"/>
        </w:rPr>
        <w:t>à</w:t>
      </w:r>
      <w:r w:rsidR="006172B8" w:rsidRPr="00A73BA5">
        <w:rPr>
          <w:rFonts w:ascii="Segoe UI" w:hAnsi="Segoe UI" w:cs="Segoe UI"/>
          <w:sz w:val="24"/>
          <w:szCs w:val="24"/>
        </w:rPr>
        <w:t xml:space="preserve"> </w:t>
      </w:r>
      <w:r>
        <w:rPr>
          <w:rFonts w:ascii="Segoe UI" w:hAnsi="Segoe UI" w:cs="Segoe UI"/>
          <w:sz w:val="24"/>
          <w:szCs w:val="24"/>
        </w:rPr>
        <w:t>291 050</w:t>
      </w:r>
      <w:r w:rsidR="00FF5DCC">
        <w:rPr>
          <w:rFonts w:ascii="Segoe UI" w:hAnsi="Segoe UI" w:cs="Segoe UI"/>
          <w:sz w:val="24"/>
          <w:szCs w:val="24"/>
        </w:rPr>
        <w:t xml:space="preserve"> </w:t>
      </w:r>
      <w:r w:rsidR="002F5D00" w:rsidRPr="00A73BA5">
        <w:rPr>
          <w:rFonts w:ascii="Segoe UI" w:hAnsi="Segoe UI" w:cs="Segoe UI"/>
          <w:sz w:val="24"/>
          <w:szCs w:val="24"/>
        </w:rPr>
        <w:t xml:space="preserve">millions de FCFA, soit </w:t>
      </w:r>
      <w:r w:rsidR="001015F4">
        <w:rPr>
          <w:rFonts w:ascii="Segoe UI" w:hAnsi="Segoe UI" w:cs="Segoe UI"/>
          <w:sz w:val="24"/>
          <w:szCs w:val="24"/>
        </w:rPr>
        <w:t>17</w:t>
      </w:r>
      <w:r w:rsidR="00FF5DCC">
        <w:rPr>
          <w:rFonts w:ascii="Segoe UI" w:hAnsi="Segoe UI" w:cs="Segoe UI"/>
          <w:sz w:val="24"/>
          <w:szCs w:val="24"/>
        </w:rPr>
        <w:t>,1</w:t>
      </w:r>
      <w:r w:rsidR="00ED4AE3" w:rsidRPr="00A73BA5">
        <w:rPr>
          <w:rFonts w:ascii="Segoe UI" w:hAnsi="Segoe UI" w:cs="Segoe UI"/>
          <w:sz w:val="24"/>
          <w:szCs w:val="24"/>
        </w:rPr>
        <w:t>% des prévisions annuelles contre</w:t>
      </w:r>
      <w:r w:rsidR="00352B8D" w:rsidRPr="00A73BA5">
        <w:rPr>
          <w:rFonts w:ascii="Segoe UI" w:hAnsi="Segoe UI" w:cs="Segoe UI"/>
          <w:sz w:val="24"/>
          <w:szCs w:val="24"/>
        </w:rPr>
        <w:t xml:space="preserve"> </w:t>
      </w:r>
      <w:r w:rsidR="00923E56">
        <w:rPr>
          <w:rFonts w:ascii="Segoe UI" w:hAnsi="Segoe UI" w:cs="Segoe UI"/>
          <w:sz w:val="24"/>
          <w:szCs w:val="24"/>
        </w:rPr>
        <w:t>33,7</w:t>
      </w:r>
      <w:r w:rsidR="00352B8D" w:rsidRPr="00A73BA5">
        <w:rPr>
          <w:rFonts w:ascii="Segoe UI" w:hAnsi="Segoe UI" w:cs="Segoe UI"/>
          <w:sz w:val="24"/>
          <w:szCs w:val="24"/>
        </w:rPr>
        <w:t>%</w:t>
      </w:r>
      <w:r w:rsidR="00ED4AE3" w:rsidRPr="00A73BA5">
        <w:rPr>
          <w:rFonts w:ascii="Segoe UI" w:hAnsi="Segoe UI" w:cs="Segoe UI"/>
          <w:sz w:val="24"/>
          <w:szCs w:val="24"/>
        </w:rPr>
        <w:t xml:space="preserve"> à la même date en 201</w:t>
      </w:r>
      <w:r w:rsidR="00671CD7">
        <w:rPr>
          <w:rFonts w:ascii="Segoe UI" w:hAnsi="Segoe UI" w:cs="Segoe UI"/>
          <w:sz w:val="24"/>
          <w:szCs w:val="24"/>
        </w:rPr>
        <w:t>6</w:t>
      </w:r>
      <w:r w:rsidR="004F2A06">
        <w:rPr>
          <w:rFonts w:ascii="Segoe UI" w:hAnsi="Segoe UI" w:cs="Segoe UI"/>
          <w:sz w:val="24"/>
          <w:szCs w:val="24"/>
        </w:rPr>
        <w:t xml:space="preserve">. Ce </w:t>
      </w:r>
      <w:r w:rsidR="00923E56">
        <w:rPr>
          <w:rFonts w:ascii="Segoe UI" w:hAnsi="Segoe UI" w:cs="Segoe UI"/>
          <w:sz w:val="24"/>
          <w:szCs w:val="24"/>
        </w:rPr>
        <w:t>faible</w:t>
      </w:r>
      <w:r w:rsidR="00923E56">
        <w:rPr>
          <w:rFonts w:ascii="Segoe UI" w:hAnsi="Segoe UI" w:cs="Segoe UI"/>
          <w:sz w:val="24"/>
          <w:szCs w:val="24"/>
        </w:rPr>
        <w:t xml:space="preserve"> </w:t>
      </w:r>
      <w:r w:rsidR="004F2A06">
        <w:rPr>
          <w:rFonts w:ascii="Segoe UI" w:hAnsi="Segoe UI" w:cs="Segoe UI"/>
          <w:sz w:val="24"/>
          <w:szCs w:val="24"/>
        </w:rPr>
        <w:t>ni</w:t>
      </w:r>
      <w:r w:rsidR="002711BA">
        <w:rPr>
          <w:rFonts w:ascii="Segoe UI" w:hAnsi="Segoe UI" w:cs="Segoe UI"/>
          <w:sz w:val="24"/>
          <w:szCs w:val="24"/>
        </w:rPr>
        <w:t xml:space="preserve">veau d’engagement </w:t>
      </w:r>
      <w:r w:rsidR="004F2A06">
        <w:rPr>
          <w:rFonts w:ascii="Segoe UI" w:hAnsi="Segoe UI" w:cs="Segoe UI"/>
          <w:sz w:val="24"/>
          <w:szCs w:val="24"/>
        </w:rPr>
        <w:t>est</w:t>
      </w:r>
      <w:r w:rsidR="00B2791E">
        <w:rPr>
          <w:rFonts w:ascii="Segoe UI" w:hAnsi="Segoe UI" w:cs="Segoe UI"/>
          <w:sz w:val="24"/>
          <w:szCs w:val="24"/>
        </w:rPr>
        <w:t xml:space="preserve"> très largement en deçà du taux linéaire attendu (25%) au titre du 1</w:t>
      </w:r>
      <w:r w:rsidR="00B2791E" w:rsidRPr="00B2791E">
        <w:rPr>
          <w:rFonts w:ascii="Segoe UI" w:hAnsi="Segoe UI" w:cs="Segoe UI"/>
          <w:sz w:val="24"/>
          <w:szCs w:val="24"/>
          <w:vertAlign w:val="superscript"/>
        </w:rPr>
        <w:t>er</w:t>
      </w:r>
      <w:r w:rsidR="00003AC1">
        <w:rPr>
          <w:rFonts w:ascii="Segoe UI" w:hAnsi="Segoe UI" w:cs="Segoe UI"/>
          <w:sz w:val="24"/>
          <w:szCs w:val="24"/>
        </w:rPr>
        <w:t xml:space="preserve"> trimestre 2017 ;</w:t>
      </w:r>
    </w:p>
    <w:p w14:paraId="42688FB3" w14:textId="384047EE" w:rsidR="00027DE2" w:rsidRPr="00A73BA5" w:rsidRDefault="00AD6414" w:rsidP="00F44F0A">
      <w:pPr>
        <w:pStyle w:val="Paragraphedeliste"/>
        <w:numPr>
          <w:ilvl w:val="0"/>
          <w:numId w:val="24"/>
        </w:numPr>
        <w:jc w:val="both"/>
        <w:rPr>
          <w:rFonts w:ascii="Segoe UI" w:hAnsi="Segoe UI" w:cs="Segoe UI"/>
          <w:b/>
          <w:sz w:val="24"/>
          <w:szCs w:val="24"/>
        </w:rPr>
      </w:pPr>
      <w:r>
        <w:rPr>
          <w:rFonts w:ascii="Segoe UI" w:hAnsi="Segoe UI" w:cs="Segoe UI"/>
          <w:sz w:val="24"/>
          <w:szCs w:val="24"/>
        </w:rPr>
        <w:t>S</w:t>
      </w:r>
      <w:r w:rsidR="007D3666">
        <w:rPr>
          <w:rFonts w:ascii="Segoe UI" w:hAnsi="Segoe UI" w:cs="Segoe UI"/>
          <w:sz w:val="24"/>
          <w:szCs w:val="24"/>
        </w:rPr>
        <w:t>’agissant d</w:t>
      </w:r>
      <w:r w:rsidR="00352B8D" w:rsidRPr="00A73BA5">
        <w:rPr>
          <w:rFonts w:ascii="Segoe UI" w:hAnsi="Segoe UI" w:cs="Segoe UI"/>
          <w:sz w:val="24"/>
          <w:szCs w:val="24"/>
        </w:rPr>
        <w:t>es charges de trésorerie</w:t>
      </w:r>
      <w:r w:rsidR="007D3666">
        <w:rPr>
          <w:rFonts w:ascii="Segoe UI" w:hAnsi="Segoe UI" w:cs="Segoe UI"/>
          <w:sz w:val="24"/>
          <w:szCs w:val="24"/>
        </w:rPr>
        <w:t>,</w:t>
      </w:r>
      <w:r w:rsidR="00352B8D" w:rsidRPr="00A73BA5">
        <w:rPr>
          <w:rFonts w:ascii="Segoe UI" w:hAnsi="Segoe UI" w:cs="Segoe UI"/>
          <w:sz w:val="24"/>
          <w:szCs w:val="24"/>
        </w:rPr>
        <w:t xml:space="preserve"> elles se sont situées à </w:t>
      </w:r>
      <w:r w:rsidR="004E748B" w:rsidRPr="00B84CEC">
        <w:rPr>
          <w:rFonts w:ascii="Segoe UI" w:hAnsi="Segoe UI" w:cs="Segoe UI"/>
          <w:sz w:val="24"/>
          <w:szCs w:val="24"/>
        </w:rPr>
        <w:t>18,2</w:t>
      </w:r>
      <w:r w:rsidR="00027DE2" w:rsidRPr="00A73BA5">
        <w:rPr>
          <w:rFonts w:ascii="Segoe UI" w:hAnsi="Segoe UI" w:cs="Segoe UI"/>
          <w:sz w:val="24"/>
          <w:szCs w:val="24"/>
        </w:rPr>
        <w:t xml:space="preserve">% </w:t>
      </w:r>
      <w:r w:rsidR="00352B8D" w:rsidRPr="00A73BA5">
        <w:rPr>
          <w:rFonts w:ascii="Segoe UI" w:hAnsi="Segoe UI" w:cs="Segoe UI"/>
          <w:sz w:val="24"/>
          <w:szCs w:val="24"/>
        </w:rPr>
        <w:t xml:space="preserve">correspondant à </w:t>
      </w:r>
      <w:r w:rsidR="004E748B" w:rsidRPr="00B84CEC">
        <w:rPr>
          <w:rFonts w:ascii="Segoe UI" w:hAnsi="Segoe UI" w:cs="Segoe UI"/>
          <w:sz w:val="24"/>
          <w:szCs w:val="24"/>
        </w:rPr>
        <w:t>56 802,2</w:t>
      </w:r>
      <w:r w:rsidR="00027DE2" w:rsidRPr="00A73BA5">
        <w:rPr>
          <w:rFonts w:ascii="Segoe UI" w:hAnsi="Segoe UI" w:cs="Segoe UI"/>
          <w:sz w:val="24"/>
          <w:szCs w:val="24"/>
        </w:rPr>
        <w:t xml:space="preserve"> millions de FCFA</w:t>
      </w:r>
      <w:r w:rsidR="004F2A06">
        <w:rPr>
          <w:rFonts w:ascii="Segoe UI" w:hAnsi="Segoe UI" w:cs="Segoe UI"/>
          <w:sz w:val="24"/>
          <w:szCs w:val="24"/>
        </w:rPr>
        <w:t xml:space="preserve">. </w:t>
      </w:r>
    </w:p>
    <w:p w14:paraId="405DA1BD" w14:textId="77777777" w:rsidR="00273B54" w:rsidRPr="00A73BA5" w:rsidRDefault="00273B54" w:rsidP="000243F1">
      <w:pPr>
        <w:pStyle w:val="Paragraphedeliste"/>
        <w:numPr>
          <w:ilvl w:val="0"/>
          <w:numId w:val="23"/>
        </w:numPr>
        <w:jc w:val="both"/>
        <w:rPr>
          <w:rFonts w:ascii="Segoe UI" w:hAnsi="Segoe UI" w:cs="Segoe UI"/>
          <w:b/>
          <w:sz w:val="24"/>
          <w:szCs w:val="24"/>
        </w:rPr>
      </w:pPr>
      <w:r w:rsidRPr="00A73BA5">
        <w:rPr>
          <w:rFonts w:ascii="Segoe UI" w:hAnsi="Segoe UI" w:cs="Segoe UI"/>
          <w:b/>
          <w:sz w:val="24"/>
          <w:szCs w:val="24"/>
        </w:rPr>
        <w:t>le solde d’exécution budgétaire</w:t>
      </w:r>
    </w:p>
    <w:p w14:paraId="6312B616" w14:textId="4B89D6E9" w:rsidR="00027DE2" w:rsidRPr="00A73BA5" w:rsidRDefault="00027DE2" w:rsidP="00027DE2">
      <w:pPr>
        <w:pStyle w:val="Paragraphedeliste"/>
        <w:jc w:val="both"/>
        <w:rPr>
          <w:rFonts w:ascii="Segoe UI" w:hAnsi="Segoe UI" w:cs="Segoe UI"/>
          <w:b/>
          <w:sz w:val="24"/>
          <w:szCs w:val="24"/>
        </w:rPr>
      </w:pPr>
      <w:r w:rsidRPr="00A73BA5">
        <w:rPr>
          <w:rFonts w:ascii="Segoe UI" w:hAnsi="Segoe UI" w:cs="Segoe UI"/>
          <w:sz w:val="24"/>
          <w:szCs w:val="24"/>
        </w:rPr>
        <w:t>L’exéc</w:t>
      </w:r>
      <w:r w:rsidR="00893F7A">
        <w:rPr>
          <w:rFonts w:ascii="Segoe UI" w:hAnsi="Segoe UI" w:cs="Segoe UI"/>
          <w:sz w:val="24"/>
          <w:szCs w:val="24"/>
        </w:rPr>
        <w:t>ution budgétaire à fin mars 2017</w:t>
      </w:r>
      <w:r w:rsidRPr="00A73BA5">
        <w:rPr>
          <w:rFonts w:ascii="Segoe UI" w:hAnsi="Segoe UI" w:cs="Segoe UI"/>
          <w:sz w:val="24"/>
          <w:szCs w:val="24"/>
        </w:rPr>
        <w:t xml:space="preserve"> présente un solde déficitaire de montant </w:t>
      </w:r>
      <w:r w:rsidR="00F659F0">
        <w:rPr>
          <w:rFonts w:ascii="Segoe UI" w:hAnsi="Segoe UI" w:cs="Segoe UI"/>
          <w:sz w:val="24"/>
          <w:szCs w:val="24"/>
        </w:rPr>
        <w:t xml:space="preserve">égal à </w:t>
      </w:r>
      <w:r w:rsidR="00FF5DCC">
        <w:rPr>
          <w:rFonts w:ascii="Segoe UI" w:hAnsi="Segoe UI" w:cs="Segoe UI"/>
          <w:sz w:val="24"/>
          <w:szCs w:val="24"/>
        </w:rPr>
        <w:t xml:space="preserve">94 010,8 </w:t>
      </w:r>
      <w:r w:rsidRPr="00A73BA5">
        <w:rPr>
          <w:rFonts w:ascii="Segoe UI" w:hAnsi="Segoe UI" w:cs="Segoe UI"/>
          <w:sz w:val="24"/>
          <w:szCs w:val="24"/>
        </w:rPr>
        <w:t>millions de FCFA</w:t>
      </w:r>
      <w:r w:rsidR="00F659F0">
        <w:rPr>
          <w:rFonts w:ascii="Segoe UI" w:hAnsi="Segoe UI" w:cs="Segoe UI"/>
          <w:sz w:val="24"/>
          <w:szCs w:val="24"/>
        </w:rPr>
        <w:t>,</w:t>
      </w:r>
      <w:r w:rsidR="004F2A06">
        <w:rPr>
          <w:rFonts w:ascii="Segoe UI" w:hAnsi="Segoe UI" w:cs="Segoe UI"/>
          <w:sz w:val="24"/>
          <w:szCs w:val="24"/>
        </w:rPr>
        <w:t xml:space="preserve"> en engagement et de montant </w:t>
      </w:r>
      <w:r w:rsidR="00F659F0">
        <w:rPr>
          <w:rFonts w:ascii="Segoe UI" w:hAnsi="Segoe UI" w:cs="Segoe UI"/>
          <w:sz w:val="24"/>
          <w:szCs w:val="24"/>
        </w:rPr>
        <w:t xml:space="preserve">égal à </w:t>
      </w:r>
      <w:r w:rsidR="00FF5DCC">
        <w:rPr>
          <w:rFonts w:ascii="Segoe UI" w:hAnsi="Segoe UI" w:cs="Segoe UI"/>
          <w:sz w:val="24"/>
          <w:szCs w:val="24"/>
        </w:rPr>
        <w:t>8 375,7</w:t>
      </w:r>
      <w:r w:rsidR="004F2A06">
        <w:rPr>
          <w:rFonts w:ascii="Segoe UI" w:hAnsi="Segoe UI" w:cs="Segoe UI"/>
          <w:sz w:val="24"/>
          <w:szCs w:val="24"/>
        </w:rPr>
        <w:t xml:space="preserve">  millions de FCFA, base ordonnancement.</w:t>
      </w:r>
    </w:p>
    <w:p w14:paraId="5FE04F72" w14:textId="1E21F393" w:rsidR="00F44F0A" w:rsidRPr="00A73BA5" w:rsidRDefault="00481D0A" w:rsidP="00F44F0A">
      <w:pPr>
        <w:jc w:val="both"/>
        <w:rPr>
          <w:rFonts w:ascii="Segoe UI" w:hAnsi="Segoe UI" w:cs="Segoe UI"/>
          <w:sz w:val="24"/>
          <w:szCs w:val="24"/>
        </w:rPr>
      </w:pPr>
      <w:r w:rsidRPr="00A73BA5">
        <w:rPr>
          <w:rFonts w:ascii="Segoe UI" w:hAnsi="Segoe UI" w:cs="Segoe UI"/>
          <w:sz w:val="24"/>
          <w:szCs w:val="24"/>
        </w:rPr>
        <w:t xml:space="preserve">Au total, les ressources </w:t>
      </w:r>
      <w:r w:rsidR="005E3300">
        <w:rPr>
          <w:rFonts w:ascii="Segoe UI" w:hAnsi="Segoe UI" w:cs="Segoe UI"/>
          <w:sz w:val="24"/>
          <w:szCs w:val="24"/>
        </w:rPr>
        <w:t>de la loi de finances, gestion 2017</w:t>
      </w:r>
      <w:r w:rsidRPr="00A73BA5">
        <w:rPr>
          <w:rFonts w:ascii="Segoe UI" w:hAnsi="Segoe UI" w:cs="Segoe UI"/>
          <w:sz w:val="24"/>
          <w:szCs w:val="24"/>
        </w:rPr>
        <w:t xml:space="preserve"> ont été mobilisées pour </w:t>
      </w:r>
      <w:r w:rsidR="00FF5DCC">
        <w:rPr>
          <w:rFonts w:ascii="Segoe UI" w:hAnsi="Segoe UI" w:cs="Segoe UI"/>
          <w:b/>
          <w:sz w:val="24"/>
          <w:szCs w:val="24"/>
        </w:rPr>
        <w:t>313 174</w:t>
      </w:r>
      <w:r w:rsidR="00F61E44" w:rsidRPr="00B84CEC">
        <w:rPr>
          <w:rFonts w:ascii="Segoe UI" w:hAnsi="Segoe UI" w:cs="Segoe UI"/>
          <w:b/>
          <w:sz w:val="24"/>
          <w:szCs w:val="24"/>
        </w:rPr>
        <w:t>,</w:t>
      </w:r>
      <w:r w:rsidR="00FF5DCC">
        <w:rPr>
          <w:rFonts w:ascii="Segoe UI" w:hAnsi="Segoe UI" w:cs="Segoe UI"/>
          <w:b/>
          <w:sz w:val="24"/>
          <w:szCs w:val="24"/>
        </w:rPr>
        <w:t>2</w:t>
      </w:r>
      <w:r w:rsidRPr="00A73BA5">
        <w:rPr>
          <w:rFonts w:ascii="Segoe UI" w:hAnsi="Segoe UI" w:cs="Segoe UI"/>
          <w:sz w:val="24"/>
          <w:szCs w:val="24"/>
        </w:rPr>
        <w:t xml:space="preserve"> </w:t>
      </w:r>
      <w:r w:rsidRPr="001E2BA4">
        <w:rPr>
          <w:rFonts w:ascii="Segoe UI" w:hAnsi="Segoe UI" w:cs="Segoe UI"/>
          <w:b/>
          <w:sz w:val="24"/>
          <w:szCs w:val="24"/>
        </w:rPr>
        <w:t>millions de FCFA</w:t>
      </w:r>
      <w:r w:rsidRPr="00A73BA5">
        <w:rPr>
          <w:rFonts w:ascii="Segoe UI" w:hAnsi="Segoe UI" w:cs="Segoe UI"/>
          <w:sz w:val="24"/>
          <w:szCs w:val="24"/>
        </w:rPr>
        <w:t xml:space="preserve"> tandis que les charges ont</w:t>
      </w:r>
      <w:r w:rsidR="00310DBA" w:rsidRPr="00A73BA5">
        <w:rPr>
          <w:rFonts w:ascii="Segoe UI" w:hAnsi="Segoe UI" w:cs="Segoe UI"/>
          <w:sz w:val="24"/>
          <w:szCs w:val="24"/>
        </w:rPr>
        <w:t xml:space="preserve"> été</w:t>
      </w:r>
      <w:r w:rsidRPr="00A73BA5">
        <w:rPr>
          <w:rFonts w:ascii="Segoe UI" w:hAnsi="Segoe UI" w:cs="Segoe UI"/>
          <w:sz w:val="24"/>
          <w:szCs w:val="24"/>
        </w:rPr>
        <w:t xml:space="preserve"> assurées </w:t>
      </w:r>
      <w:r w:rsidR="005856A5" w:rsidRPr="00A73BA5">
        <w:rPr>
          <w:rFonts w:ascii="Segoe UI" w:hAnsi="Segoe UI" w:cs="Segoe UI"/>
          <w:sz w:val="24"/>
          <w:szCs w:val="24"/>
        </w:rPr>
        <w:t xml:space="preserve">à hauteur de </w:t>
      </w:r>
      <w:r w:rsidR="00FF5DCC">
        <w:rPr>
          <w:rFonts w:ascii="Segoe UI" w:hAnsi="Segoe UI" w:cs="Segoe UI"/>
          <w:b/>
          <w:sz w:val="24"/>
          <w:szCs w:val="24"/>
        </w:rPr>
        <w:t>347</w:t>
      </w:r>
      <w:r w:rsidR="00AA6058" w:rsidRPr="00B84CEC">
        <w:rPr>
          <w:rFonts w:ascii="Segoe UI" w:hAnsi="Segoe UI" w:cs="Segoe UI"/>
          <w:b/>
          <w:sz w:val="24"/>
          <w:szCs w:val="24"/>
        </w:rPr>
        <w:t xml:space="preserve"> </w:t>
      </w:r>
      <w:r w:rsidR="00FF5DCC">
        <w:rPr>
          <w:rFonts w:ascii="Segoe UI" w:hAnsi="Segoe UI" w:cs="Segoe UI"/>
          <w:b/>
          <w:sz w:val="24"/>
          <w:szCs w:val="24"/>
        </w:rPr>
        <w:t>852</w:t>
      </w:r>
      <w:r w:rsidR="00AA6058" w:rsidRPr="00B84CEC">
        <w:rPr>
          <w:rFonts w:ascii="Segoe UI" w:hAnsi="Segoe UI" w:cs="Segoe UI"/>
          <w:b/>
          <w:sz w:val="24"/>
          <w:szCs w:val="24"/>
        </w:rPr>
        <w:t>,</w:t>
      </w:r>
      <w:r w:rsidR="00FF5DCC">
        <w:rPr>
          <w:rFonts w:ascii="Segoe UI" w:hAnsi="Segoe UI" w:cs="Segoe UI"/>
          <w:b/>
          <w:sz w:val="24"/>
          <w:szCs w:val="24"/>
        </w:rPr>
        <w:t>2</w:t>
      </w:r>
      <w:r w:rsidR="005856A5" w:rsidRPr="001E2BA4">
        <w:rPr>
          <w:rFonts w:ascii="Segoe UI" w:hAnsi="Segoe UI" w:cs="Segoe UI"/>
          <w:b/>
          <w:sz w:val="24"/>
          <w:szCs w:val="24"/>
        </w:rPr>
        <w:t xml:space="preserve"> millions de FCFA</w:t>
      </w:r>
      <w:r w:rsidR="005856A5" w:rsidRPr="00A73BA5">
        <w:rPr>
          <w:rFonts w:ascii="Segoe UI" w:hAnsi="Segoe UI" w:cs="Segoe UI"/>
          <w:sz w:val="24"/>
          <w:szCs w:val="24"/>
        </w:rPr>
        <w:t xml:space="preserve"> sur une prévision annuelle équilibrée</w:t>
      </w:r>
      <w:r w:rsidR="003D6BAD">
        <w:rPr>
          <w:rFonts w:ascii="Segoe UI" w:hAnsi="Segoe UI" w:cs="Segoe UI"/>
          <w:sz w:val="24"/>
          <w:szCs w:val="24"/>
        </w:rPr>
        <w:t>, en ressources et en charges,</w:t>
      </w:r>
      <w:r w:rsidR="005856A5" w:rsidRPr="00A73BA5">
        <w:rPr>
          <w:rFonts w:ascii="Segoe UI" w:hAnsi="Segoe UI" w:cs="Segoe UI"/>
          <w:sz w:val="24"/>
          <w:szCs w:val="24"/>
        </w:rPr>
        <w:t xml:space="preserve"> à </w:t>
      </w:r>
      <w:r w:rsidR="000918EC" w:rsidRPr="001E2BA4">
        <w:rPr>
          <w:rFonts w:ascii="Segoe UI" w:hAnsi="Segoe UI" w:cs="Segoe UI"/>
          <w:b/>
          <w:sz w:val="24"/>
          <w:szCs w:val="24"/>
        </w:rPr>
        <w:t>2 010 586</w:t>
      </w:r>
      <w:r w:rsidR="005856A5" w:rsidRPr="001E2BA4">
        <w:rPr>
          <w:rFonts w:ascii="Segoe UI" w:hAnsi="Segoe UI" w:cs="Segoe UI"/>
          <w:b/>
          <w:sz w:val="24"/>
          <w:szCs w:val="24"/>
        </w:rPr>
        <w:t xml:space="preserve"> millions de FCFA</w:t>
      </w:r>
      <w:r w:rsidR="005856A5" w:rsidRPr="00A73BA5">
        <w:rPr>
          <w:rFonts w:ascii="Segoe UI" w:hAnsi="Segoe UI" w:cs="Segoe UI"/>
          <w:sz w:val="24"/>
          <w:szCs w:val="24"/>
        </w:rPr>
        <w:t>.</w:t>
      </w:r>
    </w:p>
    <w:p w14:paraId="3B54A001" w14:textId="77777777" w:rsidR="004162ED" w:rsidRPr="00A73BA5" w:rsidRDefault="004162ED" w:rsidP="000243F1">
      <w:pPr>
        <w:pStyle w:val="Paragraphedeliste"/>
        <w:numPr>
          <w:ilvl w:val="0"/>
          <w:numId w:val="23"/>
        </w:numPr>
        <w:jc w:val="both"/>
        <w:rPr>
          <w:rFonts w:ascii="Segoe UI" w:hAnsi="Segoe UI" w:cs="Segoe UI"/>
          <w:b/>
          <w:sz w:val="24"/>
          <w:szCs w:val="24"/>
        </w:rPr>
      </w:pPr>
      <w:r w:rsidRPr="00A73BA5">
        <w:rPr>
          <w:rFonts w:ascii="Segoe UI" w:hAnsi="Segoe UI" w:cs="Segoe UI"/>
          <w:b/>
          <w:sz w:val="24"/>
          <w:szCs w:val="24"/>
        </w:rPr>
        <w:br w:type="page"/>
      </w:r>
    </w:p>
    <w:p w14:paraId="388B2D2A" w14:textId="77777777" w:rsidR="00D1515C" w:rsidRPr="00D563E4" w:rsidRDefault="0089539C" w:rsidP="00012586">
      <w:pPr>
        <w:pStyle w:val="Titre1"/>
        <w:rPr>
          <w:rFonts w:ascii="Segoe UI" w:hAnsi="Segoe UI" w:cs="Segoe UI"/>
          <w:color w:val="000000" w:themeColor="text1"/>
          <w:sz w:val="24"/>
        </w:rPr>
      </w:pPr>
      <w:bookmarkStart w:id="2" w:name="_Toc484105599"/>
      <w:r w:rsidRPr="00D563E4">
        <w:rPr>
          <w:rFonts w:ascii="Segoe UI" w:hAnsi="Segoe UI" w:cs="Segoe UI"/>
          <w:color w:val="000000" w:themeColor="text1"/>
          <w:sz w:val="24"/>
        </w:rPr>
        <w:lastRenderedPageBreak/>
        <w:t>INTRODUCTION</w:t>
      </w:r>
      <w:bookmarkEnd w:id="2"/>
    </w:p>
    <w:p w14:paraId="4E508630" w14:textId="77777777" w:rsidR="00033825" w:rsidRPr="00033825" w:rsidRDefault="00033825" w:rsidP="00033825">
      <w:pPr>
        <w:rPr>
          <w:sz w:val="6"/>
        </w:rPr>
      </w:pPr>
    </w:p>
    <w:p w14:paraId="0238C8CA" w14:textId="4B1B4B8B" w:rsidR="00033825" w:rsidRDefault="00475D88" w:rsidP="00C01AD2">
      <w:pPr>
        <w:spacing w:after="0" w:line="360" w:lineRule="auto"/>
        <w:jc w:val="both"/>
        <w:rPr>
          <w:rFonts w:ascii="Segoe UI" w:hAnsi="Segoe UI" w:cs="Segoe UI"/>
          <w:sz w:val="24"/>
          <w:szCs w:val="24"/>
        </w:rPr>
      </w:pPr>
      <w:r>
        <w:rPr>
          <w:rFonts w:ascii="Segoe UI" w:hAnsi="Segoe UI" w:cs="Segoe UI"/>
          <w:sz w:val="24"/>
          <w:szCs w:val="24"/>
        </w:rPr>
        <w:t>La mise en œuvre de la loi n°2016-33 du 26 décembre 2016 portant loi de finances pour la gestion 2017 s’est accompagnée d’une politique de maîtrise des dépenses publiques</w:t>
      </w:r>
      <w:r w:rsidR="007C5145">
        <w:rPr>
          <w:rFonts w:ascii="Segoe UI" w:hAnsi="Segoe UI" w:cs="Segoe UI"/>
          <w:sz w:val="24"/>
          <w:szCs w:val="24"/>
        </w:rPr>
        <w:t xml:space="preserve"> et d’articulation du budget avec le cadre programmatique de développement</w:t>
      </w:r>
      <w:r>
        <w:rPr>
          <w:rFonts w:ascii="Segoe UI" w:hAnsi="Segoe UI" w:cs="Segoe UI"/>
          <w:sz w:val="24"/>
          <w:szCs w:val="24"/>
        </w:rPr>
        <w:t xml:space="preserve">. </w:t>
      </w:r>
      <w:r w:rsidR="007C5145">
        <w:rPr>
          <w:rFonts w:ascii="Segoe UI" w:hAnsi="Segoe UI" w:cs="Segoe UI"/>
          <w:sz w:val="24"/>
          <w:szCs w:val="24"/>
        </w:rPr>
        <w:t>Celle-ci a consisté à la mise en cohérence des plans de travail annuels (PTA) avec le Programme d’Actions du Gouvernement pour la période 2016-2021 et à la limitation d</w:t>
      </w:r>
      <w:r>
        <w:rPr>
          <w:rFonts w:ascii="Segoe UI" w:hAnsi="Segoe UI" w:cs="Segoe UI"/>
          <w:sz w:val="24"/>
          <w:szCs w:val="24"/>
        </w:rPr>
        <w:t xml:space="preserve">es engagements de dépenses </w:t>
      </w:r>
      <w:r w:rsidR="00033825">
        <w:rPr>
          <w:rFonts w:ascii="Segoe UI" w:hAnsi="Segoe UI" w:cs="Segoe UI"/>
          <w:sz w:val="24"/>
          <w:szCs w:val="24"/>
        </w:rPr>
        <w:t>au rythme de recouvrement de recettes. Ce qui s’est traduit</w:t>
      </w:r>
      <w:r w:rsidR="0008162A">
        <w:rPr>
          <w:rFonts w:ascii="Segoe UI" w:hAnsi="Segoe UI" w:cs="Segoe UI"/>
          <w:sz w:val="24"/>
          <w:szCs w:val="24"/>
        </w:rPr>
        <w:t>,</w:t>
      </w:r>
      <w:r w:rsidR="00033825">
        <w:rPr>
          <w:rFonts w:ascii="Segoe UI" w:hAnsi="Segoe UI" w:cs="Segoe UI"/>
          <w:sz w:val="24"/>
          <w:szCs w:val="24"/>
        </w:rPr>
        <w:t xml:space="preserve"> à fin mars 2017</w:t>
      </w:r>
      <w:r w:rsidR="0008162A">
        <w:rPr>
          <w:rFonts w:ascii="Segoe UI" w:hAnsi="Segoe UI" w:cs="Segoe UI"/>
          <w:sz w:val="24"/>
          <w:szCs w:val="24"/>
        </w:rPr>
        <w:t>,</w:t>
      </w:r>
      <w:r w:rsidR="00033825">
        <w:rPr>
          <w:rFonts w:ascii="Segoe UI" w:hAnsi="Segoe UI" w:cs="Segoe UI"/>
          <w:sz w:val="24"/>
          <w:szCs w:val="24"/>
        </w:rPr>
        <w:t xml:space="preserve"> par des taux de réalisation des ressources et d</w:t>
      </w:r>
      <w:r w:rsidR="009B79D9">
        <w:rPr>
          <w:rFonts w:ascii="Segoe UI" w:hAnsi="Segoe UI" w:cs="Segoe UI"/>
          <w:sz w:val="24"/>
          <w:szCs w:val="24"/>
        </w:rPr>
        <w:t>e couverture</w:t>
      </w:r>
      <w:r w:rsidR="00033825">
        <w:rPr>
          <w:rFonts w:ascii="Segoe UI" w:hAnsi="Segoe UI" w:cs="Segoe UI"/>
          <w:sz w:val="24"/>
          <w:szCs w:val="24"/>
        </w:rPr>
        <w:t xml:space="preserve"> des charges</w:t>
      </w:r>
      <w:r w:rsidR="0008162A">
        <w:rPr>
          <w:rFonts w:ascii="Segoe UI" w:hAnsi="Segoe UI" w:cs="Segoe UI"/>
          <w:sz w:val="24"/>
          <w:szCs w:val="24"/>
        </w:rPr>
        <w:t xml:space="preserve"> assez proches, à savoir </w:t>
      </w:r>
      <w:r w:rsidR="00033825">
        <w:rPr>
          <w:rFonts w:ascii="Segoe UI" w:hAnsi="Segoe UI" w:cs="Segoe UI"/>
          <w:sz w:val="24"/>
          <w:szCs w:val="24"/>
        </w:rPr>
        <w:t xml:space="preserve"> </w:t>
      </w:r>
      <w:r w:rsidR="00FF5DCC">
        <w:rPr>
          <w:rFonts w:ascii="Segoe UI" w:hAnsi="Segoe UI" w:cs="Segoe UI"/>
          <w:sz w:val="24"/>
          <w:szCs w:val="24"/>
        </w:rPr>
        <w:t>15,6</w:t>
      </w:r>
      <w:r w:rsidR="00033825" w:rsidRPr="004E1239">
        <w:rPr>
          <w:rFonts w:ascii="Segoe UI" w:hAnsi="Segoe UI" w:cs="Segoe UI"/>
          <w:sz w:val="24"/>
          <w:szCs w:val="24"/>
        </w:rPr>
        <w:t xml:space="preserve">% </w:t>
      </w:r>
      <w:r w:rsidR="0008162A">
        <w:rPr>
          <w:rFonts w:ascii="Segoe UI" w:hAnsi="Segoe UI" w:cs="Segoe UI"/>
          <w:sz w:val="24"/>
          <w:szCs w:val="24"/>
        </w:rPr>
        <w:t xml:space="preserve">pour les ressources </w:t>
      </w:r>
      <w:r w:rsidR="00033825" w:rsidRPr="004E1239">
        <w:rPr>
          <w:rFonts w:ascii="Segoe UI" w:hAnsi="Segoe UI" w:cs="Segoe UI"/>
          <w:sz w:val="24"/>
          <w:szCs w:val="24"/>
        </w:rPr>
        <w:t xml:space="preserve">et </w:t>
      </w:r>
      <w:r w:rsidR="00FF5DCC">
        <w:rPr>
          <w:rFonts w:ascii="Segoe UI" w:hAnsi="Segoe UI" w:cs="Segoe UI"/>
          <w:sz w:val="24"/>
          <w:szCs w:val="24"/>
        </w:rPr>
        <w:t>17,3</w:t>
      </w:r>
      <w:r w:rsidR="00033825" w:rsidRPr="004E1239">
        <w:rPr>
          <w:rFonts w:ascii="Segoe UI" w:hAnsi="Segoe UI" w:cs="Segoe UI"/>
          <w:sz w:val="24"/>
          <w:szCs w:val="24"/>
        </w:rPr>
        <w:t>%</w:t>
      </w:r>
      <w:r w:rsidR="0008162A">
        <w:rPr>
          <w:rFonts w:ascii="Segoe UI" w:hAnsi="Segoe UI" w:cs="Segoe UI"/>
          <w:sz w:val="24"/>
          <w:szCs w:val="24"/>
        </w:rPr>
        <w:t xml:space="preserve"> pour les charges</w:t>
      </w:r>
      <w:r w:rsidR="00033825" w:rsidRPr="004E1239">
        <w:rPr>
          <w:rFonts w:ascii="Segoe UI" w:hAnsi="Segoe UI" w:cs="Segoe UI"/>
          <w:sz w:val="24"/>
          <w:szCs w:val="24"/>
        </w:rPr>
        <w:t>.</w:t>
      </w:r>
      <w:r w:rsidR="00033825">
        <w:rPr>
          <w:rFonts w:ascii="Segoe UI" w:hAnsi="Segoe UI" w:cs="Segoe UI"/>
          <w:sz w:val="24"/>
          <w:szCs w:val="24"/>
        </w:rPr>
        <w:t xml:space="preserve"> A la même période en 2016, les taux de réalisation des ressources et d’exécution des charge</w:t>
      </w:r>
      <w:r w:rsidR="009E7C69">
        <w:rPr>
          <w:rFonts w:ascii="Segoe UI" w:hAnsi="Segoe UI" w:cs="Segoe UI"/>
          <w:sz w:val="24"/>
          <w:szCs w:val="24"/>
        </w:rPr>
        <w:t>s étaient respectivement de 20,3% et de 33,1</w:t>
      </w:r>
      <w:r w:rsidR="00033825">
        <w:rPr>
          <w:rFonts w:ascii="Segoe UI" w:hAnsi="Segoe UI" w:cs="Segoe UI"/>
          <w:sz w:val="24"/>
          <w:szCs w:val="24"/>
        </w:rPr>
        <w:t>%.</w:t>
      </w:r>
    </w:p>
    <w:p w14:paraId="577BAFB1" w14:textId="77777777" w:rsidR="00033825" w:rsidRPr="00621AA5" w:rsidRDefault="00033825" w:rsidP="00C01AD2">
      <w:pPr>
        <w:spacing w:after="0" w:line="360" w:lineRule="auto"/>
        <w:jc w:val="both"/>
        <w:rPr>
          <w:rFonts w:ascii="Segoe UI" w:hAnsi="Segoe UI" w:cs="Segoe UI"/>
          <w:sz w:val="8"/>
          <w:szCs w:val="24"/>
        </w:rPr>
      </w:pPr>
    </w:p>
    <w:p w14:paraId="664242F6" w14:textId="77777777" w:rsidR="00621AA5" w:rsidRPr="00621AA5" w:rsidRDefault="00621AA5" w:rsidP="00C01AD2">
      <w:pPr>
        <w:spacing w:after="0" w:line="360" w:lineRule="auto"/>
        <w:jc w:val="both"/>
        <w:rPr>
          <w:rFonts w:ascii="Segoe UI" w:hAnsi="Segoe UI" w:cs="Segoe UI"/>
          <w:sz w:val="8"/>
          <w:szCs w:val="24"/>
        </w:rPr>
      </w:pPr>
    </w:p>
    <w:p w14:paraId="170FC058" w14:textId="41093B67" w:rsidR="00621AA5" w:rsidRPr="00621AA5" w:rsidRDefault="00C06F8C" w:rsidP="00C01AD2">
      <w:pPr>
        <w:spacing w:after="0" w:line="360" w:lineRule="auto"/>
        <w:jc w:val="both"/>
        <w:rPr>
          <w:rFonts w:ascii="Segoe UI" w:hAnsi="Segoe UI" w:cs="Segoe UI"/>
          <w:sz w:val="8"/>
          <w:szCs w:val="24"/>
        </w:rPr>
      </w:pPr>
      <w:r>
        <w:rPr>
          <w:rFonts w:ascii="Segoe UI" w:hAnsi="Segoe UI" w:cs="Segoe UI"/>
          <w:sz w:val="24"/>
          <w:szCs w:val="24"/>
        </w:rPr>
        <w:t>Pour la suite de l’année</w:t>
      </w:r>
      <w:r w:rsidR="001D15C8">
        <w:rPr>
          <w:rFonts w:ascii="Segoe UI" w:hAnsi="Segoe UI" w:cs="Segoe UI"/>
          <w:sz w:val="24"/>
          <w:szCs w:val="24"/>
        </w:rPr>
        <w:t xml:space="preserve"> 2017, les mesures pris</w:t>
      </w:r>
      <w:r>
        <w:rPr>
          <w:rFonts w:ascii="Segoe UI" w:hAnsi="Segoe UI" w:cs="Segoe UI"/>
          <w:sz w:val="24"/>
          <w:szCs w:val="24"/>
        </w:rPr>
        <w:t>es en faveur de la régulation des engagements continueront à être appliquées</w:t>
      </w:r>
      <w:r w:rsidR="00EC03DF">
        <w:rPr>
          <w:rFonts w:ascii="Segoe UI" w:hAnsi="Segoe UI" w:cs="Segoe UI"/>
          <w:sz w:val="24"/>
          <w:szCs w:val="24"/>
        </w:rPr>
        <w:t>. Les travaux de mis</w:t>
      </w:r>
      <w:r w:rsidR="00AD6414">
        <w:rPr>
          <w:rFonts w:ascii="Segoe UI" w:hAnsi="Segoe UI" w:cs="Segoe UI"/>
          <w:sz w:val="24"/>
          <w:szCs w:val="24"/>
        </w:rPr>
        <w:t>e en cohérence des PTA avec le P</w:t>
      </w:r>
      <w:r w:rsidR="00EC03DF">
        <w:rPr>
          <w:rFonts w:ascii="Segoe UI" w:hAnsi="Segoe UI" w:cs="Segoe UI"/>
          <w:sz w:val="24"/>
          <w:szCs w:val="24"/>
        </w:rPr>
        <w:t>rogr</w:t>
      </w:r>
      <w:r w:rsidR="00AD6414">
        <w:rPr>
          <w:rFonts w:ascii="Segoe UI" w:hAnsi="Segoe UI" w:cs="Segoe UI"/>
          <w:sz w:val="24"/>
          <w:szCs w:val="24"/>
        </w:rPr>
        <w:t>amme d’A</w:t>
      </w:r>
      <w:r w:rsidR="00EC03DF">
        <w:rPr>
          <w:rFonts w:ascii="Segoe UI" w:hAnsi="Segoe UI" w:cs="Segoe UI"/>
          <w:sz w:val="24"/>
          <w:szCs w:val="24"/>
        </w:rPr>
        <w:t>ctions du Gouvernement étant achevés, les activités retenues pourront être progressivement mise</w:t>
      </w:r>
      <w:r w:rsidR="001D15C8">
        <w:rPr>
          <w:rFonts w:ascii="Segoe UI" w:hAnsi="Segoe UI" w:cs="Segoe UI"/>
          <w:sz w:val="24"/>
          <w:szCs w:val="24"/>
        </w:rPr>
        <w:t>s</w:t>
      </w:r>
      <w:r w:rsidR="00EC03DF">
        <w:rPr>
          <w:rFonts w:ascii="Segoe UI" w:hAnsi="Segoe UI" w:cs="Segoe UI"/>
          <w:sz w:val="24"/>
          <w:szCs w:val="24"/>
        </w:rPr>
        <w:t xml:space="preserve"> en œuvre</w:t>
      </w:r>
      <w:r w:rsidR="001D15C8">
        <w:rPr>
          <w:rFonts w:ascii="Segoe UI" w:hAnsi="Segoe UI" w:cs="Segoe UI"/>
          <w:sz w:val="24"/>
          <w:szCs w:val="24"/>
        </w:rPr>
        <w:t>,</w:t>
      </w:r>
      <w:r w:rsidR="00EC03DF">
        <w:rPr>
          <w:rFonts w:ascii="Segoe UI" w:hAnsi="Segoe UI" w:cs="Segoe UI"/>
          <w:sz w:val="24"/>
          <w:szCs w:val="24"/>
        </w:rPr>
        <w:t xml:space="preserve"> en fonction du rythme de recouvrement des recettes.</w:t>
      </w:r>
    </w:p>
    <w:p w14:paraId="5252B5CD" w14:textId="77777777" w:rsidR="002341E9" w:rsidRPr="002341E9" w:rsidRDefault="002341E9" w:rsidP="00C01AD2">
      <w:pPr>
        <w:spacing w:after="0" w:line="360" w:lineRule="auto"/>
        <w:jc w:val="both"/>
        <w:rPr>
          <w:rFonts w:ascii="Segoe UI" w:hAnsi="Segoe UI" w:cs="Segoe UI"/>
          <w:sz w:val="6"/>
          <w:szCs w:val="24"/>
        </w:rPr>
      </w:pPr>
    </w:p>
    <w:p w14:paraId="4A155E67" w14:textId="77777777" w:rsidR="00334AC0" w:rsidRDefault="00334AC0" w:rsidP="00C01AD2">
      <w:pPr>
        <w:spacing w:after="0" w:line="360" w:lineRule="auto"/>
        <w:jc w:val="both"/>
        <w:rPr>
          <w:rFonts w:ascii="Segoe UI" w:hAnsi="Segoe UI" w:cs="Segoe UI"/>
          <w:sz w:val="24"/>
          <w:szCs w:val="24"/>
        </w:rPr>
      </w:pPr>
      <w:r w:rsidRPr="00A73BA5">
        <w:rPr>
          <w:rFonts w:ascii="Segoe UI" w:hAnsi="Segoe UI" w:cs="Segoe UI"/>
          <w:sz w:val="24"/>
          <w:szCs w:val="24"/>
        </w:rPr>
        <w:t>Le présent rapport retrace</w:t>
      </w:r>
      <w:r w:rsidR="0014501C" w:rsidRPr="00A73BA5">
        <w:rPr>
          <w:rFonts w:ascii="Segoe UI" w:hAnsi="Segoe UI" w:cs="Segoe UI"/>
          <w:sz w:val="24"/>
          <w:szCs w:val="24"/>
        </w:rPr>
        <w:t>, par nature économique, le niveau d’exécution des opérations budgétaires et des opérations de trésorerie, au cours des trois premiers mois de mise en œuvre de la loi de finances pour la gestion 201</w:t>
      </w:r>
      <w:r w:rsidR="00033825">
        <w:rPr>
          <w:rFonts w:ascii="Segoe UI" w:hAnsi="Segoe UI" w:cs="Segoe UI"/>
          <w:sz w:val="24"/>
          <w:szCs w:val="24"/>
        </w:rPr>
        <w:t>7</w:t>
      </w:r>
      <w:r w:rsidR="0041090F" w:rsidRPr="00A73BA5">
        <w:rPr>
          <w:rFonts w:ascii="Segoe UI" w:hAnsi="Segoe UI" w:cs="Segoe UI"/>
          <w:sz w:val="24"/>
          <w:szCs w:val="24"/>
        </w:rPr>
        <w:t xml:space="preserve">. </w:t>
      </w:r>
    </w:p>
    <w:p w14:paraId="30D36298" w14:textId="77777777" w:rsidR="00917867" w:rsidRPr="00917867" w:rsidRDefault="00917867" w:rsidP="00C01AD2">
      <w:pPr>
        <w:spacing w:after="0" w:line="360" w:lineRule="auto"/>
        <w:jc w:val="both"/>
        <w:rPr>
          <w:rFonts w:ascii="Segoe UI" w:hAnsi="Segoe UI" w:cs="Segoe UI"/>
          <w:sz w:val="20"/>
          <w:szCs w:val="24"/>
        </w:rPr>
      </w:pPr>
    </w:p>
    <w:p w14:paraId="387A3E81" w14:textId="77777777" w:rsidR="00845B75" w:rsidRPr="00A73BA5" w:rsidRDefault="00845B75" w:rsidP="00285C70">
      <w:pPr>
        <w:spacing w:after="0" w:line="360" w:lineRule="auto"/>
        <w:jc w:val="both"/>
        <w:rPr>
          <w:rFonts w:ascii="Segoe UI" w:hAnsi="Segoe UI" w:cs="Segoe UI"/>
          <w:color w:val="FF0000"/>
          <w:sz w:val="24"/>
          <w:szCs w:val="24"/>
        </w:rPr>
      </w:pPr>
    </w:p>
    <w:p w14:paraId="44BCBA2C" w14:textId="77777777" w:rsidR="00D67581" w:rsidRPr="00A73BA5" w:rsidRDefault="00D67581" w:rsidP="00BC3E50">
      <w:pPr>
        <w:spacing w:line="360" w:lineRule="auto"/>
        <w:jc w:val="both"/>
        <w:rPr>
          <w:rFonts w:ascii="Segoe UI" w:hAnsi="Segoe UI" w:cs="Segoe UI"/>
          <w:b/>
          <w:color w:val="FF0000"/>
          <w:sz w:val="24"/>
          <w:szCs w:val="24"/>
        </w:rPr>
      </w:pPr>
      <w:r w:rsidRPr="00A73BA5">
        <w:rPr>
          <w:rFonts w:ascii="Segoe UI" w:hAnsi="Segoe UI" w:cs="Segoe UI"/>
          <w:b/>
          <w:color w:val="FF0000"/>
          <w:sz w:val="24"/>
          <w:szCs w:val="24"/>
        </w:rPr>
        <w:br w:type="page"/>
      </w:r>
    </w:p>
    <w:p w14:paraId="173F05A0" w14:textId="0E6E9D3A" w:rsidR="004A7383" w:rsidRPr="001541CB" w:rsidRDefault="00667C3E" w:rsidP="004A7383">
      <w:pPr>
        <w:pStyle w:val="Titre1"/>
        <w:numPr>
          <w:ilvl w:val="0"/>
          <w:numId w:val="1"/>
        </w:numPr>
        <w:spacing w:before="0"/>
        <w:rPr>
          <w:rFonts w:ascii="Segoe UI" w:hAnsi="Segoe UI" w:cs="Segoe UI"/>
          <w:color w:val="auto"/>
          <w:sz w:val="24"/>
          <w:szCs w:val="26"/>
        </w:rPr>
      </w:pPr>
      <w:bookmarkStart w:id="3" w:name="_Toc484105600"/>
      <w:r w:rsidRPr="001541CB">
        <w:rPr>
          <w:rFonts w:ascii="Segoe UI" w:hAnsi="Segoe UI" w:cs="Segoe UI"/>
          <w:color w:val="auto"/>
          <w:sz w:val="24"/>
          <w:szCs w:val="26"/>
        </w:rPr>
        <w:lastRenderedPageBreak/>
        <w:t>SITUATION</w:t>
      </w:r>
      <w:r w:rsidR="004A7383" w:rsidRPr="001541CB">
        <w:rPr>
          <w:rFonts w:ascii="Segoe UI" w:hAnsi="Segoe UI" w:cs="Segoe UI"/>
          <w:color w:val="auto"/>
          <w:sz w:val="24"/>
          <w:szCs w:val="26"/>
        </w:rPr>
        <w:t xml:space="preserve"> ECONOMIQUE</w:t>
      </w:r>
      <w:r w:rsidRPr="001541CB">
        <w:rPr>
          <w:rFonts w:ascii="Segoe UI" w:hAnsi="Segoe UI" w:cs="Segoe UI"/>
          <w:color w:val="auto"/>
          <w:sz w:val="24"/>
          <w:szCs w:val="26"/>
        </w:rPr>
        <w:t xml:space="preserve"> A FIN </w:t>
      </w:r>
      <w:r w:rsidR="00792ACF" w:rsidRPr="001541CB">
        <w:rPr>
          <w:rFonts w:ascii="Segoe UI" w:hAnsi="Segoe UI" w:cs="Segoe UI"/>
          <w:color w:val="auto"/>
          <w:sz w:val="24"/>
          <w:szCs w:val="26"/>
        </w:rPr>
        <w:t>MARS</w:t>
      </w:r>
      <w:r w:rsidRPr="001541CB">
        <w:rPr>
          <w:rFonts w:ascii="Segoe UI" w:hAnsi="Segoe UI" w:cs="Segoe UI"/>
          <w:color w:val="auto"/>
          <w:sz w:val="24"/>
          <w:szCs w:val="26"/>
        </w:rPr>
        <w:t xml:space="preserve"> 201</w:t>
      </w:r>
      <w:r w:rsidR="00AD6414">
        <w:rPr>
          <w:rFonts w:ascii="Segoe UI" w:hAnsi="Segoe UI" w:cs="Segoe UI"/>
          <w:color w:val="auto"/>
          <w:sz w:val="24"/>
          <w:szCs w:val="26"/>
        </w:rPr>
        <w:t>7</w:t>
      </w:r>
      <w:bookmarkEnd w:id="3"/>
    </w:p>
    <w:p w14:paraId="67C78438" w14:textId="77777777" w:rsidR="004A7383" w:rsidRPr="001541CB" w:rsidRDefault="00667C3E" w:rsidP="004A7383">
      <w:pPr>
        <w:pStyle w:val="Titre2"/>
        <w:numPr>
          <w:ilvl w:val="0"/>
          <w:numId w:val="2"/>
        </w:numPr>
        <w:rPr>
          <w:rFonts w:ascii="Segoe UI" w:hAnsi="Segoe UI" w:cs="Segoe UI"/>
          <w:color w:val="auto"/>
          <w:sz w:val="24"/>
        </w:rPr>
      </w:pPr>
      <w:bookmarkStart w:id="4" w:name="_Toc484105601"/>
      <w:r w:rsidRPr="001541CB">
        <w:rPr>
          <w:rFonts w:ascii="Segoe UI" w:hAnsi="Segoe UI" w:cs="Segoe UI"/>
          <w:color w:val="auto"/>
          <w:sz w:val="24"/>
        </w:rPr>
        <w:t>Environnement</w:t>
      </w:r>
      <w:r w:rsidR="004E325E" w:rsidRPr="001541CB">
        <w:rPr>
          <w:rFonts w:ascii="Segoe UI" w:hAnsi="Segoe UI" w:cs="Segoe UI"/>
          <w:color w:val="auto"/>
          <w:sz w:val="24"/>
        </w:rPr>
        <w:t>s</w:t>
      </w:r>
      <w:r w:rsidR="006D09DE" w:rsidRPr="001541CB">
        <w:rPr>
          <w:rFonts w:ascii="Segoe UI" w:hAnsi="Segoe UI" w:cs="Segoe UI"/>
          <w:color w:val="auto"/>
          <w:sz w:val="24"/>
        </w:rPr>
        <w:t xml:space="preserve"> </w:t>
      </w:r>
      <w:r w:rsidR="004A7383" w:rsidRPr="001541CB">
        <w:rPr>
          <w:rFonts w:ascii="Segoe UI" w:hAnsi="Segoe UI" w:cs="Segoe UI"/>
          <w:color w:val="auto"/>
          <w:sz w:val="24"/>
        </w:rPr>
        <w:t>économiques international et régional</w:t>
      </w:r>
      <w:bookmarkEnd w:id="4"/>
    </w:p>
    <w:p w14:paraId="69E8E65C" w14:textId="77777777" w:rsidR="00E469B7" w:rsidRPr="00E469B7" w:rsidRDefault="00E469B7" w:rsidP="00E469B7">
      <w:pPr>
        <w:spacing w:before="120" w:after="120" w:line="360" w:lineRule="auto"/>
        <w:ind w:left="360"/>
        <w:jc w:val="both"/>
        <w:rPr>
          <w:rFonts w:ascii="Segoe UI" w:hAnsi="Segoe UI" w:cs="Segoe UI"/>
          <w:sz w:val="24"/>
          <w:szCs w:val="24"/>
        </w:rPr>
      </w:pPr>
      <w:r w:rsidRPr="00E469B7">
        <w:rPr>
          <w:rFonts w:ascii="Segoe UI" w:hAnsi="Segoe UI" w:cs="Segoe UI"/>
          <w:sz w:val="24"/>
          <w:szCs w:val="24"/>
        </w:rPr>
        <w:t>Après deux années de ralentissement, l’activité mondiale accélérerait en 2017 et dans une moindre mesure en 2018. Le taux de croissance de l’économie mondiale ressortirait en 2017 et 2018 respectivement à 3,5% et 3,6% contre 3,1% en 2016 et 3,4% en 2015. Cette accélération serait portée essentiellement par un rebond aux Etats Unis et un affermissement de l’activité dans les pays émergents et en développement. Du côté de l’inflation, il est attendu une hausse globale des prix, en lien notamment avec la remontée des cours des produits de base dont le pétrole.</w:t>
      </w:r>
    </w:p>
    <w:p w14:paraId="26DA366F" w14:textId="77777777" w:rsidR="00E469B7" w:rsidRPr="00E469B7" w:rsidRDefault="00E469B7" w:rsidP="00E469B7">
      <w:pPr>
        <w:spacing w:before="120" w:after="120" w:line="360" w:lineRule="auto"/>
        <w:ind w:left="360"/>
        <w:jc w:val="both"/>
        <w:rPr>
          <w:rFonts w:ascii="Segoe UI" w:hAnsi="Segoe UI" w:cs="Segoe UI"/>
          <w:sz w:val="24"/>
          <w:szCs w:val="24"/>
        </w:rPr>
      </w:pPr>
      <w:r w:rsidRPr="00E469B7">
        <w:rPr>
          <w:rFonts w:ascii="Segoe UI" w:hAnsi="Segoe UI" w:cs="Segoe UI"/>
          <w:b/>
          <w:sz w:val="24"/>
          <w:szCs w:val="24"/>
        </w:rPr>
        <w:t>Aux Etats-Unis</w:t>
      </w:r>
      <w:r w:rsidRPr="00E469B7">
        <w:rPr>
          <w:rFonts w:ascii="Segoe UI" w:hAnsi="Segoe UI" w:cs="Segoe UI"/>
          <w:sz w:val="24"/>
          <w:szCs w:val="24"/>
        </w:rPr>
        <w:t>, le produit intérieur brut réel devrait s’accélérer pour atteindre 2,3% et 2,5%, respectivement en 2017 et 2018 contre 1,6% en 2016. Cette amélioration des perspectives à court terme s’explique par une reprise cyclique dans l’accumulation des stocks, une croissance solide de la consommation et l’hypothèse d’un relâchement de la politique budgétaire. Le taux d’inflation ressortirait à 2,7% en 2017 contre 1,3 % en 2016, soutenu par la remontée des prix de l’énergie.</w:t>
      </w:r>
    </w:p>
    <w:p w14:paraId="1C671718" w14:textId="77777777" w:rsidR="00E469B7" w:rsidRPr="00E469B7" w:rsidRDefault="00E469B7" w:rsidP="00E469B7">
      <w:pPr>
        <w:spacing w:before="120" w:after="120" w:line="360" w:lineRule="auto"/>
        <w:ind w:left="360"/>
        <w:jc w:val="both"/>
        <w:rPr>
          <w:rFonts w:ascii="Segoe UI" w:hAnsi="Segoe UI" w:cs="Segoe UI"/>
          <w:sz w:val="24"/>
          <w:szCs w:val="24"/>
        </w:rPr>
      </w:pPr>
      <w:r w:rsidRPr="00E469B7">
        <w:rPr>
          <w:rFonts w:ascii="Segoe UI" w:hAnsi="Segoe UI" w:cs="Segoe UI"/>
          <w:b/>
          <w:sz w:val="24"/>
          <w:szCs w:val="24"/>
        </w:rPr>
        <w:t>Dans la Zone euro</w:t>
      </w:r>
      <w:r w:rsidRPr="00E469B7">
        <w:rPr>
          <w:rFonts w:ascii="Segoe UI" w:hAnsi="Segoe UI" w:cs="Segoe UI"/>
          <w:sz w:val="24"/>
          <w:szCs w:val="24"/>
        </w:rPr>
        <w:t>, la croissance devrait se stabiliser autour de 1,7% en 2017 comme en 2016, favorisée par un ensemble de facteurs, notamment une politique budgétaire légèrement expansionniste, des conditions financières accommodantes, une monnaie plus faible et les retombées bénéfiques d’une relance budgétaire probable aux États-Unis. L’inflation serait en hausse de 1,7% en 2017 contre 0,2% en 2016, en partie à cause des prix de l’énergie et des produits alimentaires.</w:t>
      </w:r>
    </w:p>
    <w:p w14:paraId="39EDB43C" w14:textId="77777777" w:rsidR="00E469B7" w:rsidRPr="00E469B7" w:rsidRDefault="00E469B7" w:rsidP="00E469B7">
      <w:pPr>
        <w:spacing w:before="120" w:after="120" w:line="360" w:lineRule="auto"/>
        <w:ind w:left="360"/>
        <w:jc w:val="both"/>
        <w:rPr>
          <w:rFonts w:ascii="Segoe UI" w:hAnsi="Segoe UI" w:cs="Segoe UI"/>
          <w:sz w:val="24"/>
          <w:szCs w:val="24"/>
        </w:rPr>
      </w:pPr>
      <w:r w:rsidRPr="00E469B7">
        <w:rPr>
          <w:rFonts w:ascii="Segoe UI" w:hAnsi="Segoe UI" w:cs="Segoe UI"/>
          <w:b/>
          <w:sz w:val="24"/>
          <w:szCs w:val="24"/>
        </w:rPr>
        <w:t>En Chine</w:t>
      </w:r>
      <w:r w:rsidRPr="00E469B7">
        <w:rPr>
          <w:rFonts w:ascii="Segoe UI" w:hAnsi="Segoe UI" w:cs="Segoe UI"/>
          <w:sz w:val="24"/>
          <w:szCs w:val="24"/>
        </w:rPr>
        <w:t xml:space="preserve">, la croissance devrait poursuivre son ralentissement tout en restant robuste en 2017. Le taux s’afficherait à 6,6% contre 6,7% en 2016. Cette situation serait en lien avec les mesures de soutien à l’activité mises en place par les autorités, notamment le recours à l’investissement public pour atteindre les </w:t>
      </w:r>
      <w:r w:rsidRPr="00E469B7">
        <w:rPr>
          <w:rFonts w:ascii="Segoe UI" w:hAnsi="Segoe UI" w:cs="Segoe UI"/>
          <w:sz w:val="24"/>
          <w:szCs w:val="24"/>
        </w:rPr>
        <w:lastRenderedPageBreak/>
        <w:t>objectifs de croissance. Au niveau des prix, Il est attendu un taux d’inflation de 2,4% en 2017 contre 2,0% en 2016.</w:t>
      </w:r>
    </w:p>
    <w:p w14:paraId="6F282455" w14:textId="77777777" w:rsidR="00E469B7" w:rsidRPr="00E469B7" w:rsidRDefault="00E469B7" w:rsidP="00E469B7">
      <w:pPr>
        <w:autoSpaceDE w:val="0"/>
        <w:autoSpaceDN w:val="0"/>
        <w:adjustRightInd w:val="0"/>
        <w:spacing w:before="120" w:after="120" w:line="360" w:lineRule="auto"/>
        <w:ind w:left="360"/>
        <w:jc w:val="both"/>
        <w:rPr>
          <w:rFonts w:ascii="Segoe UI" w:hAnsi="Segoe UI" w:cs="Segoe UI"/>
          <w:sz w:val="24"/>
          <w:szCs w:val="24"/>
        </w:rPr>
      </w:pPr>
      <w:r w:rsidRPr="00E469B7">
        <w:rPr>
          <w:rFonts w:ascii="Segoe UI" w:hAnsi="Segoe UI" w:cs="Segoe UI"/>
          <w:b/>
          <w:sz w:val="24"/>
          <w:szCs w:val="24"/>
        </w:rPr>
        <w:t>En Afrique subsaharienne</w:t>
      </w:r>
      <w:r w:rsidRPr="00E469B7">
        <w:rPr>
          <w:rFonts w:ascii="Segoe UI" w:hAnsi="Segoe UI" w:cs="Segoe UI"/>
          <w:sz w:val="24"/>
          <w:szCs w:val="24"/>
        </w:rPr>
        <w:t>, il est prévu une reprise modeste en 2017. La croissance devrait passer à 2,6% en 2017 contre 1,4% en 2016. Les prix seraient également globalement orientés à la hausse en 2017. En effet, l’inflation devrait rester supérieure à 10% en 2017 dans un petit nombre de grands pays d’Afrique subsaharienne (par exemple Nigéria, Angola, Ghana), du fait, entre autres, des répercussions des fortes dépréciations monétaires.</w:t>
      </w:r>
    </w:p>
    <w:p w14:paraId="7206B61B" w14:textId="77777777" w:rsidR="00E469B7" w:rsidRPr="00E469B7" w:rsidRDefault="00E469B7" w:rsidP="00E469B7">
      <w:pPr>
        <w:autoSpaceDE w:val="0"/>
        <w:autoSpaceDN w:val="0"/>
        <w:adjustRightInd w:val="0"/>
        <w:spacing w:before="120" w:after="120" w:line="360" w:lineRule="auto"/>
        <w:ind w:left="360"/>
        <w:jc w:val="both"/>
        <w:rPr>
          <w:rFonts w:ascii="Segoe UI" w:hAnsi="Segoe UI" w:cs="Segoe UI"/>
          <w:sz w:val="24"/>
          <w:szCs w:val="24"/>
        </w:rPr>
      </w:pPr>
      <w:r w:rsidRPr="00E469B7">
        <w:rPr>
          <w:rFonts w:ascii="Segoe UI" w:hAnsi="Segoe UI" w:cs="Segoe UI"/>
          <w:b/>
          <w:sz w:val="24"/>
          <w:szCs w:val="24"/>
        </w:rPr>
        <w:t>Au Nigeria</w:t>
      </w:r>
      <w:r w:rsidRPr="00E469B7">
        <w:rPr>
          <w:rFonts w:ascii="Segoe UI" w:hAnsi="Segoe UI" w:cs="Segoe UI"/>
          <w:sz w:val="24"/>
          <w:szCs w:val="24"/>
        </w:rPr>
        <w:t xml:space="preserve"> où l’essentiel des revenus est tiré du pétrole, l’économie enregistrerait un rebond pour s’afficher à 0,8% en 2017 contre une baisse de 1,5% en 2016. Ce regain de croissance est dû au redressement de la production pétrolière, à une croissance persistante dans l’agriculture ainsi qu’une augmentation de l’investissement public.</w:t>
      </w:r>
    </w:p>
    <w:p w14:paraId="068512F0" w14:textId="77777777" w:rsidR="00E469B7" w:rsidRPr="00E469B7" w:rsidRDefault="00E469B7" w:rsidP="00E469B7">
      <w:pPr>
        <w:spacing w:before="120" w:after="120" w:line="360" w:lineRule="auto"/>
        <w:ind w:left="360"/>
        <w:jc w:val="both"/>
        <w:rPr>
          <w:rFonts w:ascii="Segoe UI" w:hAnsi="Segoe UI" w:cs="Segoe UI"/>
          <w:sz w:val="24"/>
          <w:szCs w:val="24"/>
        </w:rPr>
      </w:pPr>
      <w:r w:rsidRPr="00E469B7">
        <w:rPr>
          <w:rFonts w:ascii="Segoe UI" w:hAnsi="Segoe UI" w:cs="Segoe UI"/>
          <w:b/>
          <w:sz w:val="24"/>
          <w:szCs w:val="24"/>
        </w:rPr>
        <w:t>Dans l’espace UEMOA</w:t>
      </w:r>
      <w:r w:rsidRPr="00E469B7">
        <w:rPr>
          <w:rFonts w:ascii="Segoe UI" w:hAnsi="Segoe UI" w:cs="Segoe UI"/>
          <w:sz w:val="24"/>
          <w:szCs w:val="24"/>
        </w:rPr>
        <w:t xml:space="preserve">, la croissance économique s’établirait à 6,5% en 2017 contre 6,3% en 2016. Cette accélération attendue dans tous les États membres, serait portée par une amélioration des performances de tous les secteurs, dans la plupart des États membres, en liaison essentiellement avec la mise en œuvre des programmes nationaux de développement. L’inflation, quant à elle, resterait en dessous de la norme des 3% prescrite dans le cadre de la surveillance multilatérale de l’Union. </w:t>
      </w:r>
    </w:p>
    <w:p w14:paraId="5214A630" w14:textId="77777777" w:rsidR="0044793C" w:rsidRPr="00943001" w:rsidRDefault="00667C3E" w:rsidP="0044793C">
      <w:pPr>
        <w:pStyle w:val="Titre2"/>
        <w:numPr>
          <w:ilvl w:val="0"/>
          <w:numId w:val="2"/>
        </w:numPr>
        <w:rPr>
          <w:rFonts w:ascii="Segoe UI" w:hAnsi="Segoe UI" w:cs="Segoe UI"/>
          <w:color w:val="auto"/>
          <w:sz w:val="24"/>
        </w:rPr>
      </w:pPr>
      <w:bookmarkStart w:id="5" w:name="_Toc484105602"/>
      <w:r w:rsidRPr="00943001">
        <w:rPr>
          <w:rFonts w:ascii="Segoe UI" w:hAnsi="Segoe UI" w:cs="Segoe UI"/>
          <w:color w:val="auto"/>
          <w:sz w:val="24"/>
        </w:rPr>
        <w:t>Environnement</w:t>
      </w:r>
      <w:r w:rsidR="004A7383" w:rsidRPr="00943001">
        <w:rPr>
          <w:rFonts w:ascii="Segoe UI" w:hAnsi="Segoe UI" w:cs="Segoe UI"/>
          <w:color w:val="auto"/>
          <w:sz w:val="24"/>
        </w:rPr>
        <w:t xml:space="preserve"> économique national</w:t>
      </w:r>
      <w:bookmarkEnd w:id="5"/>
    </w:p>
    <w:p w14:paraId="7D385D65" w14:textId="77777777" w:rsidR="001541CB" w:rsidRPr="00E82FB0" w:rsidRDefault="001541CB" w:rsidP="001541CB">
      <w:pPr>
        <w:rPr>
          <w:color w:val="FF0000"/>
          <w:sz w:val="6"/>
        </w:rPr>
      </w:pPr>
    </w:p>
    <w:p w14:paraId="16831EB0" w14:textId="77777777" w:rsidR="00252D74" w:rsidRPr="0097407B" w:rsidRDefault="00252D74" w:rsidP="00252D74">
      <w:pPr>
        <w:tabs>
          <w:tab w:val="left" w:pos="4820"/>
        </w:tabs>
        <w:spacing w:before="240" w:line="360" w:lineRule="auto"/>
        <w:jc w:val="both"/>
        <w:rPr>
          <w:rFonts w:ascii="Segoe UI" w:hAnsi="Segoe UI" w:cs="Segoe UI"/>
          <w:sz w:val="24"/>
          <w:szCs w:val="24"/>
        </w:rPr>
      </w:pPr>
      <w:r w:rsidRPr="0097407B">
        <w:rPr>
          <w:rFonts w:ascii="Segoe UI" w:hAnsi="Segoe UI" w:cs="Segoe UI"/>
          <w:sz w:val="24"/>
          <w:szCs w:val="24"/>
        </w:rPr>
        <w:t xml:space="preserve">La conjoncture économique nationale au premier trimestre 2017 a été marquée, entre autres, par une production cotonnière en nette augmentation, une hausse de l’indice global du chiffre d’affaires et un taux d’inflation ressorti négatif. </w:t>
      </w:r>
    </w:p>
    <w:p w14:paraId="3F3CFE5C" w14:textId="77777777" w:rsidR="00252D74" w:rsidRPr="0097407B" w:rsidRDefault="00252D74" w:rsidP="00252D74">
      <w:pPr>
        <w:spacing w:line="360" w:lineRule="auto"/>
        <w:jc w:val="both"/>
        <w:rPr>
          <w:rFonts w:ascii="Segoe UI" w:hAnsi="Segoe UI" w:cs="Segoe UI"/>
          <w:sz w:val="24"/>
          <w:szCs w:val="24"/>
        </w:rPr>
      </w:pPr>
      <w:r w:rsidRPr="0097407B">
        <w:rPr>
          <w:rFonts w:ascii="Segoe UI" w:hAnsi="Segoe UI" w:cs="Segoe UI"/>
          <w:sz w:val="24"/>
          <w:szCs w:val="24"/>
        </w:rPr>
        <w:t xml:space="preserve">En lien avec la production record enregistrée pour la campagne 2016/2017 (450 120 tonnes), enregistrant ainsi une hausse de plus de 67% par rapport à la campagne précédente, les objectifs de production se sont établis à 500.000 tonnes pour la </w:t>
      </w:r>
      <w:r w:rsidRPr="0097407B">
        <w:rPr>
          <w:rFonts w:ascii="Segoe UI" w:hAnsi="Segoe UI" w:cs="Segoe UI"/>
          <w:sz w:val="24"/>
          <w:szCs w:val="24"/>
        </w:rPr>
        <w:lastRenderedPageBreak/>
        <w:t xml:space="preserve">campagne 2017/2018. Cette embellie de la production de coton impacte favorablement l’ensemble des activités industrielles et de service rattachées au coton. </w:t>
      </w:r>
    </w:p>
    <w:p w14:paraId="21F6E0A5" w14:textId="77777777" w:rsidR="00252D74" w:rsidRPr="0097407B" w:rsidRDefault="00252D74" w:rsidP="00252D74">
      <w:pPr>
        <w:spacing w:line="360" w:lineRule="auto"/>
        <w:jc w:val="both"/>
        <w:rPr>
          <w:rFonts w:ascii="Segoe UI" w:hAnsi="Segoe UI" w:cs="Segoe UI"/>
          <w:sz w:val="24"/>
          <w:szCs w:val="24"/>
        </w:rPr>
      </w:pPr>
      <w:r w:rsidRPr="0097407B">
        <w:rPr>
          <w:rFonts w:ascii="Segoe UI" w:hAnsi="Segoe UI" w:cs="Segoe UI"/>
          <w:sz w:val="24"/>
          <w:szCs w:val="24"/>
        </w:rPr>
        <w:t>L'</w:t>
      </w:r>
      <w:r w:rsidRPr="0097407B">
        <w:rPr>
          <w:rFonts w:ascii="Segoe UI" w:hAnsi="Segoe UI" w:cs="Segoe UI"/>
          <w:b/>
          <w:sz w:val="24"/>
          <w:szCs w:val="24"/>
        </w:rPr>
        <w:t xml:space="preserve">indice global du chiffre d'affaires </w:t>
      </w:r>
      <w:r w:rsidRPr="0097407B">
        <w:rPr>
          <w:rFonts w:ascii="Segoe UI" w:hAnsi="Segoe UI" w:cs="Segoe UI"/>
          <w:sz w:val="24"/>
          <w:szCs w:val="24"/>
        </w:rPr>
        <w:t xml:space="preserve">au premier trimestre 2017, montre un regain de l’activité économique par rapport au quatrième trimestre 2016. L’amélioration de l’activité au cours du trimestre est imputable à toutes les branches d’activité à l’exception du Commerce, de l’Energie et des Industries manufacturières. </w:t>
      </w:r>
    </w:p>
    <w:p w14:paraId="1714EFE3" w14:textId="77777777" w:rsidR="00252D74" w:rsidRPr="0097407B" w:rsidRDefault="00252D74" w:rsidP="00252D74">
      <w:pPr>
        <w:spacing w:line="360" w:lineRule="auto"/>
        <w:jc w:val="both"/>
        <w:rPr>
          <w:rFonts w:ascii="Segoe UI" w:hAnsi="Segoe UI" w:cs="Segoe UI"/>
          <w:sz w:val="24"/>
          <w:szCs w:val="24"/>
        </w:rPr>
      </w:pPr>
      <w:r w:rsidRPr="0097407B">
        <w:rPr>
          <w:rFonts w:ascii="Segoe UI" w:hAnsi="Segoe UI" w:cs="Segoe UI"/>
          <w:sz w:val="24"/>
          <w:szCs w:val="24"/>
        </w:rPr>
        <w:t xml:space="preserve">Le </w:t>
      </w:r>
      <w:r w:rsidRPr="0097407B">
        <w:rPr>
          <w:rFonts w:ascii="Segoe UI" w:hAnsi="Segoe UI" w:cs="Segoe UI"/>
          <w:b/>
          <w:sz w:val="24"/>
          <w:szCs w:val="24"/>
        </w:rPr>
        <w:t>taux d’inflation</w:t>
      </w:r>
      <w:r w:rsidRPr="0097407B">
        <w:rPr>
          <w:rFonts w:ascii="Segoe UI" w:hAnsi="Segoe UI" w:cs="Segoe UI"/>
          <w:sz w:val="24"/>
          <w:szCs w:val="24"/>
        </w:rPr>
        <w:t xml:space="preserve">, mesuré par l’indicateur de convergence de l’Union Economique et Monétaire Ouest Africaine (UEMOA), situe à fin mars 2017, l'évolution des prix </w:t>
      </w:r>
      <w:proofErr w:type="gramStart"/>
      <w:r w:rsidRPr="0097407B">
        <w:rPr>
          <w:rFonts w:ascii="Segoe UI" w:hAnsi="Segoe UI" w:cs="Segoe UI"/>
          <w:sz w:val="24"/>
          <w:szCs w:val="24"/>
        </w:rPr>
        <w:t>à</w:t>
      </w:r>
      <w:proofErr w:type="gramEnd"/>
      <w:r w:rsidRPr="0097407B">
        <w:rPr>
          <w:rFonts w:ascii="Segoe UI" w:hAnsi="Segoe UI" w:cs="Segoe UI"/>
          <w:sz w:val="24"/>
          <w:szCs w:val="24"/>
        </w:rPr>
        <w:t xml:space="preserve"> -1,2%, l'inscrivant ainsi au-dessous du plafond de 3,0% prévu dans le cadre de la surveillance multilatérale au sein des Etats membres. Cette diminution est principalement liée au recul des prix observé au niveau de la fonction de consommation "Produits alimentaires, boissons et tabac". </w:t>
      </w:r>
    </w:p>
    <w:p w14:paraId="1943980E" w14:textId="77777777" w:rsidR="00252D74" w:rsidRPr="0097407B" w:rsidRDefault="00252D74" w:rsidP="00252D74">
      <w:pPr>
        <w:spacing w:line="360" w:lineRule="auto"/>
        <w:jc w:val="both"/>
        <w:rPr>
          <w:rFonts w:ascii="Segoe UI" w:hAnsi="Segoe UI" w:cs="Segoe UI"/>
          <w:sz w:val="24"/>
          <w:szCs w:val="24"/>
        </w:rPr>
      </w:pPr>
      <w:r w:rsidRPr="0097407B">
        <w:rPr>
          <w:rFonts w:ascii="Segoe UI" w:hAnsi="Segoe UI" w:cs="Segoe UI"/>
          <w:sz w:val="24"/>
          <w:szCs w:val="24"/>
        </w:rPr>
        <w:t>En perspective, en se basant sur les orientations économiques nationales et en tenant compte des perspectives de l’environnement international et sous régional pour 2017, le taux de croissance se situerait entre 5,4% et 6,0%. Cette accélération de la croissance par rapport à 2016</w:t>
      </w:r>
      <w:r w:rsidRPr="0097407B">
        <w:rPr>
          <w:rStyle w:val="Appelnotedebasdep"/>
          <w:rFonts w:ascii="Segoe UI" w:hAnsi="Segoe UI" w:cs="Segoe UI"/>
          <w:sz w:val="24"/>
          <w:szCs w:val="24"/>
        </w:rPr>
        <w:footnoteReference w:id="1"/>
      </w:r>
      <w:r w:rsidRPr="0097407B">
        <w:rPr>
          <w:rFonts w:ascii="Segoe UI" w:hAnsi="Segoe UI" w:cs="Segoe UI"/>
          <w:sz w:val="24"/>
          <w:szCs w:val="24"/>
        </w:rPr>
        <w:t>, serait soutenue par :</w:t>
      </w:r>
    </w:p>
    <w:p w14:paraId="512D1A97" w14:textId="77777777" w:rsidR="00252D74" w:rsidRDefault="00252D74" w:rsidP="00252D74">
      <w:pPr>
        <w:pStyle w:val="Paragraphedeliste"/>
        <w:numPr>
          <w:ilvl w:val="0"/>
          <w:numId w:val="35"/>
        </w:numPr>
        <w:spacing w:after="160" w:line="360" w:lineRule="auto"/>
        <w:jc w:val="both"/>
        <w:rPr>
          <w:rFonts w:ascii="Segoe UI" w:hAnsi="Segoe UI" w:cs="Segoe UI"/>
          <w:sz w:val="24"/>
          <w:szCs w:val="24"/>
        </w:rPr>
      </w:pPr>
      <w:r w:rsidRPr="00252D74">
        <w:rPr>
          <w:rFonts w:ascii="Segoe UI" w:hAnsi="Segoe UI" w:cs="Segoe UI"/>
          <w:sz w:val="24"/>
          <w:szCs w:val="24"/>
        </w:rPr>
        <w:t>la mise en œuvre des projets phares du Gouvernement dans le secteur de l’agriculture, notamment la promotion de nouvelles filières d’exportation (</w:t>
      </w:r>
      <w:r w:rsidRPr="00252D74">
        <w:rPr>
          <w:rFonts w:ascii="Segoe UI" w:hAnsi="Segoe UI" w:cs="Segoe UI"/>
          <w:b/>
          <w:i/>
          <w:sz w:val="24"/>
          <w:szCs w:val="24"/>
        </w:rPr>
        <w:t>ananas, anacarde, produits maraichers), et des filières conventionnelles (riz, maïs, et manioc</w:t>
      </w:r>
      <w:r w:rsidRPr="00252D74">
        <w:rPr>
          <w:rFonts w:ascii="Segoe UI" w:hAnsi="Segoe UI" w:cs="Segoe UI"/>
          <w:sz w:val="24"/>
          <w:szCs w:val="24"/>
        </w:rPr>
        <w:t>) ;</w:t>
      </w:r>
    </w:p>
    <w:p w14:paraId="4A61F3F6" w14:textId="77777777" w:rsidR="00252D74" w:rsidRDefault="00252D74" w:rsidP="00252D74">
      <w:pPr>
        <w:pStyle w:val="Paragraphedeliste"/>
        <w:numPr>
          <w:ilvl w:val="0"/>
          <w:numId w:val="35"/>
        </w:numPr>
        <w:spacing w:after="160" w:line="360" w:lineRule="auto"/>
        <w:jc w:val="both"/>
        <w:rPr>
          <w:rFonts w:ascii="Segoe UI" w:hAnsi="Segoe UI" w:cs="Segoe UI"/>
          <w:sz w:val="24"/>
          <w:szCs w:val="24"/>
        </w:rPr>
      </w:pPr>
      <w:r w:rsidRPr="00252D74">
        <w:rPr>
          <w:rFonts w:ascii="Segoe UI" w:hAnsi="Segoe UI" w:cs="Segoe UI"/>
          <w:sz w:val="24"/>
          <w:szCs w:val="24"/>
        </w:rPr>
        <w:t>une hausse de la production de coton pour la campagne 2017/2018 ;</w:t>
      </w:r>
    </w:p>
    <w:p w14:paraId="2AD90DCB" w14:textId="77777777" w:rsidR="00252D74" w:rsidRDefault="00252D74" w:rsidP="00252D74">
      <w:pPr>
        <w:pStyle w:val="Paragraphedeliste"/>
        <w:numPr>
          <w:ilvl w:val="0"/>
          <w:numId w:val="35"/>
        </w:numPr>
        <w:spacing w:after="160" w:line="360" w:lineRule="auto"/>
        <w:jc w:val="both"/>
        <w:rPr>
          <w:rFonts w:ascii="Segoe UI" w:hAnsi="Segoe UI" w:cs="Segoe UI"/>
          <w:sz w:val="24"/>
          <w:szCs w:val="24"/>
        </w:rPr>
      </w:pPr>
      <w:r w:rsidRPr="00252D74">
        <w:rPr>
          <w:rFonts w:ascii="Segoe UI" w:hAnsi="Segoe UI" w:cs="Segoe UI"/>
          <w:sz w:val="24"/>
          <w:szCs w:val="24"/>
        </w:rPr>
        <w:t>la hausse de l’activité d’égrenage, en lien avec l’augmentation de la production de coton au cours de la campagne 2016/2017 ;</w:t>
      </w:r>
    </w:p>
    <w:p w14:paraId="63F2EE06" w14:textId="77777777" w:rsidR="00252D74" w:rsidRDefault="00252D74" w:rsidP="00252D74">
      <w:pPr>
        <w:pStyle w:val="Paragraphedeliste"/>
        <w:numPr>
          <w:ilvl w:val="0"/>
          <w:numId w:val="35"/>
        </w:numPr>
        <w:spacing w:after="160" w:line="360" w:lineRule="auto"/>
        <w:jc w:val="both"/>
        <w:rPr>
          <w:rFonts w:ascii="Segoe UI" w:hAnsi="Segoe UI" w:cs="Segoe UI"/>
          <w:sz w:val="24"/>
          <w:szCs w:val="24"/>
        </w:rPr>
      </w:pPr>
      <w:r w:rsidRPr="00252D74">
        <w:rPr>
          <w:rFonts w:ascii="Segoe UI" w:hAnsi="Segoe UI" w:cs="Segoe UI"/>
          <w:sz w:val="24"/>
          <w:szCs w:val="24"/>
        </w:rPr>
        <w:t>la bonne tenue de la transformation artisanale des produits agricoles, en raison de la hausse anticipée dans le secteur agricole ;</w:t>
      </w:r>
    </w:p>
    <w:p w14:paraId="79A24EBE" w14:textId="77777777" w:rsidR="00252D74" w:rsidRDefault="00252D74" w:rsidP="00252D74">
      <w:pPr>
        <w:pStyle w:val="Paragraphedeliste"/>
        <w:numPr>
          <w:ilvl w:val="0"/>
          <w:numId w:val="35"/>
        </w:numPr>
        <w:spacing w:after="160" w:line="360" w:lineRule="auto"/>
        <w:jc w:val="both"/>
        <w:rPr>
          <w:rFonts w:ascii="Segoe UI" w:hAnsi="Segoe UI" w:cs="Segoe UI"/>
          <w:sz w:val="24"/>
          <w:szCs w:val="24"/>
        </w:rPr>
      </w:pPr>
      <w:r w:rsidRPr="00252D74">
        <w:rPr>
          <w:rFonts w:ascii="Segoe UI" w:hAnsi="Segoe UI" w:cs="Segoe UI"/>
          <w:sz w:val="24"/>
          <w:szCs w:val="24"/>
        </w:rPr>
        <w:lastRenderedPageBreak/>
        <w:t>le dynamisme du secteur des BTP en lien avec la hausse prévisionnelle des investissements publics portée par l’ouverture des chantiers de construction d’infrastructures socio-économiques prévues au Programme d’Actions du Gouvernement (routes, logements sociaux, etc.) ;</w:t>
      </w:r>
    </w:p>
    <w:p w14:paraId="62B3C4CF" w14:textId="77777777" w:rsidR="00252D74" w:rsidRDefault="00252D74" w:rsidP="00252D74">
      <w:pPr>
        <w:pStyle w:val="Paragraphedeliste"/>
        <w:numPr>
          <w:ilvl w:val="0"/>
          <w:numId w:val="35"/>
        </w:numPr>
        <w:spacing w:after="160" w:line="360" w:lineRule="auto"/>
        <w:jc w:val="both"/>
        <w:rPr>
          <w:rFonts w:ascii="Segoe UI" w:hAnsi="Segoe UI" w:cs="Segoe UI"/>
          <w:sz w:val="24"/>
          <w:szCs w:val="24"/>
        </w:rPr>
      </w:pPr>
      <w:r w:rsidRPr="00252D74">
        <w:rPr>
          <w:rFonts w:ascii="Segoe UI" w:hAnsi="Segoe UI" w:cs="Segoe UI"/>
          <w:sz w:val="24"/>
          <w:szCs w:val="24"/>
        </w:rPr>
        <w:t>l’amélioration de l’offre d’énergie électrique, imputable à court terme à la réhabilitation des capacités de production existantes ;</w:t>
      </w:r>
    </w:p>
    <w:p w14:paraId="259227B8" w14:textId="77777777" w:rsidR="00252D74" w:rsidRDefault="00252D74" w:rsidP="00252D74">
      <w:pPr>
        <w:pStyle w:val="Paragraphedeliste"/>
        <w:numPr>
          <w:ilvl w:val="0"/>
          <w:numId w:val="35"/>
        </w:numPr>
        <w:spacing w:after="160" w:line="360" w:lineRule="auto"/>
        <w:jc w:val="both"/>
        <w:rPr>
          <w:rFonts w:ascii="Segoe UI" w:hAnsi="Segoe UI" w:cs="Segoe UI"/>
          <w:sz w:val="24"/>
          <w:szCs w:val="24"/>
        </w:rPr>
      </w:pPr>
      <w:r w:rsidRPr="00252D74">
        <w:rPr>
          <w:rFonts w:ascii="Segoe UI" w:hAnsi="Segoe UI" w:cs="Segoe UI"/>
          <w:sz w:val="24"/>
          <w:szCs w:val="24"/>
        </w:rPr>
        <w:t>la hausse du trafic au Port de Cotonou, soutenue par l’amélioration de la conjoncture aux plans international et sous régional et par la fin des travaux confortatifs du deuxième quai construit sur financement du 1</w:t>
      </w:r>
      <w:r w:rsidRPr="00252D74">
        <w:rPr>
          <w:rFonts w:ascii="Segoe UI" w:hAnsi="Segoe UI" w:cs="Segoe UI"/>
          <w:sz w:val="24"/>
          <w:szCs w:val="24"/>
          <w:vertAlign w:val="superscript"/>
        </w:rPr>
        <w:t>er</w:t>
      </w:r>
      <w:r w:rsidRPr="00252D74">
        <w:rPr>
          <w:rFonts w:ascii="Segoe UI" w:hAnsi="Segoe UI" w:cs="Segoe UI"/>
          <w:sz w:val="24"/>
          <w:szCs w:val="24"/>
        </w:rPr>
        <w:t xml:space="preserve"> Compact du Millenium Challenge </w:t>
      </w:r>
      <w:proofErr w:type="spellStart"/>
      <w:r w:rsidRPr="00252D74">
        <w:rPr>
          <w:rFonts w:ascii="Segoe UI" w:hAnsi="Segoe UI" w:cs="Segoe UI"/>
          <w:sz w:val="24"/>
          <w:szCs w:val="24"/>
        </w:rPr>
        <w:t>Account</w:t>
      </w:r>
      <w:proofErr w:type="spellEnd"/>
      <w:r w:rsidRPr="00252D74">
        <w:rPr>
          <w:rFonts w:ascii="Segoe UI" w:hAnsi="Segoe UI" w:cs="Segoe UI"/>
          <w:sz w:val="24"/>
          <w:szCs w:val="24"/>
        </w:rPr>
        <w:t xml:space="preserve"> (MCA) ;</w:t>
      </w:r>
    </w:p>
    <w:p w14:paraId="730A949C" w14:textId="77777777" w:rsidR="00252D74" w:rsidRPr="00252D74" w:rsidRDefault="00252D74" w:rsidP="00252D74">
      <w:pPr>
        <w:pStyle w:val="Paragraphedeliste"/>
        <w:numPr>
          <w:ilvl w:val="0"/>
          <w:numId w:val="35"/>
        </w:numPr>
        <w:spacing w:after="160" w:line="360" w:lineRule="auto"/>
        <w:jc w:val="both"/>
        <w:rPr>
          <w:rFonts w:ascii="Segoe UI" w:hAnsi="Segoe UI" w:cs="Segoe UI"/>
          <w:sz w:val="24"/>
          <w:szCs w:val="24"/>
        </w:rPr>
      </w:pPr>
      <w:r w:rsidRPr="00252D74">
        <w:rPr>
          <w:rFonts w:ascii="Segoe UI" w:hAnsi="Segoe UI" w:cs="Segoe UI"/>
          <w:sz w:val="24"/>
          <w:szCs w:val="24"/>
        </w:rPr>
        <w:t>le renforcement de la lutte contre la fraude et l’évasion fiscales.</w:t>
      </w:r>
    </w:p>
    <w:p w14:paraId="2B5589D9" w14:textId="77777777" w:rsidR="002C11DF" w:rsidRPr="001541CB" w:rsidRDefault="00381F7F" w:rsidP="002C11DF">
      <w:pPr>
        <w:pStyle w:val="Titre1"/>
        <w:numPr>
          <w:ilvl w:val="0"/>
          <w:numId w:val="1"/>
        </w:numPr>
        <w:spacing w:before="360"/>
        <w:rPr>
          <w:rFonts w:ascii="Segoe UI" w:hAnsi="Segoe UI" w:cs="Segoe UI"/>
          <w:sz w:val="24"/>
          <w:szCs w:val="26"/>
        </w:rPr>
      </w:pPr>
      <w:bookmarkStart w:id="6" w:name="_Toc484105603"/>
      <w:r w:rsidRPr="001541CB">
        <w:rPr>
          <w:rFonts w:ascii="Segoe UI" w:hAnsi="Segoe UI" w:cs="Segoe UI"/>
          <w:sz w:val="24"/>
          <w:szCs w:val="26"/>
        </w:rPr>
        <w:t>SITUATION D’</w:t>
      </w:r>
      <w:r w:rsidR="002C11DF" w:rsidRPr="001541CB">
        <w:rPr>
          <w:rFonts w:ascii="Segoe UI" w:hAnsi="Segoe UI" w:cs="Segoe UI"/>
          <w:sz w:val="24"/>
          <w:szCs w:val="26"/>
        </w:rPr>
        <w:t xml:space="preserve">EXECUTION DU BUDGET DE L’ETAT </w:t>
      </w:r>
      <w:r w:rsidRPr="001541CB">
        <w:rPr>
          <w:rFonts w:ascii="Segoe UI" w:hAnsi="Segoe UI" w:cs="Segoe UI"/>
          <w:sz w:val="24"/>
          <w:szCs w:val="26"/>
        </w:rPr>
        <w:t>AU 3</w:t>
      </w:r>
      <w:r w:rsidR="001F5B2E" w:rsidRPr="001541CB">
        <w:rPr>
          <w:rFonts w:ascii="Segoe UI" w:hAnsi="Segoe UI" w:cs="Segoe UI"/>
          <w:sz w:val="24"/>
          <w:szCs w:val="26"/>
        </w:rPr>
        <w:t>1</w:t>
      </w:r>
      <w:r w:rsidR="007D5E09" w:rsidRPr="001541CB">
        <w:rPr>
          <w:rFonts w:ascii="Segoe UI" w:hAnsi="Segoe UI" w:cs="Segoe UI"/>
          <w:sz w:val="24"/>
          <w:szCs w:val="26"/>
        </w:rPr>
        <w:t xml:space="preserve"> </w:t>
      </w:r>
      <w:r w:rsidR="00792ACF" w:rsidRPr="001541CB">
        <w:rPr>
          <w:rFonts w:ascii="Segoe UI" w:hAnsi="Segoe UI" w:cs="Segoe UI"/>
          <w:sz w:val="24"/>
          <w:szCs w:val="26"/>
        </w:rPr>
        <w:t>MARS</w:t>
      </w:r>
      <w:r w:rsidR="00C01AD2" w:rsidRPr="001541CB">
        <w:rPr>
          <w:rFonts w:ascii="Segoe UI" w:hAnsi="Segoe UI" w:cs="Segoe UI"/>
          <w:sz w:val="24"/>
          <w:szCs w:val="26"/>
        </w:rPr>
        <w:t xml:space="preserve"> </w:t>
      </w:r>
      <w:r w:rsidR="002C11DF" w:rsidRPr="001541CB">
        <w:rPr>
          <w:rFonts w:ascii="Segoe UI" w:hAnsi="Segoe UI" w:cs="Segoe UI"/>
          <w:sz w:val="24"/>
          <w:szCs w:val="26"/>
        </w:rPr>
        <w:t>201</w:t>
      </w:r>
      <w:r w:rsidR="008F0BB1" w:rsidRPr="001541CB">
        <w:rPr>
          <w:rFonts w:ascii="Segoe UI" w:hAnsi="Segoe UI" w:cs="Segoe UI"/>
          <w:sz w:val="24"/>
          <w:szCs w:val="26"/>
        </w:rPr>
        <w:t>7</w:t>
      </w:r>
      <w:bookmarkEnd w:id="6"/>
    </w:p>
    <w:p w14:paraId="0B960315" w14:textId="77777777" w:rsidR="002C11DF" w:rsidRPr="001541CB" w:rsidRDefault="002C11DF" w:rsidP="009B6995">
      <w:pPr>
        <w:pStyle w:val="Titre2"/>
        <w:numPr>
          <w:ilvl w:val="0"/>
          <w:numId w:val="4"/>
        </w:numPr>
        <w:spacing w:before="0"/>
        <w:rPr>
          <w:rFonts w:ascii="Segoe UI" w:hAnsi="Segoe UI" w:cs="Segoe UI"/>
          <w:sz w:val="24"/>
        </w:rPr>
      </w:pPr>
      <w:bookmarkStart w:id="7" w:name="_Toc484105604"/>
      <w:r w:rsidRPr="001541CB">
        <w:rPr>
          <w:rFonts w:ascii="Segoe UI" w:hAnsi="Segoe UI" w:cs="Segoe UI"/>
          <w:sz w:val="24"/>
        </w:rPr>
        <w:t>Recettes budgétaires</w:t>
      </w:r>
      <w:bookmarkEnd w:id="7"/>
    </w:p>
    <w:p w14:paraId="1500E76A" w14:textId="77777777" w:rsidR="002C11DF" w:rsidRPr="001541CB" w:rsidRDefault="002C11DF" w:rsidP="001656E1">
      <w:pPr>
        <w:spacing w:after="0"/>
        <w:rPr>
          <w:rFonts w:ascii="Segoe UI" w:hAnsi="Segoe UI" w:cs="Segoe UI"/>
          <w:sz w:val="16"/>
          <w:szCs w:val="26"/>
        </w:rPr>
      </w:pPr>
    </w:p>
    <w:p w14:paraId="5EBA9C7B" w14:textId="77777777" w:rsidR="00256019" w:rsidRPr="001541CB" w:rsidRDefault="00256019" w:rsidP="00256019">
      <w:pPr>
        <w:spacing w:after="0" w:line="360" w:lineRule="auto"/>
        <w:jc w:val="both"/>
        <w:rPr>
          <w:rFonts w:ascii="Segoe UI" w:hAnsi="Segoe UI" w:cs="Segoe UI"/>
          <w:bCs/>
          <w:iCs/>
          <w:sz w:val="24"/>
          <w:szCs w:val="26"/>
        </w:rPr>
      </w:pPr>
      <w:r w:rsidRPr="001541CB">
        <w:rPr>
          <w:rFonts w:ascii="Segoe UI" w:hAnsi="Segoe UI" w:cs="Segoe UI"/>
          <w:bCs/>
          <w:iCs/>
          <w:sz w:val="24"/>
          <w:szCs w:val="26"/>
        </w:rPr>
        <w:t xml:space="preserve">Les </w:t>
      </w:r>
      <w:r w:rsidR="00B21DBC" w:rsidRPr="001541CB">
        <w:rPr>
          <w:rFonts w:ascii="Segoe UI" w:hAnsi="Segoe UI" w:cs="Segoe UI"/>
          <w:bCs/>
          <w:iCs/>
          <w:sz w:val="24"/>
          <w:szCs w:val="26"/>
        </w:rPr>
        <w:t xml:space="preserve">éléments constitutifs des </w:t>
      </w:r>
      <w:r w:rsidRPr="001541CB">
        <w:rPr>
          <w:rFonts w:ascii="Segoe UI" w:hAnsi="Segoe UI" w:cs="Segoe UI"/>
          <w:bCs/>
          <w:iCs/>
          <w:sz w:val="24"/>
          <w:szCs w:val="26"/>
        </w:rPr>
        <w:t xml:space="preserve">recettes budgétaires </w:t>
      </w:r>
      <w:r w:rsidR="00B21DBC" w:rsidRPr="001541CB">
        <w:rPr>
          <w:rFonts w:ascii="Segoe UI" w:hAnsi="Segoe UI" w:cs="Segoe UI"/>
          <w:bCs/>
          <w:iCs/>
          <w:sz w:val="24"/>
          <w:szCs w:val="26"/>
        </w:rPr>
        <w:t>s</w:t>
      </w:r>
      <w:r w:rsidRPr="001541CB">
        <w:rPr>
          <w:rFonts w:ascii="Segoe UI" w:hAnsi="Segoe UI" w:cs="Segoe UI"/>
          <w:bCs/>
          <w:iCs/>
          <w:sz w:val="24"/>
          <w:szCs w:val="26"/>
        </w:rPr>
        <w:t>ont :</w:t>
      </w:r>
    </w:p>
    <w:p w14:paraId="381205C2" w14:textId="77777777" w:rsidR="00256019" w:rsidRPr="001541CB" w:rsidRDefault="00256019" w:rsidP="00256019">
      <w:pPr>
        <w:pStyle w:val="Paragraphedeliste"/>
        <w:numPr>
          <w:ilvl w:val="0"/>
          <w:numId w:val="19"/>
        </w:numPr>
        <w:spacing w:after="0" w:line="360" w:lineRule="auto"/>
        <w:jc w:val="both"/>
        <w:rPr>
          <w:rFonts w:ascii="Segoe UI" w:hAnsi="Segoe UI" w:cs="Segoe UI"/>
          <w:bCs/>
          <w:iCs/>
          <w:sz w:val="24"/>
          <w:szCs w:val="26"/>
        </w:rPr>
      </w:pPr>
      <w:r w:rsidRPr="001541CB">
        <w:rPr>
          <w:rFonts w:ascii="Segoe UI" w:hAnsi="Segoe UI" w:cs="Segoe UI"/>
          <w:bCs/>
          <w:iCs/>
          <w:sz w:val="24"/>
          <w:szCs w:val="26"/>
        </w:rPr>
        <w:t>les recettes des administrations financières (DGDDI, DGI et DGTCP) ;</w:t>
      </w:r>
    </w:p>
    <w:p w14:paraId="2673AC9C" w14:textId="77777777" w:rsidR="00256019" w:rsidRPr="001541CB" w:rsidRDefault="00256019" w:rsidP="00256019">
      <w:pPr>
        <w:pStyle w:val="Paragraphedeliste"/>
        <w:numPr>
          <w:ilvl w:val="0"/>
          <w:numId w:val="19"/>
        </w:numPr>
        <w:spacing w:after="0" w:line="360" w:lineRule="auto"/>
        <w:jc w:val="both"/>
        <w:rPr>
          <w:rFonts w:ascii="Segoe UI" w:hAnsi="Segoe UI" w:cs="Segoe UI"/>
          <w:bCs/>
          <w:iCs/>
          <w:sz w:val="24"/>
          <w:szCs w:val="26"/>
        </w:rPr>
      </w:pPr>
      <w:r w:rsidRPr="001541CB">
        <w:rPr>
          <w:rFonts w:ascii="Segoe UI" w:hAnsi="Segoe UI" w:cs="Segoe UI"/>
          <w:bCs/>
          <w:iCs/>
          <w:sz w:val="24"/>
          <w:szCs w:val="26"/>
        </w:rPr>
        <w:t>les recettes du FNRB et des autres budgets ;</w:t>
      </w:r>
    </w:p>
    <w:p w14:paraId="3EB19AF0" w14:textId="77777777" w:rsidR="00256019" w:rsidRPr="001541CB" w:rsidRDefault="00256019" w:rsidP="00256019">
      <w:pPr>
        <w:pStyle w:val="Paragraphedeliste"/>
        <w:numPr>
          <w:ilvl w:val="0"/>
          <w:numId w:val="19"/>
        </w:numPr>
        <w:spacing w:after="0" w:line="360" w:lineRule="auto"/>
        <w:jc w:val="both"/>
        <w:rPr>
          <w:rFonts w:ascii="Segoe UI" w:hAnsi="Segoe UI" w:cs="Segoe UI"/>
          <w:bCs/>
          <w:iCs/>
          <w:sz w:val="24"/>
          <w:szCs w:val="26"/>
        </w:rPr>
      </w:pPr>
      <w:r w:rsidRPr="001541CB">
        <w:rPr>
          <w:rFonts w:ascii="Segoe UI" w:hAnsi="Segoe UI" w:cs="Segoe UI"/>
          <w:bCs/>
          <w:iCs/>
          <w:sz w:val="24"/>
          <w:szCs w:val="26"/>
        </w:rPr>
        <w:t>les re</w:t>
      </w:r>
      <w:r w:rsidR="00DC4E6D" w:rsidRPr="001541CB">
        <w:rPr>
          <w:rFonts w:ascii="Segoe UI" w:hAnsi="Segoe UI" w:cs="Segoe UI"/>
          <w:bCs/>
          <w:iCs/>
          <w:sz w:val="24"/>
          <w:szCs w:val="26"/>
        </w:rPr>
        <w:t>cett</w:t>
      </w:r>
      <w:r w:rsidRPr="001541CB">
        <w:rPr>
          <w:rFonts w:ascii="Segoe UI" w:hAnsi="Segoe UI" w:cs="Segoe UI"/>
          <w:bCs/>
          <w:iCs/>
          <w:sz w:val="24"/>
          <w:szCs w:val="26"/>
        </w:rPr>
        <w:t>es des comptes d’affectations spéciales ;</w:t>
      </w:r>
    </w:p>
    <w:p w14:paraId="3E91C0DB" w14:textId="77777777" w:rsidR="00256019" w:rsidRPr="001541CB" w:rsidRDefault="00256019" w:rsidP="00256019">
      <w:pPr>
        <w:pStyle w:val="Paragraphedeliste"/>
        <w:numPr>
          <w:ilvl w:val="0"/>
          <w:numId w:val="19"/>
        </w:numPr>
        <w:spacing w:after="0" w:line="360" w:lineRule="auto"/>
        <w:jc w:val="both"/>
        <w:rPr>
          <w:rFonts w:ascii="Segoe UI" w:hAnsi="Segoe UI" w:cs="Segoe UI"/>
          <w:bCs/>
          <w:iCs/>
          <w:sz w:val="24"/>
          <w:szCs w:val="26"/>
        </w:rPr>
      </w:pPr>
      <w:r w:rsidRPr="001541CB">
        <w:rPr>
          <w:rFonts w:ascii="Segoe UI" w:hAnsi="Segoe UI" w:cs="Segoe UI"/>
          <w:bCs/>
          <w:iCs/>
          <w:sz w:val="24"/>
          <w:szCs w:val="26"/>
        </w:rPr>
        <w:t>les dons budgétaires ;</w:t>
      </w:r>
    </w:p>
    <w:p w14:paraId="78A058F6" w14:textId="77777777" w:rsidR="00256019" w:rsidRPr="001541CB" w:rsidRDefault="00256019" w:rsidP="00256019">
      <w:pPr>
        <w:pStyle w:val="Paragraphedeliste"/>
        <w:numPr>
          <w:ilvl w:val="0"/>
          <w:numId w:val="19"/>
        </w:numPr>
        <w:spacing w:after="0" w:line="360" w:lineRule="auto"/>
        <w:jc w:val="both"/>
        <w:rPr>
          <w:rFonts w:ascii="Segoe UI" w:hAnsi="Segoe UI" w:cs="Segoe UI"/>
          <w:bCs/>
          <w:iCs/>
          <w:sz w:val="24"/>
          <w:szCs w:val="26"/>
        </w:rPr>
      </w:pPr>
      <w:r w:rsidRPr="001541CB">
        <w:rPr>
          <w:rFonts w:ascii="Segoe UI" w:hAnsi="Segoe UI" w:cs="Segoe UI"/>
          <w:bCs/>
          <w:iCs/>
          <w:sz w:val="24"/>
          <w:szCs w:val="26"/>
        </w:rPr>
        <w:t xml:space="preserve">les </w:t>
      </w:r>
      <w:r w:rsidR="00DC4E6D" w:rsidRPr="001541CB">
        <w:rPr>
          <w:rFonts w:ascii="Segoe UI" w:hAnsi="Segoe UI" w:cs="Segoe UI"/>
          <w:bCs/>
          <w:iCs/>
          <w:sz w:val="24"/>
          <w:szCs w:val="26"/>
        </w:rPr>
        <w:t xml:space="preserve">produits des </w:t>
      </w:r>
      <w:r w:rsidRPr="001541CB">
        <w:rPr>
          <w:rFonts w:ascii="Segoe UI" w:hAnsi="Segoe UI" w:cs="Segoe UI"/>
          <w:bCs/>
          <w:iCs/>
          <w:sz w:val="24"/>
          <w:szCs w:val="26"/>
        </w:rPr>
        <w:t>allègements de la dette publique ;</w:t>
      </w:r>
    </w:p>
    <w:p w14:paraId="3A81D98B" w14:textId="77777777" w:rsidR="00256019" w:rsidRPr="001541CB" w:rsidRDefault="00B74ED3" w:rsidP="00256019">
      <w:pPr>
        <w:pStyle w:val="Paragraphedeliste"/>
        <w:numPr>
          <w:ilvl w:val="0"/>
          <w:numId w:val="19"/>
        </w:numPr>
        <w:spacing w:after="0" w:line="360" w:lineRule="auto"/>
        <w:jc w:val="both"/>
        <w:rPr>
          <w:rFonts w:ascii="Segoe UI" w:hAnsi="Segoe UI" w:cs="Segoe UI"/>
          <w:bCs/>
          <w:iCs/>
          <w:sz w:val="24"/>
          <w:szCs w:val="26"/>
        </w:rPr>
      </w:pPr>
      <w:r w:rsidRPr="001541CB">
        <w:rPr>
          <w:rFonts w:ascii="Segoe UI" w:hAnsi="Segoe UI" w:cs="Segoe UI"/>
          <w:bCs/>
          <w:iCs/>
          <w:sz w:val="24"/>
          <w:szCs w:val="26"/>
        </w:rPr>
        <w:t>les fonds de concours et l</w:t>
      </w:r>
      <w:r w:rsidR="00256019" w:rsidRPr="001541CB">
        <w:rPr>
          <w:rFonts w:ascii="Segoe UI" w:hAnsi="Segoe UI" w:cs="Segoe UI"/>
          <w:bCs/>
          <w:iCs/>
          <w:sz w:val="24"/>
          <w:szCs w:val="26"/>
        </w:rPr>
        <w:t>es recettes assimilées.</w:t>
      </w:r>
    </w:p>
    <w:p w14:paraId="22836CDC" w14:textId="3DB2F6A5" w:rsidR="005E794E" w:rsidRPr="001541CB" w:rsidRDefault="0012477B" w:rsidP="00562761">
      <w:pPr>
        <w:spacing w:after="0" w:line="360" w:lineRule="auto"/>
        <w:jc w:val="both"/>
        <w:rPr>
          <w:rFonts w:ascii="Segoe UI" w:hAnsi="Segoe UI" w:cs="Segoe UI"/>
          <w:bCs/>
          <w:iCs/>
          <w:sz w:val="24"/>
          <w:szCs w:val="26"/>
        </w:rPr>
      </w:pPr>
      <w:r w:rsidRPr="001541CB">
        <w:rPr>
          <w:rFonts w:ascii="Segoe UI" w:hAnsi="Segoe UI" w:cs="Segoe UI"/>
          <w:bCs/>
          <w:iCs/>
          <w:sz w:val="24"/>
          <w:szCs w:val="26"/>
        </w:rPr>
        <w:t>Au premier trimestre 2017</w:t>
      </w:r>
      <w:r w:rsidR="00B21DBC" w:rsidRPr="001541CB">
        <w:rPr>
          <w:rFonts w:ascii="Segoe UI" w:hAnsi="Segoe UI" w:cs="Segoe UI"/>
          <w:bCs/>
          <w:iCs/>
          <w:sz w:val="24"/>
          <w:szCs w:val="26"/>
        </w:rPr>
        <w:t>, la</w:t>
      </w:r>
      <w:r w:rsidR="001E3863" w:rsidRPr="001541CB">
        <w:rPr>
          <w:rFonts w:ascii="Segoe UI" w:hAnsi="Segoe UI" w:cs="Segoe UI"/>
          <w:bCs/>
          <w:iCs/>
          <w:sz w:val="24"/>
          <w:szCs w:val="26"/>
        </w:rPr>
        <w:t xml:space="preserve"> réalisation </w:t>
      </w:r>
      <w:r w:rsidR="00B21DBC" w:rsidRPr="001541CB">
        <w:rPr>
          <w:rFonts w:ascii="Segoe UI" w:hAnsi="Segoe UI" w:cs="Segoe UI"/>
          <w:bCs/>
          <w:iCs/>
          <w:sz w:val="24"/>
          <w:szCs w:val="26"/>
        </w:rPr>
        <w:t xml:space="preserve">des recettes budgétaires </w:t>
      </w:r>
      <w:r w:rsidR="00593B4B" w:rsidRPr="001541CB">
        <w:rPr>
          <w:rFonts w:ascii="Segoe UI" w:hAnsi="Segoe UI" w:cs="Segoe UI"/>
          <w:bCs/>
          <w:iCs/>
          <w:sz w:val="24"/>
          <w:szCs w:val="26"/>
        </w:rPr>
        <w:t>e</w:t>
      </w:r>
      <w:r w:rsidR="001E3863" w:rsidRPr="001541CB">
        <w:rPr>
          <w:rFonts w:ascii="Segoe UI" w:hAnsi="Segoe UI" w:cs="Segoe UI"/>
          <w:bCs/>
          <w:iCs/>
          <w:sz w:val="24"/>
          <w:szCs w:val="26"/>
        </w:rPr>
        <w:t>st globalement ressortie à </w:t>
      </w:r>
      <w:r w:rsidR="00774D09">
        <w:rPr>
          <w:rFonts w:ascii="Segoe UI" w:hAnsi="Segoe UI" w:cs="Segoe UI"/>
          <w:bCs/>
          <w:iCs/>
          <w:sz w:val="24"/>
          <w:szCs w:val="26"/>
        </w:rPr>
        <w:t>196 239,2</w:t>
      </w:r>
      <w:r w:rsidR="002E47DA" w:rsidRPr="001541CB">
        <w:rPr>
          <w:rFonts w:ascii="Segoe UI" w:hAnsi="Segoe UI" w:cs="Segoe UI"/>
          <w:bCs/>
          <w:iCs/>
          <w:sz w:val="24"/>
          <w:szCs w:val="26"/>
        </w:rPr>
        <w:t xml:space="preserve"> </w:t>
      </w:r>
      <w:r w:rsidR="0053356C" w:rsidRPr="001541CB">
        <w:rPr>
          <w:rFonts w:ascii="Segoe UI" w:hAnsi="Segoe UI" w:cs="Segoe UI"/>
          <w:bCs/>
          <w:iCs/>
          <w:sz w:val="24"/>
          <w:szCs w:val="26"/>
        </w:rPr>
        <w:t>millions de FCFA sur</w:t>
      </w:r>
      <w:r w:rsidR="00B21DBC" w:rsidRPr="001541CB">
        <w:rPr>
          <w:rFonts w:ascii="Segoe UI" w:hAnsi="Segoe UI" w:cs="Segoe UI"/>
          <w:bCs/>
          <w:iCs/>
          <w:sz w:val="24"/>
          <w:szCs w:val="26"/>
        </w:rPr>
        <w:t xml:space="preserve"> une prévision annuelle de</w:t>
      </w:r>
      <w:r w:rsidR="002E47DA" w:rsidRPr="001541CB">
        <w:rPr>
          <w:rFonts w:ascii="Segoe UI" w:hAnsi="Segoe UI" w:cs="Segoe UI"/>
          <w:bCs/>
          <w:iCs/>
          <w:sz w:val="24"/>
          <w:szCs w:val="26"/>
        </w:rPr>
        <w:t xml:space="preserve"> </w:t>
      </w:r>
      <w:r w:rsidRPr="001541CB">
        <w:rPr>
          <w:rFonts w:ascii="Segoe UI" w:hAnsi="Segoe UI" w:cs="Segoe UI"/>
          <w:bCs/>
          <w:iCs/>
          <w:sz w:val="24"/>
          <w:szCs w:val="26"/>
        </w:rPr>
        <w:t>1 007 724</w:t>
      </w:r>
      <w:r w:rsidR="0053356C" w:rsidRPr="001541CB">
        <w:rPr>
          <w:rFonts w:ascii="Segoe UI" w:hAnsi="Segoe UI" w:cs="Segoe UI"/>
          <w:bCs/>
          <w:iCs/>
          <w:sz w:val="24"/>
          <w:szCs w:val="26"/>
        </w:rPr>
        <w:t xml:space="preserve"> millions de FCFA</w:t>
      </w:r>
      <w:r w:rsidR="00A704D9" w:rsidRPr="001541CB">
        <w:rPr>
          <w:rFonts w:ascii="Segoe UI" w:hAnsi="Segoe UI" w:cs="Segoe UI"/>
          <w:bCs/>
          <w:iCs/>
          <w:sz w:val="24"/>
          <w:szCs w:val="26"/>
        </w:rPr>
        <w:t xml:space="preserve">. A la même </w:t>
      </w:r>
      <w:r w:rsidR="00AB4BF6">
        <w:rPr>
          <w:rFonts w:ascii="Segoe UI" w:hAnsi="Segoe UI" w:cs="Segoe UI"/>
          <w:bCs/>
          <w:iCs/>
          <w:sz w:val="24"/>
          <w:szCs w:val="26"/>
        </w:rPr>
        <w:t>période</w:t>
      </w:r>
      <w:r w:rsidR="00AB4BF6" w:rsidRPr="001541CB">
        <w:rPr>
          <w:rFonts w:ascii="Segoe UI" w:hAnsi="Segoe UI" w:cs="Segoe UI"/>
          <w:bCs/>
          <w:iCs/>
          <w:sz w:val="24"/>
          <w:szCs w:val="26"/>
        </w:rPr>
        <w:t xml:space="preserve"> </w:t>
      </w:r>
      <w:r w:rsidR="00A704D9" w:rsidRPr="001541CB">
        <w:rPr>
          <w:rFonts w:ascii="Segoe UI" w:hAnsi="Segoe UI" w:cs="Segoe UI"/>
          <w:bCs/>
          <w:iCs/>
          <w:sz w:val="24"/>
          <w:szCs w:val="26"/>
        </w:rPr>
        <w:t>en 201</w:t>
      </w:r>
      <w:r w:rsidR="00F15CD1" w:rsidRPr="001541CB">
        <w:rPr>
          <w:rFonts w:ascii="Segoe UI" w:hAnsi="Segoe UI" w:cs="Segoe UI"/>
          <w:bCs/>
          <w:iCs/>
          <w:sz w:val="24"/>
          <w:szCs w:val="26"/>
        </w:rPr>
        <w:t>6</w:t>
      </w:r>
      <w:r w:rsidR="00A704D9" w:rsidRPr="001541CB">
        <w:rPr>
          <w:rFonts w:ascii="Segoe UI" w:hAnsi="Segoe UI" w:cs="Segoe UI"/>
          <w:bCs/>
          <w:iCs/>
          <w:sz w:val="24"/>
          <w:szCs w:val="26"/>
        </w:rPr>
        <w:t xml:space="preserve">, </w:t>
      </w:r>
      <w:r w:rsidR="00DC4E6D" w:rsidRPr="001541CB">
        <w:rPr>
          <w:rFonts w:ascii="Segoe UI" w:hAnsi="Segoe UI" w:cs="Segoe UI"/>
          <w:bCs/>
          <w:iCs/>
          <w:sz w:val="24"/>
          <w:szCs w:val="26"/>
        </w:rPr>
        <w:t>lesdites recettes</w:t>
      </w:r>
      <w:r w:rsidR="00A704D9" w:rsidRPr="001541CB">
        <w:rPr>
          <w:rFonts w:ascii="Segoe UI" w:hAnsi="Segoe UI" w:cs="Segoe UI"/>
          <w:bCs/>
          <w:iCs/>
          <w:sz w:val="24"/>
          <w:szCs w:val="26"/>
        </w:rPr>
        <w:t xml:space="preserve"> se sont établies à</w:t>
      </w:r>
      <w:r w:rsidR="002E47DA" w:rsidRPr="001541CB">
        <w:rPr>
          <w:rFonts w:ascii="Segoe UI" w:hAnsi="Segoe UI" w:cs="Segoe UI"/>
          <w:bCs/>
          <w:iCs/>
          <w:sz w:val="24"/>
          <w:szCs w:val="26"/>
        </w:rPr>
        <w:t xml:space="preserve"> </w:t>
      </w:r>
      <w:r w:rsidR="008F0BB1" w:rsidRPr="001541CB">
        <w:rPr>
          <w:rFonts w:ascii="Segoe UI" w:hAnsi="Segoe UI" w:cs="Segoe UI"/>
          <w:bCs/>
          <w:iCs/>
          <w:sz w:val="24"/>
          <w:szCs w:val="26"/>
        </w:rPr>
        <w:t>192 254,1</w:t>
      </w:r>
      <w:r w:rsidR="002E47DA" w:rsidRPr="001541CB">
        <w:rPr>
          <w:rFonts w:ascii="Segoe UI" w:hAnsi="Segoe UI" w:cs="Segoe UI"/>
          <w:bCs/>
          <w:iCs/>
          <w:sz w:val="24"/>
          <w:szCs w:val="26"/>
        </w:rPr>
        <w:t xml:space="preserve"> </w:t>
      </w:r>
      <w:r w:rsidR="0053356C" w:rsidRPr="001541CB">
        <w:rPr>
          <w:rFonts w:ascii="Segoe UI" w:hAnsi="Segoe UI" w:cs="Segoe UI"/>
          <w:bCs/>
          <w:iCs/>
          <w:sz w:val="24"/>
          <w:szCs w:val="26"/>
        </w:rPr>
        <w:t>millions de FCFA sur</w:t>
      </w:r>
      <w:r w:rsidR="00256019" w:rsidRPr="001541CB">
        <w:rPr>
          <w:rFonts w:ascii="Segoe UI" w:hAnsi="Segoe UI" w:cs="Segoe UI"/>
          <w:bCs/>
          <w:iCs/>
          <w:sz w:val="24"/>
          <w:szCs w:val="26"/>
        </w:rPr>
        <w:t xml:space="preserve"> une prévision </w:t>
      </w:r>
      <w:r w:rsidR="00B21DBC" w:rsidRPr="001541CB">
        <w:rPr>
          <w:rFonts w:ascii="Segoe UI" w:hAnsi="Segoe UI" w:cs="Segoe UI"/>
          <w:bCs/>
          <w:iCs/>
          <w:sz w:val="24"/>
          <w:szCs w:val="26"/>
        </w:rPr>
        <w:t>annuelle</w:t>
      </w:r>
      <w:r w:rsidR="00A5318B">
        <w:rPr>
          <w:rFonts w:ascii="Segoe UI" w:hAnsi="Segoe UI" w:cs="Segoe UI"/>
          <w:bCs/>
          <w:iCs/>
          <w:sz w:val="24"/>
          <w:szCs w:val="26"/>
        </w:rPr>
        <w:t xml:space="preserve"> révisée</w:t>
      </w:r>
      <w:r w:rsidR="00B21DBC" w:rsidRPr="001541CB">
        <w:rPr>
          <w:rFonts w:ascii="Segoe UI" w:hAnsi="Segoe UI" w:cs="Segoe UI"/>
          <w:bCs/>
          <w:iCs/>
          <w:sz w:val="24"/>
          <w:szCs w:val="26"/>
        </w:rPr>
        <w:t xml:space="preserve"> </w:t>
      </w:r>
      <w:r w:rsidR="00256019" w:rsidRPr="001541CB">
        <w:rPr>
          <w:rFonts w:ascii="Segoe UI" w:hAnsi="Segoe UI" w:cs="Segoe UI"/>
          <w:bCs/>
          <w:iCs/>
          <w:sz w:val="24"/>
          <w:szCs w:val="26"/>
        </w:rPr>
        <w:t>de</w:t>
      </w:r>
      <w:r w:rsidR="002E47DA" w:rsidRPr="001541CB">
        <w:rPr>
          <w:rFonts w:ascii="Segoe UI" w:hAnsi="Segoe UI" w:cs="Segoe UI"/>
          <w:bCs/>
          <w:iCs/>
          <w:sz w:val="24"/>
          <w:szCs w:val="26"/>
        </w:rPr>
        <w:t xml:space="preserve"> </w:t>
      </w:r>
      <w:r w:rsidR="00A5318B">
        <w:rPr>
          <w:rFonts w:ascii="Segoe UI" w:hAnsi="Segoe UI" w:cs="Segoe UI"/>
          <w:bCs/>
          <w:iCs/>
          <w:sz w:val="24"/>
          <w:szCs w:val="26"/>
        </w:rPr>
        <w:t>948 519</w:t>
      </w:r>
      <w:r w:rsidR="0053356C" w:rsidRPr="001541CB">
        <w:rPr>
          <w:rFonts w:ascii="Segoe UI" w:hAnsi="Segoe UI" w:cs="Segoe UI"/>
          <w:bCs/>
          <w:iCs/>
          <w:sz w:val="24"/>
          <w:szCs w:val="26"/>
        </w:rPr>
        <w:t xml:space="preserve"> millions de FCFA</w:t>
      </w:r>
      <w:r w:rsidR="00A704D9" w:rsidRPr="001541CB">
        <w:rPr>
          <w:rFonts w:ascii="Segoe UI" w:hAnsi="Segoe UI" w:cs="Segoe UI"/>
          <w:bCs/>
          <w:iCs/>
          <w:sz w:val="24"/>
          <w:szCs w:val="26"/>
        </w:rPr>
        <w:t xml:space="preserve">. </w:t>
      </w:r>
      <w:r w:rsidR="00B21DBC" w:rsidRPr="001541CB">
        <w:rPr>
          <w:rFonts w:ascii="Segoe UI" w:hAnsi="Segoe UI" w:cs="Segoe UI"/>
          <w:bCs/>
          <w:iCs/>
          <w:sz w:val="24"/>
          <w:szCs w:val="26"/>
        </w:rPr>
        <w:t xml:space="preserve">Par rapport aux </w:t>
      </w:r>
      <w:r w:rsidR="002B115B" w:rsidRPr="001541CB">
        <w:rPr>
          <w:rFonts w:ascii="Segoe UI" w:hAnsi="Segoe UI" w:cs="Segoe UI"/>
          <w:bCs/>
          <w:iCs/>
          <w:sz w:val="24"/>
          <w:szCs w:val="26"/>
        </w:rPr>
        <w:t xml:space="preserve">objectifs </w:t>
      </w:r>
      <w:r w:rsidR="002E47DA" w:rsidRPr="001541CB">
        <w:rPr>
          <w:rFonts w:ascii="Segoe UI" w:hAnsi="Segoe UI" w:cs="Segoe UI"/>
          <w:bCs/>
          <w:iCs/>
          <w:sz w:val="24"/>
          <w:szCs w:val="26"/>
        </w:rPr>
        <w:t>annuels, le</w:t>
      </w:r>
      <w:r w:rsidR="002B115B" w:rsidRPr="001541CB">
        <w:rPr>
          <w:rFonts w:ascii="Segoe UI" w:hAnsi="Segoe UI" w:cs="Segoe UI"/>
          <w:bCs/>
          <w:iCs/>
          <w:sz w:val="24"/>
          <w:szCs w:val="26"/>
        </w:rPr>
        <w:t xml:space="preserve"> taux de mobilisation des recettes budgétaires</w:t>
      </w:r>
      <w:r w:rsidR="002E47DA" w:rsidRPr="001541CB">
        <w:rPr>
          <w:rFonts w:ascii="Segoe UI" w:hAnsi="Segoe UI" w:cs="Segoe UI"/>
          <w:bCs/>
          <w:iCs/>
          <w:sz w:val="24"/>
          <w:szCs w:val="26"/>
        </w:rPr>
        <w:t xml:space="preserve"> </w:t>
      </w:r>
      <w:r w:rsidR="00B21DBC" w:rsidRPr="001541CB">
        <w:rPr>
          <w:rFonts w:ascii="Segoe UI" w:hAnsi="Segoe UI" w:cs="Segoe UI"/>
          <w:bCs/>
          <w:iCs/>
          <w:sz w:val="24"/>
          <w:szCs w:val="26"/>
        </w:rPr>
        <w:t xml:space="preserve">est de </w:t>
      </w:r>
      <w:r w:rsidR="00774D09">
        <w:rPr>
          <w:rFonts w:ascii="Segoe UI" w:hAnsi="Segoe UI" w:cs="Segoe UI"/>
          <w:bCs/>
          <w:iCs/>
          <w:sz w:val="24"/>
          <w:szCs w:val="26"/>
        </w:rPr>
        <w:t>19,5</w:t>
      </w:r>
      <w:r w:rsidR="00B21DBC" w:rsidRPr="001541CB">
        <w:rPr>
          <w:rFonts w:ascii="Segoe UI" w:hAnsi="Segoe UI" w:cs="Segoe UI"/>
          <w:bCs/>
          <w:iCs/>
          <w:sz w:val="24"/>
          <w:szCs w:val="26"/>
        </w:rPr>
        <w:t>%</w:t>
      </w:r>
      <w:r w:rsidR="00B4344D" w:rsidRPr="001541CB">
        <w:rPr>
          <w:rFonts w:ascii="Segoe UI" w:hAnsi="Segoe UI" w:cs="Segoe UI"/>
          <w:bCs/>
          <w:iCs/>
          <w:sz w:val="24"/>
          <w:szCs w:val="26"/>
        </w:rPr>
        <w:t xml:space="preserve"> à fin mars</w:t>
      </w:r>
      <w:r w:rsidR="002E47DA" w:rsidRPr="001541CB">
        <w:rPr>
          <w:rFonts w:ascii="Segoe UI" w:hAnsi="Segoe UI" w:cs="Segoe UI"/>
          <w:bCs/>
          <w:iCs/>
          <w:sz w:val="24"/>
          <w:szCs w:val="26"/>
        </w:rPr>
        <w:t xml:space="preserve"> </w:t>
      </w:r>
      <w:r w:rsidR="00B21DBC" w:rsidRPr="001541CB">
        <w:rPr>
          <w:rFonts w:ascii="Segoe UI" w:hAnsi="Segoe UI" w:cs="Segoe UI"/>
          <w:bCs/>
          <w:iCs/>
          <w:sz w:val="24"/>
          <w:szCs w:val="26"/>
        </w:rPr>
        <w:t>201</w:t>
      </w:r>
      <w:r w:rsidR="00E20130" w:rsidRPr="001541CB">
        <w:rPr>
          <w:rFonts w:ascii="Segoe UI" w:hAnsi="Segoe UI" w:cs="Segoe UI"/>
          <w:bCs/>
          <w:iCs/>
          <w:sz w:val="24"/>
          <w:szCs w:val="26"/>
        </w:rPr>
        <w:t>7</w:t>
      </w:r>
      <w:r w:rsidR="00B21DBC" w:rsidRPr="001541CB">
        <w:rPr>
          <w:rFonts w:ascii="Segoe UI" w:hAnsi="Segoe UI" w:cs="Segoe UI"/>
          <w:bCs/>
          <w:iCs/>
          <w:sz w:val="24"/>
          <w:szCs w:val="26"/>
        </w:rPr>
        <w:t xml:space="preserve"> contre </w:t>
      </w:r>
      <w:r w:rsidR="00A5318B">
        <w:rPr>
          <w:rFonts w:ascii="Segoe UI" w:hAnsi="Segoe UI" w:cs="Segoe UI"/>
          <w:bCs/>
          <w:iCs/>
          <w:sz w:val="24"/>
          <w:szCs w:val="26"/>
        </w:rPr>
        <w:t>20,3</w:t>
      </w:r>
      <w:r w:rsidR="00B21DBC" w:rsidRPr="001541CB">
        <w:rPr>
          <w:rFonts w:ascii="Segoe UI" w:hAnsi="Segoe UI" w:cs="Segoe UI"/>
          <w:bCs/>
          <w:iCs/>
          <w:sz w:val="24"/>
          <w:szCs w:val="26"/>
        </w:rPr>
        <w:t xml:space="preserve">% </w:t>
      </w:r>
      <w:r w:rsidR="00B4344D" w:rsidRPr="001541CB">
        <w:rPr>
          <w:rFonts w:ascii="Segoe UI" w:hAnsi="Segoe UI" w:cs="Segoe UI"/>
          <w:bCs/>
          <w:iCs/>
          <w:sz w:val="24"/>
          <w:szCs w:val="26"/>
        </w:rPr>
        <w:t xml:space="preserve">à la même période </w:t>
      </w:r>
      <w:r w:rsidR="00B21DBC" w:rsidRPr="001541CB">
        <w:rPr>
          <w:rFonts w:ascii="Segoe UI" w:hAnsi="Segoe UI" w:cs="Segoe UI"/>
          <w:bCs/>
          <w:iCs/>
          <w:sz w:val="24"/>
          <w:szCs w:val="26"/>
        </w:rPr>
        <w:t>en 201</w:t>
      </w:r>
      <w:r w:rsidR="00E20130" w:rsidRPr="001541CB">
        <w:rPr>
          <w:rFonts w:ascii="Segoe UI" w:hAnsi="Segoe UI" w:cs="Segoe UI"/>
          <w:bCs/>
          <w:iCs/>
          <w:sz w:val="24"/>
          <w:szCs w:val="26"/>
        </w:rPr>
        <w:t>6</w:t>
      </w:r>
      <w:r w:rsidR="00B21DBC" w:rsidRPr="001541CB">
        <w:rPr>
          <w:rFonts w:ascii="Segoe UI" w:hAnsi="Segoe UI" w:cs="Segoe UI"/>
          <w:bCs/>
          <w:iCs/>
          <w:sz w:val="24"/>
          <w:szCs w:val="26"/>
        </w:rPr>
        <w:t>.</w:t>
      </w:r>
      <w:r w:rsidR="002E47DA" w:rsidRPr="001541CB">
        <w:rPr>
          <w:rFonts w:ascii="Segoe UI" w:hAnsi="Segoe UI" w:cs="Segoe UI"/>
          <w:bCs/>
          <w:iCs/>
          <w:sz w:val="24"/>
          <w:szCs w:val="26"/>
        </w:rPr>
        <w:t xml:space="preserve"> </w:t>
      </w:r>
      <w:r w:rsidR="002B115B" w:rsidRPr="001541CB">
        <w:rPr>
          <w:rFonts w:ascii="Segoe UI" w:hAnsi="Segoe UI" w:cs="Segoe UI"/>
          <w:bCs/>
          <w:iCs/>
          <w:sz w:val="24"/>
          <w:szCs w:val="26"/>
        </w:rPr>
        <w:t>Il se dégage du</w:t>
      </w:r>
      <w:r w:rsidR="00A704D9" w:rsidRPr="001541CB">
        <w:rPr>
          <w:rFonts w:ascii="Segoe UI" w:hAnsi="Segoe UI" w:cs="Segoe UI"/>
          <w:bCs/>
          <w:iCs/>
          <w:sz w:val="24"/>
          <w:szCs w:val="26"/>
        </w:rPr>
        <w:t xml:space="preserve"> rapprochement des</w:t>
      </w:r>
      <w:r w:rsidR="00256019" w:rsidRPr="001541CB">
        <w:rPr>
          <w:rFonts w:ascii="Segoe UI" w:hAnsi="Segoe UI" w:cs="Segoe UI"/>
          <w:bCs/>
          <w:iCs/>
          <w:sz w:val="24"/>
          <w:szCs w:val="26"/>
        </w:rPr>
        <w:t xml:space="preserve"> réalisations </w:t>
      </w:r>
      <w:r w:rsidR="00DC4E6D" w:rsidRPr="001541CB">
        <w:rPr>
          <w:rFonts w:ascii="Segoe UI" w:hAnsi="Segoe UI" w:cs="Segoe UI"/>
          <w:bCs/>
          <w:iCs/>
          <w:sz w:val="24"/>
          <w:szCs w:val="26"/>
        </w:rPr>
        <w:t xml:space="preserve">budgétaires </w:t>
      </w:r>
      <w:r w:rsidR="002B115B" w:rsidRPr="001541CB">
        <w:rPr>
          <w:rFonts w:ascii="Segoe UI" w:hAnsi="Segoe UI" w:cs="Segoe UI"/>
          <w:bCs/>
          <w:iCs/>
          <w:sz w:val="24"/>
          <w:szCs w:val="26"/>
        </w:rPr>
        <w:t>à fin mars</w:t>
      </w:r>
      <w:r w:rsidR="00E6385D" w:rsidRPr="001541CB">
        <w:rPr>
          <w:rFonts w:ascii="Segoe UI" w:hAnsi="Segoe UI" w:cs="Segoe UI"/>
          <w:bCs/>
          <w:iCs/>
          <w:sz w:val="24"/>
          <w:szCs w:val="26"/>
        </w:rPr>
        <w:t xml:space="preserve"> 201</w:t>
      </w:r>
      <w:r w:rsidR="00E20130" w:rsidRPr="001541CB">
        <w:rPr>
          <w:rFonts w:ascii="Segoe UI" w:hAnsi="Segoe UI" w:cs="Segoe UI"/>
          <w:bCs/>
          <w:iCs/>
          <w:sz w:val="24"/>
          <w:szCs w:val="26"/>
        </w:rPr>
        <w:t>6</w:t>
      </w:r>
      <w:r w:rsidR="00E6385D" w:rsidRPr="001541CB">
        <w:rPr>
          <w:rFonts w:ascii="Segoe UI" w:hAnsi="Segoe UI" w:cs="Segoe UI"/>
          <w:bCs/>
          <w:iCs/>
          <w:sz w:val="24"/>
          <w:szCs w:val="26"/>
        </w:rPr>
        <w:t xml:space="preserve"> </w:t>
      </w:r>
      <w:r w:rsidR="008F4833" w:rsidRPr="001541CB">
        <w:rPr>
          <w:rFonts w:ascii="Segoe UI" w:hAnsi="Segoe UI" w:cs="Segoe UI"/>
          <w:bCs/>
          <w:iCs/>
          <w:sz w:val="24"/>
          <w:szCs w:val="26"/>
        </w:rPr>
        <w:t>et</w:t>
      </w:r>
      <w:r w:rsidR="00E6385D" w:rsidRPr="001541CB">
        <w:rPr>
          <w:rFonts w:ascii="Segoe UI" w:hAnsi="Segoe UI" w:cs="Segoe UI"/>
          <w:bCs/>
          <w:iCs/>
          <w:sz w:val="24"/>
          <w:szCs w:val="26"/>
        </w:rPr>
        <w:t xml:space="preserve"> 201</w:t>
      </w:r>
      <w:r w:rsidR="00E20130" w:rsidRPr="001541CB">
        <w:rPr>
          <w:rFonts w:ascii="Segoe UI" w:hAnsi="Segoe UI" w:cs="Segoe UI"/>
          <w:bCs/>
          <w:iCs/>
          <w:sz w:val="24"/>
          <w:szCs w:val="26"/>
        </w:rPr>
        <w:t>7</w:t>
      </w:r>
      <w:r w:rsidR="00875C8F">
        <w:rPr>
          <w:rFonts w:ascii="Segoe UI" w:hAnsi="Segoe UI" w:cs="Segoe UI"/>
          <w:bCs/>
          <w:iCs/>
          <w:sz w:val="24"/>
          <w:szCs w:val="26"/>
        </w:rPr>
        <w:t>,</w:t>
      </w:r>
      <w:r w:rsidR="002E47DA" w:rsidRPr="001541CB">
        <w:rPr>
          <w:rFonts w:ascii="Segoe UI" w:hAnsi="Segoe UI" w:cs="Segoe UI"/>
          <w:bCs/>
          <w:iCs/>
          <w:sz w:val="24"/>
          <w:szCs w:val="26"/>
        </w:rPr>
        <w:t xml:space="preserve"> </w:t>
      </w:r>
      <w:r w:rsidR="00256019" w:rsidRPr="001541CB">
        <w:rPr>
          <w:rFonts w:ascii="Segoe UI" w:hAnsi="Segoe UI" w:cs="Segoe UI"/>
          <w:bCs/>
          <w:iCs/>
          <w:sz w:val="24"/>
          <w:szCs w:val="26"/>
        </w:rPr>
        <w:lastRenderedPageBreak/>
        <w:t>un</w:t>
      </w:r>
      <w:r w:rsidR="00BB49E4" w:rsidRPr="001541CB">
        <w:rPr>
          <w:rFonts w:ascii="Segoe UI" w:hAnsi="Segoe UI" w:cs="Segoe UI"/>
          <w:bCs/>
          <w:iCs/>
          <w:sz w:val="24"/>
          <w:szCs w:val="26"/>
        </w:rPr>
        <w:t>e</w:t>
      </w:r>
      <w:r w:rsidR="002E47DA" w:rsidRPr="001541CB">
        <w:rPr>
          <w:rFonts w:ascii="Segoe UI" w:hAnsi="Segoe UI" w:cs="Segoe UI"/>
          <w:bCs/>
          <w:iCs/>
          <w:sz w:val="24"/>
          <w:szCs w:val="26"/>
        </w:rPr>
        <w:t xml:space="preserve"> </w:t>
      </w:r>
      <w:r w:rsidR="008F0BB1" w:rsidRPr="001541CB">
        <w:rPr>
          <w:rFonts w:ascii="Segoe UI" w:hAnsi="Segoe UI" w:cs="Segoe UI"/>
          <w:bCs/>
          <w:iCs/>
          <w:sz w:val="24"/>
          <w:szCs w:val="26"/>
        </w:rPr>
        <w:t>hausse</w:t>
      </w:r>
      <w:r w:rsidR="00BB49E4" w:rsidRPr="001541CB">
        <w:rPr>
          <w:rFonts w:ascii="Segoe UI" w:hAnsi="Segoe UI" w:cs="Segoe UI"/>
          <w:bCs/>
          <w:iCs/>
          <w:sz w:val="24"/>
          <w:szCs w:val="26"/>
        </w:rPr>
        <w:t xml:space="preserve"> du volume des recettes </w:t>
      </w:r>
      <w:r w:rsidR="001E1F41" w:rsidRPr="001541CB">
        <w:rPr>
          <w:rFonts w:ascii="Segoe UI" w:hAnsi="Segoe UI" w:cs="Segoe UI"/>
          <w:bCs/>
          <w:iCs/>
          <w:sz w:val="24"/>
          <w:szCs w:val="26"/>
        </w:rPr>
        <w:t>équivalentes</w:t>
      </w:r>
      <w:r w:rsidR="00BB49E4" w:rsidRPr="001541CB">
        <w:rPr>
          <w:rFonts w:ascii="Segoe UI" w:hAnsi="Segoe UI" w:cs="Segoe UI"/>
          <w:bCs/>
          <w:iCs/>
          <w:sz w:val="24"/>
          <w:szCs w:val="26"/>
        </w:rPr>
        <w:t xml:space="preserve"> à</w:t>
      </w:r>
      <w:r w:rsidR="002E47DA" w:rsidRPr="001541CB">
        <w:rPr>
          <w:rFonts w:ascii="Segoe UI" w:hAnsi="Segoe UI" w:cs="Segoe UI"/>
          <w:bCs/>
          <w:iCs/>
          <w:sz w:val="24"/>
          <w:szCs w:val="26"/>
        </w:rPr>
        <w:t xml:space="preserve"> </w:t>
      </w:r>
      <w:r w:rsidR="00774D09">
        <w:rPr>
          <w:rFonts w:ascii="Segoe UI" w:hAnsi="Segoe UI" w:cs="Segoe UI"/>
          <w:bCs/>
          <w:iCs/>
          <w:sz w:val="24"/>
          <w:szCs w:val="26"/>
        </w:rPr>
        <w:t>3 </w:t>
      </w:r>
      <w:r w:rsidR="008F0BB1" w:rsidRPr="001541CB">
        <w:rPr>
          <w:rFonts w:ascii="Segoe UI" w:hAnsi="Segoe UI" w:cs="Segoe UI"/>
          <w:bCs/>
          <w:iCs/>
          <w:sz w:val="24"/>
          <w:szCs w:val="26"/>
        </w:rPr>
        <w:t>9</w:t>
      </w:r>
      <w:r w:rsidR="00774D09">
        <w:rPr>
          <w:rFonts w:ascii="Segoe UI" w:hAnsi="Segoe UI" w:cs="Segoe UI"/>
          <w:bCs/>
          <w:iCs/>
          <w:sz w:val="24"/>
          <w:szCs w:val="26"/>
        </w:rPr>
        <w:t>85,1</w:t>
      </w:r>
      <w:r w:rsidR="0053356C" w:rsidRPr="001541CB">
        <w:rPr>
          <w:rFonts w:ascii="Segoe UI" w:hAnsi="Segoe UI" w:cs="Segoe UI"/>
          <w:bCs/>
          <w:iCs/>
          <w:sz w:val="24"/>
          <w:szCs w:val="26"/>
        </w:rPr>
        <w:t xml:space="preserve"> millions de FCFA correspondant à un taux d</w:t>
      </w:r>
      <w:r w:rsidR="001E3D43" w:rsidRPr="001541CB">
        <w:rPr>
          <w:rFonts w:ascii="Segoe UI" w:hAnsi="Segoe UI" w:cs="Segoe UI"/>
          <w:bCs/>
          <w:iCs/>
          <w:sz w:val="24"/>
          <w:szCs w:val="26"/>
        </w:rPr>
        <w:t>e croissance</w:t>
      </w:r>
      <w:r w:rsidR="00BB49E4" w:rsidRPr="001541CB">
        <w:rPr>
          <w:rFonts w:ascii="Segoe UI" w:hAnsi="Segoe UI" w:cs="Segoe UI"/>
          <w:bCs/>
          <w:iCs/>
          <w:sz w:val="24"/>
          <w:szCs w:val="26"/>
        </w:rPr>
        <w:t xml:space="preserve"> </w:t>
      </w:r>
      <w:r w:rsidR="0053356C" w:rsidRPr="001541CB">
        <w:rPr>
          <w:rFonts w:ascii="Segoe UI" w:hAnsi="Segoe UI" w:cs="Segoe UI"/>
          <w:bCs/>
          <w:iCs/>
          <w:sz w:val="24"/>
          <w:szCs w:val="26"/>
        </w:rPr>
        <w:t xml:space="preserve">de </w:t>
      </w:r>
      <w:r w:rsidR="00774D09">
        <w:rPr>
          <w:rFonts w:ascii="Segoe UI" w:hAnsi="Segoe UI" w:cs="Segoe UI"/>
          <w:bCs/>
          <w:iCs/>
          <w:sz w:val="24"/>
          <w:szCs w:val="26"/>
        </w:rPr>
        <w:t>2,1</w:t>
      </w:r>
      <w:r w:rsidR="0053356C" w:rsidRPr="001541CB">
        <w:rPr>
          <w:rFonts w:ascii="Segoe UI" w:hAnsi="Segoe UI" w:cs="Segoe UI"/>
          <w:bCs/>
          <w:iCs/>
          <w:sz w:val="24"/>
          <w:szCs w:val="26"/>
        </w:rPr>
        <w:t>%</w:t>
      </w:r>
      <w:r w:rsidR="00097589" w:rsidRPr="001541CB">
        <w:rPr>
          <w:rFonts w:ascii="Segoe UI" w:hAnsi="Segoe UI" w:cs="Segoe UI"/>
          <w:bCs/>
          <w:iCs/>
          <w:sz w:val="24"/>
          <w:szCs w:val="26"/>
        </w:rPr>
        <w:t>.</w:t>
      </w:r>
    </w:p>
    <w:p w14:paraId="26F3F2B7" w14:textId="77777777" w:rsidR="00D63E15" w:rsidRPr="001541CB" w:rsidRDefault="00381F7F" w:rsidP="00381F7F">
      <w:pPr>
        <w:pStyle w:val="Titre3"/>
        <w:ind w:left="720"/>
        <w:rPr>
          <w:rFonts w:ascii="Segoe UI" w:hAnsi="Segoe UI" w:cs="Segoe UI"/>
          <w:sz w:val="24"/>
          <w:szCs w:val="26"/>
        </w:rPr>
      </w:pPr>
      <w:bookmarkStart w:id="8" w:name="_Toc484105605"/>
      <w:r w:rsidRPr="001541CB">
        <w:rPr>
          <w:rFonts w:ascii="Segoe UI" w:hAnsi="Segoe UI" w:cs="Segoe UI"/>
          <w:sz w:val="24"/>
          <w:szCs w:val="26"/>
        </w:rPr>
        <w:t xml:space="preserve">A-1 </w:t>
      </w:r>
      <w:r w:rsidR="00D63E15" w:rsidRPr="001541CB">
        <w:rPr>
          <w:rFonts w:ascii="Segoe UI" w:hAnsi="Segoe UI" w:cs="Segoe UI"/>
          <w:sz w:val="24"/>
          <w:szCs w:val="26"/>
        </w:rPr>
        <w:t>Recettes des administrations financières</w:t>
      </w:r>
      <w:bookmarkEnd w:id="8"/>
    </w:p>
    <w:p w14:paraId="77B31232" w14:textId="77777777" w:rsidR="003729F6" w:rsidRPr="001541CB" w:rsidRDefault="003729F6" w:rsidP="001656E1">
      <w:pPr>
        <w:spacing w:after="0"/>
        <w:rPr>
          <w:rFonts w:ascii="Segoe UI" w:hAnsi="Segoe UI" w:cs="Segoe UI"/>
          <w:sz w:val="24"/>
          <w:szCs w:val="26"/>
        </w:rPr>
      </w:pPr>
    </w:p>
    <w:p w14:paraId="2BCDFF74" w14:textId="77777777" w:rsidR="003E1383" w:rsidRPr="001541CB" w:rsidRDefault="005904C7" w:rsidP="004A1038">
      <w:pPr>
        <w:spacing w:after="0" w:line="360" w:lineRule="auto"/>
        <w:jc w:val="both"/>
        <w:rPr>
          <w:rFonts w:ascii="Segoe UI" w:hAnsi="Segoe UI" w:cs="Segoe UI"/>
          <w:sz w:val="24"/>
          <w:szCs w:val="26"/>
        </w:rPr>
      </w:pPr>
      <w:r w:rsidRPr="001541CB">
        <w:rPr>
          <w:rFonts w:ascii="Segoe UI" w:hAnsi="Segoe UI" w:cs="Segoe UI"/>
          <w:sz w:val="24"/>
          <w:szCs w:val="26"/>
        </w:rPr>
        <w:t>L</w:t>
      </w:r>
      <w:r w:rsidR="001E3863" w:rsidRPr="001541CB">
        <w:rPr>
          <w:rFonts w:ascii="Segoe UI" w:hAnsi="Segoe UI" w:cs="Segoe UI"/>
          <w:sz w:val="24"/>
          <w:szCs w:val="26"/>
        </w:rPr>
        <w:t xml:space="preserve">es recettes brutes </w:t>
      </w:r>
      <w:r w:rsidRPr="001541CB">
        <w:rPr>
          <w:rFonts w:ascii="Segoe UI" w:hAnsi="Segoe UI" w:cs="Segoe UI"/>
          <w:sz w:val="24"/>
          <w:szCs w:val="26"/>
        </w:rPr>
        <w:t>mobilis</w:t>
      </w:r>
      <w:r w:rsidR="001E3863" w:rsidRPr="001541CB">
        <w:rPr>
          <w:rFonts w:ascii="Segoe UI" w:hAnsi="Segoe UI" w:cs="Segoe UI"/>
          <w:sz w:val="24"/>
          <w:szCs w:val="26"/>
        </w:rPr>
        <w:t>ées par les administrations financières</w:t>
      </w:r>
      <w:r w:rsidR="002E47DA" w:rsidRPr="001541CB">
        <w:rPr>
          <w:rFonts w:ascii="Segoe UI" w:hAnsi="Segoe UI" w:cs="Segoe UI"/>
          <w:sz w:val="24"/>
          <w:szCs w:val="26"/>
        </w:rPr>
        <w:t xml:space="preserve"> </w:t>
      </w:r>
      <w:r w:rsidRPr="001541CB">
        <w:rPr>
          <w:rFonts w:ascii="Segoe UI" w:hAnsi="Segoe UI" w:cs="Segoe UI"/>
          <w:sz w:val="24"/>
          <w:szCs w:val="26"/>
        </w:rPr>
        <w:t>au 31</w:t>
      </w:r>
      <w:r w:rsidR="00BE7F42" w:rsidRPr="001541CB">
        <w:rPr>
          <w:rFonts w:ascii="Segoe UI" w:hAnsi="Segoe UI" w:cs="Segoe UI"/>
          <w:sz w:val="24"/>
          <w:szCs w:val="26"/>
        </w:rPr>
        <w:t xml:space="preserve"> </w:t>
      </w:r>
      <w:r w:rsidRPr="001541CB">
        <w:rPr>
          <w:rFonts w:ascii="Segoe UI" w:hAnsi="Segoe UI" w:cs="Segoe UI"/>
          <w:sz w:val="24"/>
          <w:szCs w:val="26"/>
        </w:rPr>
        <w:t>mars 201</w:t>
      </w:r>
      <w:r w:rsidR="00BE7F42" w:rsidRPr="001541CB">
        <w:rPr>
          <w:rFonts w:ascii="Segoe UI" w:hAnsi="Segoe UI" w:cs="Segoe UI"/>
          <w:sz w:val="24"/>
          <w:szCs w:val="26"/>
        </w:rPr>
        <w:t>7</w:t>
      </w:r>
      <w:r w:rsidR="002E47DA" w:rsidRPr="001541CB">
        <w:rPr>
          <w:rFonts w:ascii="Segoe UI" w:hAnsi="Segoe UI" w:cs="Segoe UI"/>
          <w:sz w:val="24"/>
          <w:szCs w:val="26"/>
        </w:rPr>
        <w:t xml:space="preserve"> </w:t>
      </w:r>
      <w:r w:rsidR="001E3863" w:rsidRPr="001541CB">
        <w:rPr>
          <w:rFonts w:ascii="Segoe UI" w:hAnsi="Segoe UI" w:cs="Segoe UI"/>
          <w:sz w:val="24"/>
          <w:szCs w:val="26"/>
        </w:rPr>
        <w:t xml:space="preserve">s'établissent à </w:t>
      </w:r>
      <w:r w:rsidR="009C334C" w:rsidRPr="001541CB">
        <w:rPr>
          <w:rFonts w:ascii="Segoe UI" w:hAnsi="Segoe UI" w:cs="Segoe UI"/>
          <w:sz w:val="24"/>
          <w:szCs w:val="26"/>
        </w:rPr>
        <w:t>176 963,1</w:t>
      </w:r>
      <w:r w:rsidR="00A90F42" w:rsidRPr="001541CB">
        <w:rPr>
          <w:rFonts w:ascii="Segoe UI" w:hAnsi="Segoe UI" w:cs="Segoe UI"/>
          <w:sz w:val="24"/>
          <w:szCs w:val="26"/>
        </w:rPr>
        <w:t xml:space="preserve"> millions de FCFA contre </w:t>
      </w:r>
      <w:r w:rsidR="009C334C" w:rsidRPr="001541CB">
        <w:rPr>
          <w:rFonts w:ascii="Segoe UI" w:hAnsi="Segoe UI" w:cs="Segoe UI"/>
          <w:sz w:val="24"/>
          <w:szCs w:val="26"/>
        </w:rPr>
        <w:t>185</w:t>
      </w:r>
      <w:r w:rsidR="00312625" w:rsidRPr="001541CB">
        <w:rPr>
          <w:rFonts w:ascii="Segoe UI" w:hAnsi="Segoe UI" w:cs="Segoe UI"/>
          <w:sz w:val="24"/>
          <w:szCs w:val="26"/>
        </w:rPr>
        <w:t> 503</w:t>
      </w:r>
      <w:r w:rsidR="001E3863" w:rsidRPr="001541CB">
        <w:rPr>
          <w:rFonts w:ascii="Segoe UI" w:hAnsi="Segoe UI" w:cs="Segoe UI"/>
          <w:sz w:val="24"/>
          <w:szCs w:val="26"/>
        </w:rPr>
        <w:t xml:space="preserve"> millions de FCFA </w:t>
      </w:r>
      <w:r w:rsidR="00A90F42" w:rsidRPr="001541CB">
        <w:rPr>
          <w:rFonts w:ascii="Segoe UI" w:hAnsi="Segoe UI" w:cs="Segoe UI"/>
          <w:sz w:val="24"/>
          <w:szCs w:val="26"/>
        </w:rPr>
        <w:t xml:space="preserve">en </w:t>
      </w:r>
      <w:r w:rsidR="0043195F" w:rsidRPr="001541CB">
        <w:rPr>
          <w:rFonts w:ascii="Segoe UI" w:hAnsi="Segoe UI" w:cs="Segoe UI"/>
          <w:sz w:val="24"/>
          <w:szCs w:val="26"/>
        </w:rPr>
        <w:t xml:space="preserve">mars </w:t>
      </w:r>
      <w:r w:rsidR="00A90F42" w:rsidRPr="001541CB">
        <w:rPr>
          <w:rFonts w:ascii="Segoe UI" w:hAnsi="Segoe UI" w:cs="Segoe UI"/>
          <w:sz w:val="24"/>
          <w:szCs w:val="26"/>
        </w:rPr>
        <w:t>201</w:t>
      </w:r>
      <w:r w:rsidR="00535217" w:rsidRPr="001541CB">
        <w:rPr>
          <w:rFonts w:ascii="Segoe UI" w:hAnsi="Segoe UI" w:cs="Segoe UI"/>
          <w:sz w:val="24"/>
          <w:szCs w:val="26"/>
        </w:rPr>
        <w:t>6</w:t>
      </w:r>
      <w:r w:rsidRPr="001541CB">
        <w:rPr>
          <w:rFonts w:ascii="Segoe UI" w:hAnsi="Segoe UI" w:cs="Segoe UI"/>
          <w:sz w:val="24"/>
          <w:szCs w:val="26"/>
        </w:rPr>
        <w:t xml:space="preserve">. </w:t>
      </w:r>
      <w:r w:rsidR="00E6385D" w:rsidRPr="001541CB">
        <w:rPr>
          <w:rFonts w:ascii="Segoe UI" w:hAnsi="Segoe UI" w:cs="Segoe UI"/>
          <w:sz w:val="24"/>
          <w:szCs w:val="26"/>
        </w:rPr>
        <w:t xml:space="preserve">Ce niveau de recouvrement </w:t>
      </w:r>
      <w:r w:rsidR="008260E0" w:rsidRPr="001541CB">
        <w:rPr>
          <w:rFonts w:ascii="Segoe UI" w:hAnsi="Segoe UI" w:cs="Segoe UI"/>
          <w:sz w:val="24"/>
          <w:szCs w:val="26"/>
        </w:rPr>
        <w:t xml:space="preserve">de 20,4% </w:t>
      </w:r>
      <w:r w:rsidR="00E6385D" w:rsidRPr="001541CB">
        <w:rPr>
          <w:rFonts w:ascii="Segoe UI" w:hAnsi="Segoe UI" w:cs="Segoe UI"/>
          <w:sz w:val="24"/>
          <w:szCs w:val="26"/>
        </w:rPr>
        <w:t>des recettes d</w:t>
      </w:r>
      <w:r w:rsidRPr="001541CB">
        <w:rPr>
          <w:rFonts w:ascii="Segoe UI" w:hAnsi="Segoe UI" w:cs="Segoe UI"/>
          <w:sz w:val="24"/>
          <w:szCs w:val="26"/>
        </w:rPr>
        <w:t>es régies financières</w:t>
      </w:r>
      <w:r w:rsidR="004E1DAD" w:rsidRPr="001541CB">
        <w:rPr>
          <w:rFonts w:ascii="Segoe UI" w:hAnsi="Segoe UI" w:cs="Segoe UI"/>
          <w:sz w:val="24"/>
          <w:szCs w:val="26"/>
        </w:rPr>
        <w:t xml:space="preserve"> </w:t>
      </w:r>
      <w:r w:rsidR="002B0A5C" w:rsidRPr="001541CB">
        <w:rPr>
          <w:rFonts w:ascii="Segoe UI" w:hAnsi="Segoe UI" w:cs="Segoe UI"/>
          <w:sz w:val="24"/>
          <w:szCs w:val="26"/>
        </w:rPr>
        <w:t>e</w:t>
      </w:r>
      <w:r w:rsidR="008260E0" w:rsidRPr="001541CB">
        <w:rPr>
          <w:rFonts w:ascii="Segoe UI" w:hAnsi="Segoe UI" w:cs="Segoe UI"/>
          <w:sz w:val="24"/>
          <w:szCs w:val="26"/>
        </w:rPr>
        <w:t>s</w:t>
      </w:r>
      <w:r w:rsidR="002B0A5C" w:rsidRPr="001541CB">
        <w:rPr>
          <w:rFonts w:ascii="Segoe UI" w:hAnsi="Segoe UI" w:cs="Segoe UI"/>
          <w:sz w:val="24"/>
          <w:szCs w:val="26"/>
        </w:rPr>
        <w:t xml:space="preserve">t </w:t>
      </w:r>
      <w:r w:rsidR="004E1DAD" w:rsidRPr="001541CB">
        <w:rPr>
          <w:rFonts w:ascii="Segoe UI" w:hAnsi="Segoe UI" w:cs="Segoe UI"/>
          <w:sz w:val="24"/>
          <w:szCs w:val="26"/>
        </w:rPr>
        <w:t xml:space="preserve">en deçà du taux linéaire de </w:t>
      </w:r>
      <w:r w:rsidR="009A7609" w:rsidRPr="001541CB">
        <w:rPr>
          <w:rFonts w:ascii="Segoe UI" w:hAnsi="Segoe UI" w:cs="Segoe UI"/>
          <w:sz w:val="24"/>
          <w:szCs w:val="26"/>
        </w:rPr>
        <w:t>25</w:t>
      </w:r>
      <w:r w:rsidR="004E1DAD" w:rsidRPr="001541CB">
        <w:rPr>
          <w:rFonts w:ascii="Segoe UI" w:hAnsi="Segoe UI" w:cs="Segoe UI"/>
          <w:sz w:val="24"/>
          <w:szCs w:val="26"/>
        </w:rPr>
        <w:t>% attendu à fin mars</w:t>
      </w:r>
      <w:r w:rsidR="008260E0" w:rsidRPr="001541CB">
        <w:rPr>
          <w:rFonts w:ascii="Segoe UI" w:hAnsi="Segoe UI" w:cs="Segoe UI"/>
          <w:sz w:val="24"/>
          <w:szCs w:val="26"/>
        </w:rPr>
        <w:t xml:space="preserve"> 2017</w:t>
      </w:r>
      <w:r w:rsidR="004E1DAD" w:rsidRPr="001541CB">
        <w:rPr>
          <w:rFonts w:ascii="Segoe UI" w:hAnsi="Segoe UI" w:cs="Segoe UI"/>
          <w:sz w:val="24"/>
          <w:szCs w:val="26"/>
        </w:rPr>
        <w:t xml:space="preserve">. Il traduit par ailleurs une baisse de </w:t>
      </w:r>
      <w:r w:rsidR="002B0A5C" w:rsidRPr="001541CB">
        <w:rPr>
          <w:rFonts w:ascii="Segoe UI" w:hAnsi="Segoe UI" w:cs="Segoe UI"/>
          <w:sz w:val="24"/>
          <w:szCs w:val="26"/>
        </w:rPr>
        <w:t>8 539,9</w:t>
      </w:r>
      <w:r w:rsidR="004E1DAD" w:rsidRPr="001541CB">
        <w:rPr>
          <w:rFonts w:ascii="Segoe UI" w:hAnsi="Segoe UI" w:cs="Segoe UI"/>
          <w:sz w:val="24"/>
          <w:szCs w:val="26"/>
        </w:rPr>
        <w:t xml:space="preserve"> millions de FCFA par rapport aux recouvrements de 201</w:t>
      </w:r>
      <w:r w:rsidR="00500ACB" w:rsidRPr="001541CB">
        <w:rPr>
          <w:rFonts w:ascii="Segoe UI" w:hAnsi="Segoe UI" w:cs="Segoe UI"/>
          <w:sz w:val="24"/>
          <w:szCs w:val="26"/>
        </w:rPr>
        <w:t>6</w:t>
      </w:r>
      <w:r w:rsidR="004E1DAD" w:rsidRPr="001541CB">
        <w:rPr>
          <w:rFonts w:ascii="Segoe UI" w:hAnsi="Segoe UI" w:cs="Segoe UI"/>
          <w:sz w:val="24"/>
          <w:szCs w:val="26"/>
        </w:rPr>
        <w:t xml:space="preserve">. </w:t>
      </w:r>
      <w:r w:rsidR="001E3863" w:rsidRPr="001541CB">
        <w:rPr>
          <w:rFonts w:ascii="Segoe UI" w:hAnsi="Segoe UI" w:cs="Segoe UI"/>
          <w:sz w:val="24"/>
          <w:szCs w:val="26"/>
        </w:rPr>
        <w:t xml:space="preserve">Les réalisations par régie financière </w:t>
      </w:r>
      <w:r w:rsidR="0064746D" w:rsidRPr="001541CB">
        <w:rPr>
          <w:rFonts w:ascii="Segoe UI" w:hAnsi="Segoe UI" w:cs="Segoe UI"/>
          <w:sz w:val="24"/>
          <w:szCs w:val="26"/>
        </w:rPr>
        <w:t>sont récapitulées</w:t>
      </w:r>
      <w:r w:rsidR="002E47DA" w:rsidRPr="001541CB">
        <w:rPr>
          <w:rFonts w:ascii="Segoe UI" w:hAnsi="Segoe UI" w:cs="Segoe UI"/>
          <w:sz w:val="24"/>
          <w:szCs w:val="26"/>
        </w:rPr>
        <w:t xml:space="preserve"> </w:t>
      </w:r>
      <w:r w:rsidR="00E13D25" w:rsidRPr="001541CB">
        <w:rPr>
          <w:rFonts w:ascii="Segoe UI" w:hAnsi="Segoe UI" w:cs="Segoe UI"/>
          <w:sz w:val="24"/>
          <w:szCs w:val="26"/>
        </w:rPr>
        <w:t>dans</w:t>
      </w:r>
      <w:r w:rsidR="00A90F42" w:rsidRPr="001541CB">
        <w:rPr>
          <w:rFonts w:ascii="Segoe UI" w:hAnsi="Segoe UI" w:cs="Segoe UI"/>
          <w:sz w:val="24"/>
          <w:szCs w:val="26"/>
        </w:rPr>
        <w:t xml:space="preserve"> l</w:t>
      </w:r>
      <w:r w:rsidR="0019532B" w:rsidRPr="001541CB">
        <w:rPr>
          <w:rFonts w:ascii="Segoe UI" w:hAnsi="Segoe UI" w:cs="Segoe UI"/>
          <w:sz w:val="24"/>
          <w:szCs w:val="26"/>
        </w:rPr>
        <w:t>e tableau</w:t>
      </w:r>
      <w:r w:rsidR="00A90F42" w:rsidRPr="001541CB">
        <w:rPr>
          <w:rFonts w:ascii="Segoe UI" w:hAnsi="Segoe UI" w:cs="Segoe UI"/>
          <w:sz w:val="24"/>
          <w:szCs w:val="26"/>
        </w:rPr>
        <w:t xml:space="preserve"> n° 1</w:t>
      </w:r>
      <w:r w:rsidR="001E3863" w:rsidRPr="001541CB">
        <w:rPr>
          <w:rFonts w:ascii="Segoe UI" w:hAnsi="Segoe UI" w:cs="Segoe UI"/>
          <w:sz w:val="24"/>
          <w:szCs w:val="26"/>
        </w:rPr>
        <w:t xml:space="preserve"> ci-après</w:t>
      </w:r>
      <w:r w:rsidR="003E1383" w:rsidRPr="001541CB">
        <w:rPr>
          <w:rFonts w:ascii="Segoe UI" w:hAnsi="Segoe UI" w:cs="Segoe UI"/>
          <w:sz w:val="24"/>
          <w:szCs w:val="26"/>
        </w:rPr>
        <w:t> :</w:t>
      </w:r>
    </w:p>
    <w:p w14:paraId="18CDBF36" w14:textId="77777777" w:rsidR="001541CB" w:rsidRPr="00B10121" w:rsidRDefault="001541CB" w:rsidP="00CA0D2B">
      <w:pPr>
        <w:pStyle w:val="Listedestableaux"/>
        <w:spacing w:line="276" w:lineRule="auto"/>
        <w:rPr>
          <w:rFonts w:ascii="Segoe UI" w:hAnsi="Segoe UI" w:cs="Segoe UI"/>
          <w:sz w:val="6"/>
          <w:u w:val="single"/>
        </w:rPr>
      </w:pPr>
    </w:p>
    <w:p w14:paraId="282D4BB1" w14:textId="77777777" w:rsidR="005B7E1D" w:rsidRPr="00CA0D2B" w:rsidRDefault="0019532B" w:rsidP="001541CB">
      <w:pPr>
        <w:pStyle w:val="Listedestableaux"/>
        <w:spacing w:line="276" w:lineRule="auto"/>
        <w:jc w:val="center"/>
        <w:rPr>
          <w:rFonts w:ascii="Segoe UI" w:hAnsi="Segoe UI" w:cs="Segoe UI"/>
          <w:sz w:val="24"/>
          <w:szCs w:val="24"/>
        </w:rPr>
      </w:pPr>
      <w:bookmarkStart w:id="9" w:name="_Toc481952102"/>
      <w:r w:rsidRPr="00A73BA5">
        <w:rPr>
          <w:rFonts w:ascii="Segoe UI" w:hAnsi="Segoe UI" w:cs="Segoe UI"/>
          <w:u w:val="single"/>
        </w:rPr>
        <w:t>Tableau1 :</w:t>
      </w:r>
      <w:r w:rsidR="00CA0D2B">
        <w:rPr>
          <w:rFonts w:ascii="Segoe UI" w:hAnsi="Segoe UI" w:cs="Segoe UI"/>
        </w:rPr>
        <w:t xml:space="preserve"> </w:t>
      </w:r>
      <w:r w:rsidR="00CA0D2B" w:rsidRPr="00CA0D2B">
        <w:rPr>
          <w:rFonts w:ascii="Segoe UI" w:hAnsi="Segoe UI" w:cs="Segoe UI"/>
          <w:sz w:val="24"/>
          <w:szCs w:val="24"/>
        </w:rPr>
        <w:t xml:space="preserve">Evolution </w:t>
      </w:r>
      <w:r w:rsidRPr="00CA0D2B">
        <w:rPr>
          <w:rFonts w:ascii="Segoe UI" w:hAnsi="Segoe UI" w:cs="Segoe UI"/>
          <w:sz w:val="24"/>
          <w:szCs w:val="24"/>
        </w:rPr>
        <w:t>des réalisations des recettes</w:t>
      </w:r>
      <w:r w:rsidR="00B74ED3" w:rsidRPr="00CA0D2B">
        <w:rPr>
          <w:rFonts w:ascii="Segoe UI" w:hAnsi="Segoe UI" w:cs="Segoe UI"/>
          <w:sz w:val="24"/>
          <w:szCs w:val="24"/>
        </w:rPr>
        <w:t xml:space="preserve"> brutes</w:t>
      </w:r>
      <w:r w:rsidR="00DA76CB">
        <w:rPr>
          <w:rFonts w:ascii="Segoe UI" w:hAnsi="Segoe UI" w:cs="Segoe UI"/>
          <w:sz w:val="24"/>
          <w:szCs w:val="24"/>
        </w:rPr>
        <w:t xml:space="preserve"> des </w:t>
      </w:r>
      <w:r w:rsidRPr="00CA0D2B">
        <w:rPr>
          <w:rFonts w:ascii="Segoe UI" w:hAnsi="Segoe UI" w:cs="Segoe UI"/>
          <w:sz w:val="24"/>
          <w:szCs w:val="24"/>
        </w:rPr>
        <w:t>administrations financières au 3</w:t>
      </w:r>
      <w:r w:rsidR="00E670E1" w:rsidRPr="00CA0D2B">
        <w:rPr>
          <w:rFonts w:ascii="Segoe UI" w:hAnsi="Segoe UI" w:cs="Segoe UI"/>
          <w:sz w:val="24"/>
          <w:szCs w:val="24"/>
        </w:rPr>
        <w:t>1</w:t>
      </w:r>
      <w:r w:rsidR="00735E57" w:rsidRPr="00CA0D2B">
        <w:rPr>
          <w:rFonts w:ascii="Segoe UI" w:hAnsi="Segoe UI" w:cs="Segoe UI"/>
          <w:sz w:val="24"/>
          <w:szCs w:val="24"/>
        </w:rPr>
        <w:t xml:space="preserve"> </w:t>
      </w:r>
      <w:r w:rsidR="00A72A54" w:rsidRPr="00CA0D2B">
        <w:rPr>
          <w:rFonts w:ascii="Segoe UI" w:hAnsi="Segoe UI" w:cs="Segoe UI"/>
          <w:sz w:val="24"/>
          <w:szCs w:val="24"/>
        </w:rPr>
        <w:t>mars</w:t>
      </w:r>
      <w:r w:rsidRPr="00CA0D2B">
        <w:rPr>
          <w:rFonts w:ascii="Segoe UI" w:hAnsi="Segoe UI" w:cs="Segoe UI"/>
          <w:sz w:val="24"/>
          <w:szCs w:val="24"/>
        </w:rPr>
        <w:t xml:space="preserve"> 201</w:t>
      </w:r>
      <w:r w:rsidR="003F66B8" w:rsidRPr="00CA0D2B">
        <w:rPr>
          <w:rFonts w:ascii="Segoe UI" w:hAnsi="Segoe UI" w:cs="Segoe UI"/>
          <w:sz w:val="24"/>
          <w:szCs w:val="24"/>
        </w:rPr>
        <w:t>6</w:t>
      </w:r>
      <w:r w:rsidRPr="00CA0D2B">
        <w:rPr>
          <w:rFonts w:ascii="Segoe UI" w:hAnsi="Segoe UI" w:cs="Segoe UI"/>
          <w:sz w:val="24"/>
          <w:szCs w:val="24"/>
        </w:rPr>
        <w:t xml:space="preserve"> et 201</w:t>
      </w:r>
      <w:r w:rsidR="00961546" w:rsidRPr="00CA0D2B">
        <w:rPr>
          <w:rFonts w:ascii="Segoe UI" w:hAnsi="Segoe UI" w:cs="Segoe UI"/>
          <w:sz w:val="24"/>
          <w:szCs w:val="24"/>
        </w:rPr>
        <w:t>7</w:t>
      </w:r>
      <w:bookmarkEnd w:id="9"/>
    </w:p>
    <w:p w14:paraId="6CBD8D4E" w14:textId="77777777" w:rsidR="00CA0D2B" w:rsidRPr="00CA0D2B" w:rsidRDefault="00032CB3" w:rsidP="00735E57">
      <w:pPr>
        <w:pStyle w:val="Listedestableaux"/>
        <w:rPr>
          <w:rFonts w:ascii="Segoe UI" w:hAnsi="Segoe UI" w:cs="Segoe UI"/>
          <w:sz w:val="8"/>
          <w:szCs w:val="24"/>
        </w:rPr>
      </w:pPr>
      <w:r w:rsidRPr="00CA0D2B">
        <w:rPr>
          <w:rFonts w:ascii="Segoe UI" w:hAnsi="Segoe UI" w:cs="Segoe UI"/>
          <w:sz w:val="24"/>
          <w:szCs w:val="24"/>
        </w:rPr>
        <w:t xml:space="preserve">                                               </w:t>
      </w:r>
      <w:r w:rsidR="00CA0D2B">
        <w:rPr>
          <w:rFonts w:ascii="Segoe UI" w:hAnsi="Segoe UI" w:cs="Segoe UI"/>
          <w:sz w:val="24"/>
          <w:szCs w:val="24"/>
        </w:rPr>
        <w:t xml:space="preserve"> </w:t>
      </w:r>
    </w:p>
    <w:p w14:paraId="3EE2D888" w14:textId="77777777" w:rsidR="00032CB3" w:rsidRPr="001541CB" w:rsidRDefault="00CA0D2B" w:rsidP="00332584">
      <w:pPr>
        <w:pStyle w:val="Listedestableaux"/>
        <w:spacing w:line="240" w:lineRule="auto"/>
        <w:rPr>
          <w:rFonts w:ascii="Segoe UI" w:hAnsi="Segoe UI" w:cs="Segoe UI"/>
          <w:b w:val="0"/>
          <w:sz w:val="24"/>
          <w:szCs w:val="24"/>
        </w:rPr>
      </w:pPr>
      <w:r>
        <w:rPr>
          <w:rFonts w:ascii="Segoe UI" w:hAnsi="Segoe UI" w:cs="Segoe UI"/>
        </w:rPr>
        <w:t xml:space="preserve">                                                                                </w:t>
      </w:r>
      <w:r w:rsidR="00032CB3">
        <w:rPr>
          <w:rFonts w:ascii="Segoe UI" w:hAnsi="Segoe UI" w:cs="Segoe UI"/>
        </w:rPr>
        <w:t xml:space="preserve">      </w:t>
      </w:r>
      <w:bookmarkStart w:id="10" w:name="_Toc481952103"/>
      <w:r w:rsidR="00032CB3" w:rsidRPr="001541CB">
        <w:rPr>
          <w:rFonts w:ascii="Segoe UI" w:eastAsia="Times New Roman" w:hAnsi="Segoe UI" w:cs="Segoe UI"/>
          <w:b w:val="0"/>
          <w:sz w:val="24"/>
          <w:szCs w:val="24"/>
        </w:rPr>
        <w:t>En millions de FCFA</w:t>
      </w:r>
      <w:bookmarkEnd w:id="10"/>
    </w:p>
    <w:tbl>
      <w:tblPr>
        <w:tblW w:w="9616" w:type="dxa"/>
        <w:tblInd w:w="-356" w:type="dxa"/>
        <w:tblLayout w:type="fixed"/>
        <w:tblCellMar>
          <w:left w:w="70" w:type="dxa"/>
          <w:right w:w="70" w:type="dxa"/>
        </w:tblCellMar>
        <w:tblLook w:val="04A0" w:firstRow="1" w:lastRow="0" w:firstColumn="1" w:lastColumn="0" w:noHBand="0" w:noVBand="1"/>
      </w:tblPr>
      <w:tblGrid>
        <w:gridCol w:w="1253"/>
        <w:gridCol w:w="1158"/>
        <w:gridCol w:w="1276"/>
        <w:gridCol w:w="708"/>
        <w:gridCol w:w="1134"/>
        <w:gridCol w:w="1276"/>
        <w:gridCol w:w="709"/>
        <w:gridCol w:w="1134"/>
        <w:gridCol w:w="968"/>
      </w:tblGrid>
      <w:tr w:rsidR="00032CB3" w:rsidRPr="008A65E9" w14:paraId="3C66501B" w14:textId="77777777" w:rsidTr="000E14F0">
        <w:trPr>
          <w:trHeight w:val="255"/>
        </w:trPr>
        <w:tc>
          <w:tcPr>
            <w:tcW w:w="1253"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1F99A22A" w14:textId="77777777" w:rsidR="00032CB3" w:rsidRPr="002E4977" w:rsidRDefault="00ED1BAC" w:rsidP="003F3C39">
            <w:pPr>
              <w:spacing w:line="240" w:lineRule="auto"/>
              <w:rPr>
                <w:rFonts w:ascii="Segoe UI" w:hAnsi="Segoe UI" w:cs="Segoe UI"/>
                <w:b/>
                <w:sz w:val="20"/>
                <w:szCs w:val="20"/>
              </w:rPr>
            </w:pPr>
            <w:r w:rsidRPr="002E4977">
              <w:rPr>
                <w:rFonts w:ascii="Segoe UI" w:hAnsi="Segoe UI" w:cs="Segoe UI"/>
                <w:b/>
                <w:sz w:val="20"/>
                <w:szCs w:val="20"/>
              </w:rPr>
              <w:t xml:space="preserve">  </w:t>
            </w:r>
            <w:r w:rsidR="00032CB3" w:rsidRPr="002E4977">
              <w:rPr>
                <w:rFonts w:ascii="Segoe UI" w:hAnsi="Segoe UI" w:cs="Segoe UI"/>
                <w:b/>
                <w:sz w:val="20"/>
                <w:szCs w:val="20"/>
              </w:rPr>
              <w:t>Régies</w:t>
            </w:r>
          </w:p>
        </w:tc>
        <w:tc>
          <w:tcPr>
            <w:tcW w:w="24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63EEE70B" w14:textId="5CCFD202" w:rsidR="00032CB3" w:rsidRPr="002E4977" w:rsidRDefault="00032CB3" w:rsidP="003F3C39">
            <w:pPr>
              <w:spacing w:line="240" w:lineRule="auto"/>
              <w:jc w:val="center"/>
              <w:rPr>
                <w:rFonts w:ascii="Segoe UI" w:hAnsi="Segoe UI" w:cs="Segoe UI"/>
                <w:b/>
                <w:sz w:val="20"/>
                <w:szCs w:val="20"/>
              </w:rPr>
            </w:pPr>
            <w:r w:rsidRPr="002E4977">
              <w:rPr>
                <w:rFonts w:ascii="Segoe UI" w:hAnsi="Segoe UI" w:cs="Segoe UI"/>
                <w:b/>
                <w:sz w:val="20"/>
                <w:szCs w:val="20"/>
              </w:rPr>
              <w:t>2016</w:t>
            </w:r>
            <w:r w:rsidR="00AA1791">
              <w:rPr>
                <w:rFonts w:ascii="Segoe UI" w:hAnsi="Segoe UI" w:cs="Segoe UI"/>
                <w:b/>
                <w:sz w:val="20"/>
                <w:szCs w:val="20"/>
              </w:rPr>
              <w:t xml:space="preserve"> (LFR)</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227D44" w14:textId="77777777" w:rsidR="00032CB3" w:rsidRPr="002E4977" w:rsidRDefault="00032CB3" w:rsidP="003F3C39">
            <w:pPr>
              <w:spacing w:line="240" w:lineRule="auto"/>
              <w:jc w:val="center"/>
              <w:rPr>
                <w:rFonts w:ascii="Segoe UI" w:hAnsi="Segoe UI" w:cs="Segoe UI"/>
                <w:sz w:val="20"/>
                <w:szCs w:val="20"/>
              </w:rPr>
            </w:pPr>
            <w:r w:rsidRPr="002E4977">
              <w:rPr>
                <w:rFonts w:ascii="Segoe UI" w:hAnsi="Segoe UI" w:cs="Segoe UI"/>
                <w:sz w:val="20"/>
                <w:szCs w:val="20"/>
              </w:rPr>
              <w:t>Taux (%)</w:t>
            </w:r>
          </w:p>
        </w:tc>
        <w:tc>
          <w:tcPr>
            <w:tcW w:w="241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92C859A" w14:textId="2BB87703" w:rsidR="00032CB3" w:rsidRPr="002E4977" w:rsidRDefault="00032CB3" w:rsidP="003F3C39">
            <w:pPr>
              <w:spacing w:line="240" w:lineRule="auto"/>
              <w:jc w:val="center"/>
              <w:rPr>
                <w:rFonts w:ascii="Segoe UI" w:hAnsi="Segoe UI" w:cs="Segoe UI"/>
                <w:b/>
                <w:sz w:val="20"/>
                <w:szCs w:val="20"/>
              </w:rPr>
            </w:pPr>
            <w:r w:rsidRPr="002E4977">
              <w:rPr>
                <w:rFonts w:ascii="Segoe UI" w:hAnsi="Segoe UI" w:cs="Segoe UI"/>
                <w:b/>
                <w:sz w:val="20"/>
                <w:szCs w:val="20"/>
              </w:rPr>
              <w:t>2017</w:t>
            </w:r>
            <w:r w:rsidR="00AA1791">
              <w:rPr>
                <w:rFonts w:ascii="Segoe UI" w:hAnsi="Segoe UI" w:cs="Segoe UI"/>
                <w:b/>
                <w:sz w:val="20"/>
                <w:szCs w:val="20"/>
              </w:rPr>
              <w:t xml:space="preserve"> (LFI)</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0E2E00" w14:textId="77777777" w:rsidR="00032CB3" w:rsidRPr="002E4977" w:rsidRDefault="00032CB3" w:rsidP="003F3C39">
            <w:pPr>
              <w:spacing w:line="240" w:lineRule="auto"/>
              <w:jc w:val="center"/>
              <w:rPr>
                <w:rFonts w:ascii="Segoe UI" w:hAnsi="Segoe UI" w:cs="Segoe UI"/>
                <w:sz w:val="20"/>
                <w:szCs w:val="20"/>
              </w:rPr>
            </w:pPr>
            <w:r w:rsidRPr="002E4977">
              <w:rPr>
                <w:rFonts w:ascii="Segoe UI" w:hAnsi="Segoe UI" w:cs="Segoe UI"/>
                <w:sz w:val="20"/>
                <w:szCs w:val="20"/>
              </w:rPr>
              <w:t>Taux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793A9" w14:textId="77777777" w:rsidR="00032CB3" w:rsidRPr="002E4977" w:rsidRDefault="00032CB3" w:rsidP="003F3C39">
            <w:pPr>
              <w:spacing w:line="240" w:lineRule="auto"/>
              <w:jc w:val="center"/>
              <w:rPr>
                <w:rFonts w:ascii="Segoe UI" w:hAnsi="Segoe UI" w:cs="Segoe UI"/>
                <w:sz w:val="20"/>
                <w:szCs w:val="20"/>
              </w:rPr>
            </w:pPr>
            <w:r w:rsidRPr="002E4977">
              <w:rPr>
                <w:rFonts w:ascii="Segoe UI" w:hAnsi="Segoe UI" w:cs="Segoe UI"/>
                <w:sz w:val="20"/>
                <w:szCs w:val="20"/>
              </w:rPr>
              <w:t>Ecarts</w:t>
            </w:r>
          </w:p>
        </w:tc>
        <w:tc>
          <w:tcPr>
            <w:tcW w:w="9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B8962E" w14:textId="77777777" w:rsidR="00032CB3" w:rsidRPr="002E4977" w:rsidRDefault="00C85530" w:rsidP="003F3C39">
            <w:pPr>
              <w:spacing w:line="240" w:lineRule="auto"/>
              <w:jc w:val="center"/>
              <w:rPr>
                <w:rFonts w:ascii="Segoe UI" w:hAnsi="Segoe UI" w:cs="Segoe UI"/>
                <w:sz w:val="20"/>
                <w:szCs w:val="20"/>
              </w:rPr>
            </w:pPr>
            <w:r w:rsidRPr="002E4977">
              <w:rPr>
                <w:rFonts w:ascii="Segoe UI" w:hAnsi="Segoe UI" w:cs="Segoe UI"/>
                <w:sz w:val="20"/>
                <w:szCs w:val="20"/>
              </w:rPr>
              <w:t>Taux d'</w:t>
            </w:r>
            <w:proofErr w:type="spellStart"/>
            <w:r w:rsidRPr="002E4977">
              <w:rPr>
                <w:rFonts w:ascii="Segoe UI" w:hAnsi="Segoe UI" w:cs="Segoe UI"/>
                <w:sz w:val="20"/>
                <w:szCs w:val="20"/>
              </w:rPr>
              <w:t>accroi</w:t>
            </w:r>
            <w:proofErr w:type="spellEnd"/>
          </w:p>
        </w:tc>
      </w:tr>
      <w:tr w:rsidR="0015077C" w:rsidRPr="008A65E9" w14:paraId="52642029" w14:textId="77777777" w:rsidTr="00ED1BAC">
        <w:trPr>
          <w:trHeight w:val="252"/>
        </w:trPr>
        <w:tc>
          <w:tcPr>
            <w:tcW w:w="1253" w:type="dxa"/>
            <w:vMerge/>
            <w:tcBorders>
              <w:top w:val="single" w:sz="4" w:space="0" w:color="auto"/>
              <w:left w:val="single" w:sz="4" w:space="0" w:color="auto"/>
              <w:bottom w:val="single" w:sz="4" w:space="0" w:color="000000"/>
              <w:right w:val="single" w:sz="4" w:space="0" w:color="auto"/>
            </w:tcBorders>
            <w:vAlign w:val="center"/>
            <w:hideMark/>
          </w:tcPr>
          <w:p w14:paraId="3C1BFD24" w14:textId="77777777" w:rsidR="0015077C" w:rsidRPr="002E4977" w:rsidRDefault="0015077C">
            <w:pPr>
              <w:rPr>
                <w:rFonts w:ascii="Segoe UI" w:hAnsi="Segoe UI" w:cs="Segoe UI"/>
                <w:b/>
                <w:sz w:val="20"/>
                <w:szCs w:val="20"/>
              </w:rPr>
            </w:pPr>
          </w:p>
        </w:tc>
        <w:tc>
          <w:tcPr>
            <w:tcW w:w="1158" w:type="dxa"/>
            <w:tcBorders>
              <w:top w:val="nil"/>
              <w:left w:val="nil"/>
              <w:bottom w:val="single" w:sz="4" w:space="0" w:color="auto"/>
              <w:right w:val="single" w:sz="4" w:space="0" w:color="auto"/>
            </w:tcBorders>
            <w:shd w:val="clear" w:color="auto" w:fill="auto"/>
            <w:noWrap/>
            <w:vAlign w:val="center"/>
            <w:hideMark/>
          </w:tcPr>
          <w:p w14:paraId="18CB260C" w14:textId="621E218D" w:rsidR="0015077C" w:rsidRPr="002E4977" w:rsidRDefault="0015077C" w:rsidP="007520DD">
            <w:pPr>
              <w:jc w:val="center"/>
              <w:rPr>
                <w:rFonts w:ascii="Segoe UI" w:hAnsi="Segoe UI" w:cs="Segoe UI"/>
                <w:sz w:val="20"/>
                <w:szCs w:val="20"/>
              </w:rPr>
            </w:pPr>
            <w:proofErr w:type="spellStart"/>
            <w:r w:rsidRPr="002E4977">
              <w:rPr>
                <w:rFonts w:ascii="Segoe UI" w:hAnsi="Segoe UI" w:cs="Segoe UI"/>
                <w:sz w:val="20"/>
                <w:szCs w:val="20"/>
              </w:rPr>
              <w:t>Prév</w:t>
            </w:r>
            <w:proofErr w:type="spellEnd"/>
            <w:r w:rsidR="00A809FB">
              <w:rPr>
                <w:rFonts w:ascii="Segoe UI" w:hAnsi="Segoe UI" w:cs="Segoe UI"/>
                <w:sz w:val="20"/>
                <w:szCs w:val="20"/>
              </w:rPr>
              <w:t>. annuelle</w:t>
            </w:r>
          </w:p>
        </w:tc>
        <w:tc>
          <w:tcPr>
            <w:tcW w:w="1276" w:type="dxa"/>
            <w:tcBorders>
              <w:top w:val="nil"/>
              <w:left w:val="nil"/>
              <w:bottom w:val="single" w:sz="4" w:space="0" w:color="auto"/>
              <w:right w:val="single" w:sz="4" w:space="0" w:color="auto"/>
            </w:tcBorders>
            <w:shd w:val="clear" w:color="auto" w:fill="auto"/>
            <w:noWrap/>
            <w:vAlign w:val="center"/>
            <w:hideMark/>
          </w:tcPr>
          <w:p w14:paraId="447F5747" w14:textId="77777777" w:rsidR="0015077C" w:rsidRPr="002E4977" w:rsidRDefault="0015077C" w:rsidP="007520DD">
            <w:pPr>
              <w:jc w:val="center"/>
              <w:rPr>
                <w:rFonts w:ascii="Segoe UI" w:hAnsi="Segoe UI" w:cs="Segoe UI"/>
                <w:sz w:val="20"/>
                <w:szCs w:val="20"/>
              </w:rPr>
            </w:pPr>
            <w:r w:rsidRPr="002E4977">
              <w:rPr>
                <w:rFonts w:ascii="Segoe UI" w:hAnsi="Segoe UI" w:cs="Segoe UI"/>
                <w:sz w:val="20"/>
                <w:szCs w:val="20"/>
              </w:rPr>
              <w:t>Réal.</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4440C1E" w14:textId="77777777" w:rsidR="0015077C" w:rsidRPr="002E4977" w:rsidRDefault="0015077C">
            <w:pPr>
              <w:rPr>
                <w:rFonts w:ascii="Segoe UI" w:hAnsi="Segoe UI" w:cs="Segoe UI"/>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2191C61F" w14:textId="38FA19EE" w:rsidR="0015077C" w:rsidRPr="002E4977" w:rsidRDefault="0015077C" w:rsidP="007520DD">
            <w:pPr>
              <w:jc w:val="center"/>
              <w:rPr>
                <w:rFonts w:ascii="Segoe UI" w:hAnsi="Segoe UI" w:cs="Segoe UI"/>
                <w:sz w:val="20"/>
                <w:szCs w:val="20"/>
              </w:rPr>
            </w:pPr>
            <w:proofErr w:type="spellStart"/>
            <w:r w:rsidRPr="002E4977">
              <w:rPr>
                <w:rFonts w:ascii="Segoe UI" w:hAnsi="Segoe UI" w:cs="Segoe UI"/>
                <w:sz w:val="20"/>
                <w:szCs w:val="20"/>
              </w:rPr>
              <w:t>Prév</w:t>
            </w:r>
            <w:proofErr w:type="spellEnd"/>
            <w:r w:rsidR="00A809FB">
              <w:rPr>
                <w:rFonts w:ascii="Segoe UI" w:hAnsi="Segoe UI" w:cs="Segoe UI"/>
                <w:sz w:val="20"/>
                <w:szCs w:val="20"/>
              </w:rPr>
              <w:t>. annuelle</w:t>
            </w:r>
          </w:p>
        </w:tc>
        <w:tc>
          <w:tcPr>
            <w:tcW w:w="1276" w:type="dxa"/>
            <w:tcBorders>
              <w:top w:val="nil"/>
              <w:left w:val="nil"/>
              <w:bottom w:val="single" w:sz="4" w:space="0" w:color="auto"/>
              <w:right w:val="single" w:sz="4" w:space="0" w:color="auto"/>
            </w:tcBorders>
            <w:shd w:val="clear" w:color="auto" w:fill="auto"/>
            <w:noWrap/>
            <w:vAlign w:val="center"/>
            <w:hideMark/>
          </w:tcPr>
          <w:p w14:paraId="706A6A53" w14:textId="77777777" w:rsidR="0015077C" w:rsidRPr="002E4977" w:rsidRDefault="0015077C" w:rsidP="007520DD">
            <w:pPr>
              <w:jc w:val="center"/>
              <w:rPr>
                <w:rFonts w:ascii="Segoe UI" w:hAnsi="Segoe UI" w:cs="Segoe UI"/>
                <w:sz w:val="20"/>
                <w:szCs w:val="20"/>
              </w:rPr>
            </w:pPr>
            <w:r w:rsidRPr="002E4977">
              <w:rPr>
                <w:rFonts w:ascii="Segoe UI" w:hAnsi="Segoe UI" w:cs="Segoe UI"/>
                <w:sz w:val="20"/>
                <w:szCs w:val="20"/>
              </w:rPr>
              <w:t>Réal.</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D7DF4E7" w14:textId="77777777" w:rsidR="0015077C" w:rsidRPr="002E4977" w:rsidRDefault="0015077C">
            <w:pPr>
              <w:rPr>
                <w:rFonts w:ascii="Segoe UI" w:hAnsi="Segoe UI" w:cs="Segoe UI"/>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4291A69" w14:textId="77777777" w:rsidR="0015077C" w:rsidRPr="002E4977" w:rsidRDefault="0015077C">
            <w:pPr>
              <w:rPr>
                <w:rFonts w:ascii="Segoe UI" w:hAnsi="Segoe UI" w:cs="Segoe UI"/>
                <w:sz w:val="20"/>
                <w:szCs w:val="20"/>
              </w:rPr>
            </w:pPr>
          </w:p>
        </w:tc>
        <w:tc>
          <w:tcPr>
            <w:tcW w:w="968" w:type="dxa"/>
            <w:vMerge/>
            <w:tcBorders>
              <w:top w:val="single" w:sz="4" w:space="0" w:color="auto"/>
              <w:left w:val="single" w:sz="4" w:space="0" w:color="auto"/>
              <w:bottom w:val="single" w:sz="4" w:space="0" w:color="auto"/>
              <w:right w:val="single" w:sz="4" w:space="0" w:color="auto"/>
            </w:tcBorders>
            <w:vAlign w:val="center"/>
            <w:hideMark/>
          </w:tcPr>
          <w:p w14:paraId="57E6F57A" w14:textId="77777777" w:rsidR="0015077C" w:rsidRPr="002E4977" w:rsidRDefault="0015077C">
            <w:pPr>
              <w:rPr>
                <w:rFonts w:ascii="Segoe UI" w:hAnsi="Segoe UI" w:cs="Segoe UI"/>
                <w:sz w:val="20"/>
                <w:szCs w:val="20"/>
              </w:rPr>
            </w:pPr>
          </w:p>
        </w:tc>
      </w:tr>
      <w:tr w:rsidR="00032CB3" w:rsidRPr="008A65E9" w14:paraId="51AC4817" w14:textId="77777777" w:rsidTr="000E14F0">
        <w:trPr>
          <w:trHeight w:val="315"/>
        </w:trPr>
        <w:tc>
          <w:tcPr>
            <w:tcW w:w="1253" w:type="dxa"/>
            <w:tcBorders>
              <w:top w:val="nil"/>
              <w:left w:val="single" w:sz="4" w:space="0" w:color="auto"/>
              <w:bottom w:val="single" w:sz="4" w:space="0" w:color="auto"/>
              <w:right w:val="single" w:sz="4" w:space="0" w:color="auto"/>
            </w:tcBorders>
            <w:shd w:val="clear" w:color="auto" w:fill="auto"/>
            <w:noWrap/>
            <w:vAlign w:val="center"/>
            <w:hideMark/>
          </w:tcPr>
          <w:p w14:paraId="6632B2BD" w14:textId="77777777" w:rsidR="00032CB3" w:rsidRPr="002E4977" w:rsidRDefault="00032CB3" w:rsidP="00AB69B0">
            <w:pPr>
              <w:jc w:val="center"/>
              <w:rPr>
                <w:rFonts w:ascii="Segoe UI" w:hAnsi="Segoe UI" w:cs="Segoe UI"/>
                <w:b/>
                <w:sz w:val="20"/>
                <w:szCs w:val="20"/>
              </w:rPr>
            </w:pPr>
            <w:r w:rsidRPr="002E4977">
              <w:rPr>
                <w:rFonts w:ascii="Segoe UI" w:hAnsi="Segoe UI" w:cs="Segoe UI"/>
                <w:b/>
                <w:sz w:val="20"/>
                <w:szCs w:val="20"/>
              </w:rPr>
              <w:t>Douanes</w:t>
            </w:r>
          </w:p>
        </w:tc>
        <w:tc>
          <w:tcPr>
            <w:tcW w:w="1158" w:type="dxa"/>
            <w:tcBorders>
              <w:top w:val="nil"/>
              <w:left w:val="nil"/>
              <w:bottom w:val="single" w:sz="4" w:space="0" w:color="auto"/>
              <w:right w:val="single" w:sz="4" w:space="0" w:color="auto"/>
            </w:tcBorders>
            <w:shd w:val="clear" w:color="auto" w:fill="auto"/>
            <w:noWrap/>
            <w:vAlign w:val="center"/>
            <w:hideMark/>
          </w:tcPr>
          <w:p w14:paraId="41FFE170" w14:textId="06B40D29" w:rsidR="00032CB3" w:rsidRPr="002E4977" w:rsidRDefault="00F80071" w:rsidP="00AB69B0">
            <w:pPr>
              <w:jc w:val="center"/>
              <w:rPr>
                <w:rFonts w:ascii="Segoe UI" w:hAnsi="Segoe UI" w:cs="Segoe UI"/>
                <w:sz w:val="20"/>
                <w:szCs w:val="20"/>
              </w:rPr>
            </w:pPr>
            <w:r>
              <w:rPr>
                <w:rFonts w:ascii="Segoe UI" w:hAnsi="Segoe UI" w:cs="Segoe UI"/>
                <w:sz w:val="20"/>
                <w:szCs w:val="20"/>
              </w:rPr>
              <w:t>363702</w:t>
            </w:r>
          </w:p>
        </w:tc>
        <w:tc>
          <w:tcPr>
            <w:tcW w:w="1276" w:type="dxa"/>
            <w:tcBorders>
              <w:top w:val="nil"/>
              <w:left w:val="nil"/>
              <w:bottom w:val="single" w:sz="4" w:space="0" w:color="auto"/>
              <w:right w:val="single" w:sz="4" w:space="0" w:color="auto"/>
            </w:tcBorders>
            <w:shd w:val="clear" w:color="auto" w:fill="auto"/>
            <w:noWrap/>
            <w:vAlign w:val="center"/>
            <w:hideMark/>
          </w:tcPr>
          <w:p w14:paraId="10786B4B" w14:textId="77777777" w:rsidR="00032CB3" w:rsidRPr="002E4977" w:rsidRDefault="00032CB3" w:rsidP="00AB69B0">
            <w:pPr>
              <w:jc w:val="center"/>
              <w:rPr>
                <w:rFonts w:ascii="Segoe UI" w:hAnsi="Segoe UI" w:cs="Segoe UI"/>
                <w:sz w:val="20"/>
                <w:szCs w:val="20"/>
              </w:rPr>
            </w:pPr>
            <w:r w:rsidRPr="002E4977">
              <w:rPr>
                <w:rFonts w:ascii="Segoe UI" w:hAnsi="Segoe UI" w:cs="Segoe UI"/>
                <w:sz w:val="20"/>
                <w:szCs w:val="20"/>
              </w:rPr>
              <w:t>71 922,4</w:t>
            </w:r>
          </w:p>
        </w:tc>
        <w:tc>
          <w:tcPr>
            <w:tcW w:w="708" w:type="dxa"/>
            <w:tcBorders>
              <w:top w:val="nil"/>
              <w:left w:val="nil"/>
              <w:bottom w:val="single" w:sz="4" w:space="0" w:color="auto"/>
              <w:right w:val="single" w:sz="4" w:space="0" w:color="auto"/>
            </w:tcBorders>
            <w:shd w:val="clear" w:color="auto" w:fill="auto"/>
            <w:noWrap/>
            <w:vAlign w:val="center"/>
            <w:hideMark/>
          </w:tcPr>
          <w:p w14:paraId="76B8DB68" w14:textId="063A911E" w:rsidR="00032CB3" w:rsidRPr="002E4977" w:rsidRDefault="00F80071" w:rsidP="00F80071">
            <w:pPr>
              <w:jc w:val="center"/>
              <w:rPr>
                <w:rFonts w:ascii="Segoe UI" w:hAnsi="Segoe UI" w:cs="Segoe UI"/>
                <w:sz w:val="20"/>
                <w:szCs w:val="20"/>
              </w:rPr>
            </w:pPr>
            <w:r>
              <w:rPr>
                <w:rFonts w:ascii="Segoe UI" w:hAnsi="Segoe UI" w:cs="Segoe UI"/>
                <w:sz w:val="20"/>
                <w:szCs w:val="20"/>
              </w:rPr>
              <w:t>19,8</w:t>
            </w:r>
          </w:p>
        </w:tc>
        <w:tc>
          <w:tcPr>
            <w:tcW w:w="1134" w:type="dxa"/>
            <w:tcBorders>
              <w:top w:val="nil"/>
              <w:left w:val="nil"/>
              <w:bottom w:val="single" w:sz="4" w:space="0" w:color="auto"/>
              <w:right w:val="single" w:sz="4" w:space="0" w:color="auto"/>
            </w:tcBorders>
            <w:shd w:val="clear" w:color="auto" w:fill="auto"/>
            <w:noWrap/>
            <w:vAlign w:val="center"/>
            <w:hideMark/>
          </w:tcPr>
          <w:p w14:paraId="2CC629B5" w14:textId="77777777" w:rsidR="00032CB3" w:rsidRPr="002E4977" w:rsidRDefault="00032CB3" w:rsidP="00AB69B0">
            <w:pPr>
              <w:jc w:val="center"/>
              <w:rPr>
                <w:rFonts w:ascii="Segoe UI" w:hAnsi="Segoe UI" w:cs="Segoe UI"/>
                <w:sz w:val="20"/>
                <w:szCs w:val="20"/>
              </w:rPr>
            </w:pPr>
            <w:r w:rsidRPr="002E4977">
              <w:rPr>
                <w:rFonts w:ascii="Segoe UI" w:hAnsi="Segoe UI" w:cs="Segoe UI"/>
                <w:sz w:val="20"/>
                <w:szCs w:val="20"/>
              </w:rPr>
              <w:t>383 500</w:t>
            </w:r>
          </w:p>
        </w:tc>
        <w:tc>
          <w:tcPr>
            <w:tcW w:w="1276" w:type="dxa"/>
            <w:tcBorders>
              <w:top w:val="nil"/>
              <w:left w:val="nil"/>
              <w:bottom w:val="single" w:sz="4" w:space="0" w:color="auto"/>
              <w:right w:val="single" w:sz="4" w:space="0" w:color="auto"/>
            </w:tcBorders>
            <w:shd w:val="clear" w:color="auto" w:fill="auto"/>
            <w:noWrap/>
            <w:vAlign w:val="center"/>
            <w:hideMark/>
          </w:tcPr>
          <w:p w14:paraId="493AC139" w14:textId="77777777" w:rsidR="00032CB3" w:rsidRPr="002E4977" w:rsidRDefault="00032CB3" w:rsidP="00AB69B0">
            <w:pPr>
              <w:jc w:val="center"/>
              <w:rPr>
                <w:rFonts w:ascii="Segoe UI" w:hAnsi="Segoe UI" w:cs="Segoe UI"/>
                <w:sz w:val="20"/>
                <w:szCs w:val="20"/>
              </w:rPr>
            </w:pPr>
            <w:r w:rsidRPr="002E4977">
              <w:rPr>
                <w:rFonts w:ascii="Segoe UI" w:hAnsi="Segoe UI" w:cs="Segoe UI"/>
                <w:sz w:val="20"/>
                <w:szCs w:val="20"/>
              </w:rPr>
              <w:t>69 591,1</w:t>
            </w:r>
          </w:p>
        </w:tc>
        <w:tc>
          <w:tcPr>
            <w:tcW w:w="709" w:type="dxa"/>
            <w:tcBorders>
              <w:top w:val="nil"/>
              <w:left w:val="nil"/>
              <w:bottom w:val="single" w:sz="4" w:space="0" w:color="auto"/>
              <w:right w:val="single" w:sz="4" w:space="0" w:color="auto"/>
            </w:tcBorders>
            <w:shd w:val="clear" w:color="auto" w:fill="auto"/>
            <w:noWrap/>
            <w:vAlign w:val="center"/>
            <w:hideMark/>
          </w:tcPr>
          <w:p w14:paraId="6E137195" w14:textId="77777777" w:rsidR="00032CB3" w:rsidRPr="002E4977" w:rsidRDefault="00032CB3" w:rsidP="00AB69B0">
            <w:pPr>
              <w:jc w:val="center"/>
              <w:rPr>
                <w:rFonts w:ascii="Segoe UI" w:hAnsi="Segoe UI" w:cs="Segoe UI"/>
                <w:sz w:val="20"/>
                <w:szCs w:val="20"/>
              </w:rPr>
            </w:pPr>
            <w:r w:rsidRPr="002E4977">
              <w:rPr>
                <w:rFonts w:ascii="Segoe UI" w:hAnsi="Segoe UI" w:cs="Segoe UI"/>
                <w:sz w:val="20"/>
                <w:szCs w:val="20"/>
              </w:rPr>
              <w:t>18,1</w:t>
            </w:r>
          </w:p>
        </w:tc>
        <w:tc>
          <w:tcPr>
            <w:tcW w:w="1134" w:type="dxa"/>
            <w:tcBorders>
              <w:top w:val="nil"/>
              <w:left w:val="nil"/>
              <w:bottom w:val="single" w:sz="4" w:space="0" w:color="auto"/>
              <w:right w:val="single" w:sz="4" w:space="0" w:color="auto"/>
            </w:tcBorders>
            <w:shd w:val="clear" w:color="auto" w:fill="auto"/>
            <w:noWrap/>
            <w:vAlign w:val="center"/>
            <w:hideMark/>
          </w:tcPr>
          <w:p w14:paraId="7AF96513" w14:textId="77777777" w:rsidR="00032CB3" w:rsidRPr="002E4977" w:rsidRDefault="00032CB3" w:rsidP="00AB69B0">
            <w:pPr>
              <w:jc w:val="center"/>
              <w:rPr>
                <w:rFonts w:ascii="Segoe UI" w:hAnsi="Segoe UI" w:cs="Segoe UI"/>
                <w:sz w:val="20"/>
                <w:szCs w:val="20"/>
              </w:rPr>
            </w:pPr>
            <w:r w:rsidRPr="002E4977">
              <w:rPr>
                <w:rFonts w:ascii="Segoe UI" w:hAnsi="Segoe UI" w:cs="Segoe UI"/>
                <w:sz w:val="20"/>
                <w:szCs w:val="20"/>
              </w:rPr>
              <w:t>-</w:t>
            </w:r>
            <w:r w:rsidR="00CE487E" w:rsidRPr="002E4977">
              <w:rPr>
                <w:rFonts w:ascii="Segoe UI" w:hAnsi="Segoe UI" w:cs="Segoe UI"/>
                <w:sz w:val="20"/>
                <w:szCs w:val="20"/>
              </w:rPr>
              <w:t>2 331,3</w:t>
            </w:r>
          </w:p>
        </w:tc>
        <w:tc>
          <w:tcPr>
            <w:tcW w:w="968" w:type="dxa"/>
            <w:tcBorders>
              <w:top w:val="nil"/>
              <w:left w:val="nil"/>
              <w:bottom w:val="single" w:sz="4" w:space="0" w:color="auto"/>
              <w:right w:val="single" w:sz="4" w:space="0" w:color="auto"/>
            </w:tcBorders>
            <w:shd w:val="clear" w:color="auto" w:fill="auto"/>
            <w:noWrap/>
            <w:vAlign w:val="center"/>
            <w:hideMark/>
          </w:tcPr>
          <w:p w14:paraId="4CA78529" w14:textId="77777777" w:rsidR="00032CB3" w:rsidRPr="002E4977" w:rsidRDefault="00B21BB2" w:rsidP="00AB69B0">
            <w:pPr>
              <w:jc w:val="center"/>
              <w:rPr>
                <w:rFonts w:ascii="Segoe UI" w:hAnsi="Segoe UI" w:cs="Segoe UI"/>
                <w:sz w:val="20"/>
                <w:szCs w:val="20"/>
              </w:rPr>
            </w:pPr>
            <w:r w:rsidRPr="002E4977">
              <w:rPr>
                <w:rFonts w:ascii="Segoe UI" w:hAnsi="Segoe UI" w:cs="Segoe UI"/>
                <w:sz w:val="20"/>
                <w:szCs w:val="20"/>
              </w:rPr>
              <w:t xml:space="preserve">- </w:t>
            </w:r>
            <w:r w:rsidR="00E76136" w:rsidRPr="002E4977">
              <w:rPr>
                <w:rFonts w:ascii="Segoe UI" w:hAnsi="Segoe UI" w:cs="Segoe UI"/>
                <w:sz w:val="20"/>
                <w:szCs w:val="20"/>
              </w:rPr>
              <w:t>3,2</w:t>
            </w:r>
          </w:p>
        </w:tc>
      </w:tr>
      <w:tr w:rsidR="00032CB3" w:rsidRPr="008A65E9" w14:paraId="0929FC53" w14:textId="77777777" w:rsidTr="000E14F0">
        <w:trPr>
          <w:trHeight w:val="315"/>
        </w:trPr>
        <w:tc>
          <w:tcPr>
            <w:tcW w:w="1253" w:type="dxa"/>
            <w:tcBorders>
              <w:top w:val="nil"/>
              <w:left w:val="single" w:sz="4" w:space="0" w:color="auto"/>
              <w:bottom w:val="single" w:sz="4" w:space="0" w:color="auto"/>
              <w:right w:val="single" w:sz="4" w:space="0" w:color="auto"/>
            </w:tcBorders>
            <w:shd w:val="clear" w:color="auto" w:fill="auto"/>
            <w:noWrap/>
            <w:vAlign w:val="center"/>
            <w:hideMark/>
          </w:tcPr>
          <w:p w14:paraId="59567E29" w14:textId="77777777" w:rsidR="00032CB3" w:rsidRPr="002E4977" w:rsidRDefault="00032CB3" w:rsidP="00AB69B0">
            <w:pPr>
              <w:jc w:val="center"/>
              <w:rPr>
                <w:rFonts w:ascii="Segoe UI" w:hAnsi="Segoe UI" w:cs="Segoe UI"/>
                <w:b/>
                <w:sz w:val="20"/>
                <w:szCs w:val="20"/>
              </w:rPr>
            </w:pPr>
            <w:r w:rsidRPr="002E4977">
              <w:rPr>
                <w:rFonts w:ascii="Segoe UI" w:hAnsi="Segoe UI" w:cs="Segoe UI"/>
                <w:b/>
                <w:sz w:val="20"/>
                <w:szCs w:val="20"/>
              </w:rPr>
              <w:t>Impôts</w:t>
            </w:r>
          </w:p>
        </w:tc>
        <w:tc>
          <w:tcPr>
            <w:tcW w:w="1158" w:type="dxa"/>
            <w:tcBorders>
              <w:top w:val="nil"/>
              <w:left w:val="nil"/>
              <w:bottom w:val="single" w:sz="4" w:space="0" w:color="auto"/>
              <w:right w:val="single" w:sz="4" w:space="0" w:color="auto"/>
            </w:tcBorders>
            <w:shd w:val="clear" w:color="auto" w:fill="auto"/>
            <w:noWrap/>
            <w:vAlign w:val="center"/>
            <w:hideMark/>
          </w:tcPr>
          <w:p w14:paraId="6632C2A2" w14:textId="77777777" w:rsidR="00032CB3" w:rsidRPr="002E4977" w:rsidRDefault="00032CB3" w:rsidP="00AB69B0">
            <w:pPr>
              <w:jc w:val="center"/>
              <w:rPr>
                <w:rFonts w:ascii="Segoe UI" w:hAnsi="Segoe UI" w:cs="Segoe UI"/>
                <w:sz w:val="20"/>
                <w:szCs w:val="20"/>
              </w:rPr>
            </w:pPr>
            <w:r w:rsidRPr="002E4977">
              <w:rPr>
                <w:rFonts w:ascii="Segoe UI" w:hAnsi="Segoe UI" w:cs="Segoe UI"/>
                <w:sz w:val="20"/>
                <w:szCs w:val="20"/>
              </w:rPr>
              <w:t>407</w:t>
            </w:r>
            <w:r w:rsidR="00B21BB2" w:rsidRPr="002E4977">
              <w:rPr>
                <w:rFonts w:ascii="Segoe UI" w:hAnsi="Segoe UI" w:cs="Segoe UI"/>
                <w:sz w:val="20"/>
                <w:szCs w:val="20"/>
              </w:rPr>
              <w:t xml:space="preserve"> </w:t>
            </w:r>
            <w:r w:rsidRPr="002E4977">
              <w:rPr>
                <w:rFonts w:ascii="Segoe UI" w:hAnsi="Segoe UI" w:cs="Segoe UI"/>
                <w:sz w:val="20"/>
                <w:szCs w:val="20"/>
              </w:rPr>
              <w:t>700</w:t>
            </w:r>
          </w:p>
        </w:tc>
        <w:tc>
          <w:tcPr>
            <w:tcW w:w="1276" w:type="dxa"/>
            <w:tcBorders>
              <w:top w:val="nil"/>
              <w:left w:val="nil"/>
              <w:bottom w:val="single" w:sz="4" w:space="0" w:color="auto"/>
              <w:right w:val="single" w:sz="4" w:space="0" w:color="auto"/>
            </w:tcBorders>
            <w:shd w:val="clear" w:color="auto" w:fill="auto"/>
            <w:noWrap/>
            <w:vAlign w:val="center"/>
            <w:hideMark/>
          </w:tcPr>
          <w:p w14:paraId="4461B597" w14:textId="77777777" w:rsidR="00032CB3" w:rsidRPr="002E4977" w:rsidRDefault="003A77CB" w:rsidP="003A77CB">
            <w:pPr>
              <w:rPr>
                <w:rFonts w:ascii="Segoe UI" w:hAnsi="Segoe UI" w:cs="Segoe UI"/>
                <w:color w:val="000000"/>
                <w:sz w:val="20"/>
                <w:szCs w:val="20"/>
              </w:rPr>
            </w:pPr>
            <w:r w:rsidRPr="002E4977">
              <w:rPr>
                <w:rFonts w:ascii="Segoe UI" w:hAnsi="Segoe UI" w:cs="Segoe UI"/>
                <w:color w:val="000000"/>
                <w:sz w:val="20"/>
                <w:szCs w:val="20"/>
              </w:rPr>
              <w:t xml:space="preserve">102 </w:t>
            </w:r>
            <w:r w:rsidR="00032CB3" w:rsidRPr="002E4977">
              <w:rPr>
                <w:rFonts w:ascii="Segoe UI" w:hAnsi="Segoe UI" w:cs="Segoe UI"/>
                <w:color w:val="000000"/>
                <w:sz w:val="20"/>
                <w:szCs w:val="20"/>
              </w:rPr>
              <w:t>266,2</w:t>
            </w:r>
          </w:p>
        </w:tc>
        <w:tc>
          <w:tcPr>
            <w:tcW w:w="708" w:type="dxa"/>
            <w:tcBorders>
              <w:top w:val="nil"/>
              <w:left w:val="nil"/>
              <w:bottom w:val="single" w:sz="4" w:space="0" w:color="auto"/>
              <w:right w:val="single" w:sz="4" w:space="0" w:color="auto"/>
            </w:tcBorders>
            <w:shd w:val="clear" w:color="auto" w:fill="auto"/>
            <w:noWrap/>
            <w:vAlign w:val="center"/>
            <w:hideMark/>
          </w:tcPr>
          <w:p w14:paraId="73803B8B" w14:textId="77777777" w:rsidR="00032CB3" w:rsidRPr="002E4977" w:rsidRDefault="00032CB3" w:rsidP="00AB69B0">
            <w:pPr>
              <w:jc w:val="center"/>
              <w:rPr>
                <w:rFonts w:ascii="Segoe UI" w:hAnsi="Segoe UI" w:cs="Segoe UI"/>
                <w:sz w:val="20"/>
                <w:szCs w:val="20"/>
              </w:rPr>
            </w:pPr>
            <w:r w:rsidRPr="002E4977">
              <w:rPr>
                <w:rFonts w:ascii="Segoe UI" w:hAnsi="Segoe UI" w:cs="Segoe UI"/>
                <w:sz w:val="20"/>
                <w:szCs w:val="20"/>
              </w:rPr>
              <w:t>25,1</w:t>
            </w:r>
          </w:p>
        </w:tc>
        <w:tc>
          <w:tcPr>
            <w:tcW w:w="1134" w:type="dxa"/>
            <w:tcBorders>
              <w:top w:val="nil"/>
              <w:left w:val="nil"/>
              <w:bottom w:val="single" w:sz="4" w:space="0" w:color="auto"/>
              <w:right w:val="single" w:sz="4" w:space="0" w:color="auto"/>
            </w:tcBorders>
            <w:shd w:val="clear" w:color="auto" w:fill="auto"/>
            <w:noWrap/>
            <w:vAlign w:val="center"/>
            <w:hideMark/>
          </w:tcPr>
          <w:p w14:paraId="19792D99" w14:textId="77777777" w:rsidR="00032CB3" w:rsidRPr="002E4977" w:rsidRDefault="00032CB3" w:rsidP="00AB69B0">
            <w:pPr>
              <w:jc w:val="center"/>
              <w:rPr>
                <w:rFonts w:ascii="Segoe UI" w:hAnsi="Segoe UI" w:cs="Segoe UI"/>
                <w:sz w:val="20"/>
                <w:szCs w:val="20"/>
              </w:rPr>
            </w:pPr>
            <w:r w:rsidRPr="002E4977">
              <w:rPr>
                <w:rFonts w:ascii="Segoe UI" w:hAnsi="Segoe UI" w:cs="Segoe UI"/>
                <w:sz w:val="20"/>
                <w:szCs w:val="20"/>
              </w:rPr>
              <w:t>415 200</w:t>
            </w:r>
          </w:p>
        </w:tc>
        <w:tc>
          <w:tcPr>
            <w:tcW w:w="1276" w:type="dxa"/>
            <w:tcBorders>
              <w:top w:val="nil"/>
              <w:left w:val="nil"/>
              <w:bottom w:val="single" w:sz="4" w:space="0" w:color="auto"/>
              <w:right w:val="single" w:sz="4" w:space="0" w:color="auto"/>
            </w:tcBorders>
            <w:shd w:val="clear" w:color="auto" w:fill="auto"/>
            <w:noWrap/>
            <w:vAlign w:val="center"/>
            <w:hideMark/>
          </w:tcPr>
          <w:p w14:paraId="58D701D9" w14:textId="77777777" w:rsidR="00032CB3" w:rsidRPr="002E4977" w:rsidRDefault="00032CB3" w:rsidP="00AB69B0">
            <w:pPr>
              <w:jc w:val="center"/>
              <w:rPr>
                <w:rFonts w:ascii="Segoe UI" w:hAnsi="Segoe UI" w:cs="Segoe UI"/>
                <w:color w:val="000000"/>
                <w:sz w:val="20"/>
                <w:szCs w:val="20"/>
              </w:rPr>
            </w:pPr>
            <w:r w:rsidRPr="002E4977">
              <w:rPr>
                <w:rFonts w:ascii="Segoe UI" w:hAnsi="Segoe UI" w:cs="Segoe UI"/>
                <w:color w:val="000000"/>
                <w:sz w:val="20"/>
                <w:szCs w:val="20"/>
              </w:rPr>
              <w:t>92 502,3</w:t>
            </w:r>
          </w:p>
        </w:tc>
        <w:tc>
          <w:tcPr>
            <w:tcW w:w="709" w:type="dxa"/>
            <w:tcBorders>
              <w:top w:val="nil"/>
              <w:left w:val="nil"/>
              <w:bottom w:val="single" w:sz="4" w:space="0" w:color="auto"/>
              <w:right w:val="single" w:sz="4" w:space="0" w:color="auto"/>
            </w:tcBorders>
            <w:shd w:val="clear" w:color="auto" w:fill="auto"/>
            <w:noWrap/>
            <w:vAlign w:val="center"/>
            <w:hideMark/>
          </w:tcPr>
          <w:p w14:paraId="4B6ED5AC" w14:textId="77777777" w:rsidR="00032CB3" w:rsidRPr="002E4977" w:rsidRDefault="00032CB3" w:rsidP="00AB69B0">
            <w:pPr>
              <w:jc w:val="center"/>
              <w:rPr>
                <w:rFonts w:ascii="Segoe UI" w:hAnsi="Segoe UI" w:cs="Segoe UI"/>
                <w:sz w:val="20"/>
                <w:szCs w:val="20"/>
              </w:rPr>
            </w:pPr>
            <w:r w:rsidRPr="002E4977">
              <w:rPr>
                <w:rFonts w:ascii="Segoe UI" w:hAnsi="Segoe UI" w:cs="Segoe UI"/>
                <w:sz w:val="20"/>
                <w:szCs w:val="20"/>
              </w:rPr>
              <w:t>22,3</w:t>
            </w:r>
          </w:p>
        </w:tc>
        <w:tc>
          <w:tcPr>
            <w:tcW w:w="1134" w:type="dxa"/>
            <w:tcBorders>
              <w:top w:val="nil"/>
              <w:left w:val="nil"/>
              <w:bottom w:val="single" w:sz="4" w:space="0" w:color="auto"/>
              <w:right w:val="single" w:sz="4" w:space="0" w:color="auto"/>
            </w:tcBorders>
            <w:shd w:val="clear" w:color="auto" w:fill="auto"/>
            <w:noWrap/>
            <w:vAlign w:val="center"/>
            <w:hideMark/>
          </w:tcPr>
          <w:p w14:paraId="7607FA47" w14:textId="77777777" w:rsidR="00032CB3" w:rsidRPr="002E4977" w:rsidRDefault="00032CB3" w:rsidP="005527C5">
            <w:pPr>
              <w:rPr>
                <w:rFonts w:ascii="Segoe UI" w:hAnsi="Segoe UI" w:cs="Segoe UI"/>
                <w:sz w:val="20"/>
                <w:szCs w:val="20"/>
              </w:rPr>
            </w:pPr>
            <w:r w:rsidRPr="002E4977">
              <w:rPr>
                <w:rFonts w:ascii="Segoe UI" w:hAnsi="Segoe UI" w:cs="Segoe UI"/>
                <w:sz w:val="20"/>
                <w:szCs w:val="20"/>
              </w:rPr>
              <w:t>-9 763,9</w:t>
            </w:r>
          </w:p>
        </w:tc>
        <w:tc>
          <w:tcPr>
            <w:tcW w:w="968" w:type="dxa"/>
            <w:tcBorders>
              <w:top w:val="nil"/>
              <w:left w:val="nil"/>
              <w:bottom w:val="single" w:sz="4" w:space="0" w:color="auto"/>
              <w:right w:val="single" w:sz="4" w:space="0" w:color="auto"/>
            </w:tcBorders>
            <w:shd w:val="clear" w:color="auto" w:fill="auto"/>
            <w:noWrap/>
            <w:vAlign w:val="center"/>
            <w:hideMark/>
          </w:tcPr>
          <w:p w14:paraId="2B196AFB" w14:textId="77777777" w:rsidR="00032CB3" w:rsidRPr="002E4977" w:rsidRDefault="00B21BB2" w:rsidP="00AB69B0">
            <w:pPr>
              <w:jc w:val="center"/>
              <w:rPr>
                <w:rFonts w:ascii="Segoe UI" w:hAnsi="Segoe UI" w:cs="Segoe UI"/>
                <w:sz w:val="20"/>
                <w:szCs w:val="20"/>
              </w:rPr>
            </w:pPr>
            <w:r w:rsidRPr="002E4977">
              <w:rPr>
                <w:rFonts w:ascii="Segoe UI" w:hAnsi="Segoe UI" w:cs="Segoe UI"/>
                <w:sz w:val="20"/>
                <w:szCs w:val="20"/>
              </w:rPr>
              <w:t>-</w:t>
            </w:r>
            <w:r w:rsidR="00032CB3" w:rsidRPr="002E4977">
              <w:rPr>
                <w:rFonts w:ascii="Segoe UI" w:hAnsi="Segoe UI" w:cs="Segoe UI"/>
                <w:sz w:val="20"/>
                <w:szCs w:val="20"/>
              </w:rPr>
              <w:t xml:space="preserve"> 9,5</w:t>
            </w:r>
          </w:p>
        </w:tc>
      </w:tr>
      <w:tr w:rsidR="00032CB3" w:rsidRPr="008A65E9" w14:paraId="58A14C70" w14:textId="77777777" w:rsidTr="000E14F0">
        <w:trPr>
          <w:trHeight w:val="315"/>
        </w:trPr>
        <w:tc>
          <w:tcPr>
            <w:tcW w:w="1253" w:type="dxa"/>
            <w:tcBorders>
              <w:top w:val="nil"/>
              <w:left w:val="single" w:sz="4" w:space="0" w:color="auto"/>
              <w:bottom w:val="single" w:sz="4" w:space="0" w:color="auto"/>
              <w:right w:val="single" w:sz="4" w:space="0" w:color="auto"/>
            </w:tcBorders>
            <w:shd w:val="clear" w:color="auto" w:fill="auto"/>
            <w:noWrap/>
            <w:vAlign w:val="center"/>
            <w:hideMark/>
          </w:tcPr>
          <w:p w14:paraId="2AC1A72A" w14:textId="77777777" w:rsidR="00032CB3" w:rsidRPr="002E4977" w:rsidRDefault="00032CB3" w:rsidP="00AB69B0">
            <w:pPr>
              <w:jc w:val="center"/>
              <w:rPr>
                <w:rFonts w:ascii="Segoe UI" w:hAnsi="Segoe UI" w:cs="Segoe UI"/>
                <w:b/>
                <w:sz w:val="20"/>
                <w:szCs w:val="20"/>
              </w:rPr>
            </w:pPr>
            <w:r w:rsidRPr="002E4977">
              <w:rPr>
                <w:rFonts w:ascii="Segoe UI" w:hAnsi="Segoe UI" w:cs="Segoe UI"/>
                <w:b/>
                <w:sz w:val="20"/>
                <w:szCs w:val="20"/>
              </w:rPr>
              <w:t>Trésor</w:t>
            </w:r>
          </w:p>
        </w:tc>
        <w:tc>
          <w:tcPr>
            <w:tcW w:w="1158" w:type="dxa"/>
            <w:tcBorders>
              <w:top w:val="nil"/>
              <w:left w:val="nil"/>
              <w:bottom w:val="single" w:sz="4" w:space="0" w:color="auto"/>
              <w:right w:val="single" w:sz="4" w:space="0" w:color="auto"/>
            </w:tcBorders>
            <w:shd w:val="clear" w:color="auto" w:fill="auto"/>
            <w:noWrap/>
            <w:vAlign w:val="center"/>
            <w:hideMark/>
          </w:tcPr>
          <w:p w14:paraId="6236B3C6" w14:textId="1F207086" w:rsidR="00032CB3" w:rsidRPr="002E4977" w:rsidRDefault="00F80071" w:rsidP="00AB69B0">
            <w:pPr>
              <w:jc w:val="center"/>
              <w:rPr>
                <w:rFonts w:ascii="Segoe UI" w:hAnsi="Segoe UI" w:cs="Segoe UI"/>
                <w:sz w:val="20"/>
                <w:szCs w:val="20"/>
              </w:rPr>
            </w:pPr>
            <w:r>
              <w:rPr>
                <w:rFonts w:ascii="Segoe UI" w:hAnsi="Segoe UI" w:cs="Segoe UI"/>
                <w:sz w:val="20"/>
                <w:szCs w:val="20"/>
              </w:rPr>
              <w:t>67 346</w:t>
            </w:r>
          </w:p>
        </w:tc>
        <w:tc>
          <w:tcPr>
            <w:tcW w:w="1276" w:type="dxa"/>
            <w:tcBorders>
              <w:top w:val="nil"/>
              <w:left w:val="nil"/>
              <w:bottom w:val="single" w:sz="4" w:space="0" w:color="auto"/>
              <w:right w:val="single" w:sz="4" w:space="0" w:color="auto"/>
            </w:tcBorders>
            <w:shd w:val="clear" w:color="auto" w:fill="auto"/>
            <w:noWrap/>
            <w:vAlign w:val="center"/>
            <w:hideMark/>
          </w:tcPr>
          <w:p w14:paraId="679B91A3" w14:textId="77777777" w:rsidR="00032CB3" w:rsidRPr="002E4977" w:rsidRDefault="00032CB3" w:rsidP="00AB69B0">
            <w:pPr>
              <w:jc w:val="center"/>
              <w:rPr>
                <w:rFonts w:ascii="Segoe UI" w:hAnsi="Segoe UI" w:cs="Segoe UI"/>
                <w:sz w:val="20"/>
                <w:szCs w:val="20"/>
              </w:rPr>
            </w:pPr>
            <w:r w:rsidRPr="002E4977">
              <w:rPr>
                <w:rFonts w:ascii="Segoe UI" w:hAnsi="Segoe UI" w:cs="Segoe UI"/>
                <w:sz w:val="20"/>
                <w:szCs w:val="20"/>
              </w:rPr>
              <w:t>11 314,4</w:t>
            </w:r>
          </w:p>
        </w:tc>
        <w:tc>
          <w:tcPr>
            <w:tcW w:w="708" w:type="dxa"/>
            <w:tcBorders>
              <w:top w:val="nil"/>
              <w:left w:val="nil"/>
              <w:bottom w:val="single" w:sz="4" w:space="0" w:color="auto"/>
              <w:right w:val="single" w:sz="4" w:space="0" w:color="auto"/>
            </w:tcBorders>
            <w:shd w:val="clear" w:color="auto" w:fill="auto"/>
            <w:noWrap/>
            <w:vAlign w:val="center"/>
            <w:hideMark/>
          </w:tcPr>
          <w:p w14:paraId="562F0AD5" w14:textId="4C87864A" w:rsidR="00032CB3" w:rsidRPr="002E4977" w:rsidRDefault="00F80071" w:rsidP="00AB69B0">
            <w:pPr>
              <w:jc w:val="center"/>
              <w:rPr>
                <w:rFonts w:ascii="Segoe UI" w:hAnsi="Segoe UI" w:cs="Segoe UI"/>
                <w:sz w:val="20"/>
                <w:szCs w:val="20"/>
              </w:rPr>
            </w:pPr>
            <w:r>
              <w:rPr>
                <w:rFonts w:ascii="Segoe UI" w:hAnsi="Segoe UI" w:cs="Segoe UI"/>
                <w:sz w:val="20"/>
                <w:szCs w:val="20"/>
              </w:rPr>
              <w:t>16,8</w:t>
            </w:r>
          </w:p>
        </w:tc>
        <w:tc>
          <w:tcPr>
            <w:tcW w:w="1134" w:type="dxa"/>
            <w:tcBorders>
              <w:top w:val="nil"/>
              <w:left w:val="nil"/>
              <w:bottom w:val="single" w:sz="4" w:space="0" w:color="auto"/>
              <w:right w:val="single" w:sz="4" w:space="0" w:color="auto"/>
            </w:tcBorders>
            <w:shd w:val="clear" w:color="auto" w:fill="auto"/>
            <w:noWrap/>
            <w:vAlign w:val="center"/>
            <w:hideMark/>
          </w:tcPr>
          <w:p w14:paraId="65BF6771" w14:textId="77777777" w:rsidR="00032CB3" w:rsidRPr="002E4977" w:rsidRDefault="00032CB3" w:rsidP="00AB69B0">
            <w:pPr>
              <w:jc w:val="center"/>
              <w:rPr>
                <w:rFonts w:ascii="Segoe UI" w:hAnsi="Segoe UI" w:cs="Segoe UI"/>
                <w:sz w:val="20"/>
                <w:szCs w:val="20"/>
              </w:rPr>
            </w:pPr>
            <w:r w:rsidRPr="002E4977">
              <w:rPr>
                <w:rFonts w:ascii="Segoe UI" w:hAnsi="Segoe UI" w:cs="Segoe UI"/>
                <w:sz w:val="20"/>
                <w:szCs w:val="20"/>
              </w:rPr>
              <w:t>68 000</w:t>
            </w:r>
          </w:p>
        </w:tc>
        <w:tc>
          <w:tcPr>
            <w:tcW w:w="1276" w:type="dxa"/>
            <w:tcBorders>
              <w:top w:val="nil"/>
              <w:left w:val="nil"/>
              <w:bottom w:val="single" w:sz="4" w:space="0" w:color="auto"/>
              <w:right w:val="single" w:sz="4" w:space="0" w:color="auto"/>
            </w:tcBorders>
            <w:shd w:val="clear" w:color="auto" w:fill="auto"/>
            <w:noWrap/>
            <w:vAlign w:val="center"/>
            <w:hideMark/>
          </w:tcPr>
          <w:p w14:paraId="7AF040A0" w14:textId="77777777" w:rsidR="00032CB3" w:rsidRPr="002E4977" w:rsidRDefault="00032CB3" w:rsidP="00AB69B0">
            <w:pPr>
              <w:jc w:val="center"/>
              <w:rPr>
                <w:rFonts w:ascii="Segoe UI" w:hAnsi="Segoe UI" w:cs="Segoe UI"/>
                <w:sz w:val="20"/>
                <w:szCs w:val="20"/>
              </w:rPr>
            </w:pPr>
            <w:r w:rsidRPr="002E4977">
              <w:rPr>
                <w:rFonts w:ascii="Segoe UI" w:hAnsi="Segoe UI" w:cs="Segoe UI"/>
                <w:sz w:val="20"/>
                <w:szCs w:val="20"/>
              </w:rPr>
              <w:t>14</w:t>
            </w:r>
            <w:r w:rsidR="00B21BB2" w:rsidRPr="002E4977">
              <w:rPr>
                <w:rFonts w:ascii="Segoe UI" w:hAnsi="Segoe UI" w:cs="Segoe UI"/>
                <w:sz w:val="20"/>
                <w:szCs w:val="20"/>
              </w:rPr>
              <w:t xml:space="preserve"> </w:t>
            </w:r>
            <w:r w:rsidRPr="002E4977">
              <w:rPr>
                <w:rFonts w:ascii="Segoe UI" w:hAnsi="Segoe UI" w:cs="Segoe UI"/>
                <w:sz w:val="20"/>
                <w:szCs w:val="20"/>
              </w:rPr>
              <w:t>869,7</w:t>
            </w:r>
          </w:p>
        </w:tc>
        <w:tc>
          <w:tcPr>
            <w:tcW w:w="709" w:type="dxa"/>
            <w:tcBorders>
              <w:top w:val="nil"/>
              <w:left w:val="nil"/>
              <w:bottom w:val="single" w:sz="4" w:space="0" w:color="auto"/>
              <w:right w:val="single" w:sz="4" w:space="0" w:color="auto"/>
            </w:tcBorders>
            <w:shd w:val="clear" w:color="auto" w:fill="auto"/>
            <w:noWrap/>
            <w:vAlign w:val="center"/>
            <w:hideMark/>
          </w:tcPr>
          <w:p w14:paraId="6DEC2D83" w14:textId="77777777" w:rsidR="00032CB3" w:rsidRPr="002E4977" w:rsidRDefault="00032CB3" w:rsidP="00AB69B0">
            <w:pPr>
              <w:jc w:val="center"/>
              <w:rPr>
                <w:rFonts w:ascii="Segoe UI" w:hAnsi="Segoe UI" w:cs="Segoe UI"/>
                <w:sz w:val="20"/>
                <w:szCs w:val="20"/>
              </w:rPr>
            </w:pPr>
            <w:r w:rsidRPr="002E4977">
              <w:rPr>
                <w:rFonts w:ascii="Segoe UI" w:hAnsi="Segoe UI" w:cs="Segoe UI"/>
                <w:sz w:val="20"/>
                <w:szCs w:val="20"/>
              </w:rPr>
              <w:t>21,9</w:t>
            </w:r>
          </w:p>
        </w:tc>
        <w:tc>
          <w:tcPr>
            <w:tcW w:w="1134" w:type="dxa"/>
            <w:tcBorders>
              <w:top w:val="nil"/>
              <w:left w:val="nil"/>
              <w:bottom w:val="single" w:sz="4" w:space="0" w:color="auto"/>
              <w:right w:val="single" w:sz="4" w:space="0" w:color="auto"/>
            </w:tcBorders>
            <w:shd w:val="clear" w:color="auto" w:fill="auto"/>
            <w:noWrap/>
            <w:vAlign w:val="center"/>
            <w:hideMark/>
          </w:tcPr>
          <w:p w14:paraId="189AF04E" w14:textId="77777777" w:rsidR="00032CB3" w:rsidRPr="002E4977" w:rsidRDefault="00032CB3" w:rsidP="00AB69B0">
            <w:pPr>
              <w:jc w:val="center"/>
              <w:rPr>
                <w:rFonts w:ascii="Segoe UI" w:hAnsi="Segoe UI" w:cs="Segoe UI"/>
                <w:sz w:val="20"/>
                <w:szCs w:val="20"/>
              </w:rPr>
            </w:pPr>
            <w:r w:rsidRPr="002E4977">
              <w:rPr>
                <w:rFonts w:ascii="Segoe UI" w:hAnsi="Segoe UI" w:cs="Segoe UI"/>
                <w:sz w:val="20"/>
                <w:szCs w:val="20"/>
              </w:rPr>
              <w:t>3 555,3</w:t>
            </w:r>
          </w:p>
        </w:tc>
        <w:tc>
          <w:tcPr>
            <w:tcW w:w="968" w:type="dxa"/>
            <w:tcBorders>
              <w:top w:val="nil"/>
              <w:left w:val="nil"/>
              <w:bottom w:val="single" w:sz="4" w:space="0" w:color="auto"/>
              <w:right w:val="single" w:sz="4" w:space="0" w:color="auto"/>
            </w:tcBorders>
            <w:shd w:val="clear" w:color="auto" w:fill="auto"/>
            <w:noWrap/>
            <w:vAlign w:val="center"/>
            <w:hideMark/>
          </w:tcPr>
          <w:p w14:paraId="0B01A19A" w14:textId="77777777" w:rsidR="00032CB3" w:rsidRPr="002E4977" w:rsidRDefault="00032CB3" w:rsidP="00AB69B0">
            <w:pPr>
              <w:jc w:val="center"/>
              <w:rPr>
                <w:rFonts w:ascii="Segoe UI" w:hAnsi="Segoe UI" w:cs="Segoe UI"/>
                <w:sz w:val="20"/>
                <w:szCs w:val="20"/>
              </w:rPr>
            </w:pPr>
            <w:r w:rsidRPr="002E4977">
              <w:rPr>
                <w:rFonts w:ascii="Segoe UI" w:hAnsi="Segoe UI" w:cs="Segoe UI"/>
                <w:sz w:val="20"/>
                <w:szCs w:val="20"/>
              </w:rPr>
              <w:t>31,4</w:t>
            </w:r>
          </w:p>
        </w:tc>
      </w:tr>
      <w:tr w:rsidR="00032CB3" w:rsidRPr="008A65E9" w14:paraId="015112CB" w14:textId="77777777" w:rsidTr="003F3C39">
        <w:trPr>
          <w:trHeight w:val="355"/>
        </w:trPr>
        <w:tc>
          <w:tcPr>
            <w:tcW w:w="1253" w:type="dxa"/>
            <w:tcBorders>
              <w:top w:val="nil"/>
              <w:left w:val="single" w:sz="4" w:space="0" w:color="auto"/>
              <w:bottom w:val="single" w:sz="4" w:space="0" w:color="auto"/>
              <w:right w:val="single" w:sz="4" w:space="0" w:color="auto"/>
            </w:tcBorders>
            <w:shd w:val="clear" w:color="auto" w:fill="auto"/>
            <w:noWrap/>
            <w:vAlign w:val="center"/>
            <w:hideMark/>
          </w:tcPr>
          <w:p w14:paraId="3EFE4712" w14:textId="77777777" w:rsidR="00032CB3" w:rsidRPr="002E4977" w:rsidRDefault="00032CB3" w:rsidP="00AB69B0">
            <w:pPr>
              <w:jc w:val="center"/>
              <w:rPr>
                <w:rFonts w:ascii="Segoe UI" w:hAnsi="Segoe UI" w:cs="Segoe UI"/>
                <w:b/>
                <w:sz w:val="20"/>
                <w:szCs w:val="20"/>
              </w:rPr>
            </w:pPr>
            <w:r w:rsidRPr="002E4977">
              <w:rPr>
                <w:rFonts w:ascii="Segoe UI" w:hAnsi="Segoe UI" w:cs="Segoe UI"/>
                <w:b/>
                <w:sz w:val="20"/>
                <w:szCs w:val="20"/>
              </w:rPr>
              <w:t>Total</w:t>
            </w:r>
          </w:p>
        </w:tc>
        <w:tc>
          <w:tcPr>
            <w:tcW w:w="1158" w:type="dxa"/>
            <w:tcBorders>
              <w:top w:val="nil"/>
              <w:left w:val="nil"/>
              <w:bottom w:val="single" w:sz="4" w:space="0" w:color="auto"/>
              <w:right w:val="single" w:sz="4" w:space="0" w:color="auto"/>
            </w:tcBorders>
            <w:shd w:val="clear" w:color="auto" w:fill="auto"/>
            <w:noWrap/>
            <w:vAlign w:val="center"/>
            <w:hideMark/>
          </w:tcPr>
          <w:p w14:paraId="3BF943F9" w14:textId="4AEC9900" w:rsidR="00032CB3" w:rsidRPr="002E4977" w:rsidRDefault="00F80071" w:rsidP="00AB69B0">
            <w:pPr>
              <w:jc w:val="center"/>
              <w:rPr>
                <w:rFonts w:ascii="Segoe UI" w:hAnsi="Segoe UI" w:cs="Segoe UI"/>
                <w:sz w:val="20"/>
                <w:szCs w:val="20"/>
              </w:rPr>
            </w:pPr>
            <w:r>
              <w:rPr>
                <w:rFonts w:ascii="Segoe UI" w:hAnsi="Segoe UI" w:cs="Segoe UI"/>
                <w:sz w:val="20"/>
                <w:szCs w:val="20"/>
              </w:rPr>
              <w:t>838 748</w:t>
            </w:r>
          </w:p>
        </w:tc>
        <w:tc>
          <w:tcPr>
            <w:tcW w:w="1276" w:type="dxa"/>
            <w:tcBorders>
              <w:top w:val="nil"/>
              <w:left w:val="nil"/>
              <w:bottom w:val="single" w:sz="4" w:space="0" w:color="auto"/>
              <w:right w:val="single" w:sz="4" w:space="0" w:color="auto"/>
            </w:tcBorders>
            <w:shd w:val="clear" w:color="auto" w:fill="auto"/>
            <w:noWrap/>
            <w:vAlign w:val="center"/>
            <w:hideMark/>
          </w:tcPr>
          <w:p w14:paraId="64B17767" w14:textId="77777777" w:rsidR="00032CB3" w:rsidRPr="002E4977" w:rsidRDefault="00032CB3" w:rsidP="00AB69B0">
            <w:pPr>
              <w:jc w:val="center"/>
              <w:rPr>
                <w:rFonts w:ascii="Segoe UI" w:hAnsi="Segoe UI" w:cs="Segoe UI"/>
                <w:sz w:val="20"/>
                <w:szCs w:val="20"/>
              </w:rPr>
            </w:pPr>
            <w:r w:rsidRPr="002E4977">
              <w:rPr>
                <w:rFonts w:ascii="Segoe UI" w:hAnsi="Segoe UI" w:cs="Segoe UI"/>
                <w:sz w:val="20"/>
                <w:szCs w:val="20"/>
              </w:rPr>
              <w:t>185 503,0</w:t>
            </w:r>
          </w:p>
        </w:tc>
        <w:tc>
          <w:tcPr>
            <w:tcW w:w="708" w:type="dxa"/>
            <w:tcBorders>
              <w:top w:val="nil"/>
              <w:left w:val="nil"/>
              <w:bottom w:val="single" w:sz="4" w:space="0" w:color="auto"/>
              <w:right w:val="single" w:sz="4" w:space="0" w:color="auto"/>
            </w:tcBorders>
            <w:shd w:val="clear" w:color="auto" w:fill="auto"/>
            <w:noWrap/>
            <w:vAlign w:val="center"/>
            <w:hideMark/>
          </w:tcPr>
          <w:p w14:paraId="073EA35B" w14:textId="2029E15D" w:rsidR="00032CB3" w:rsidRPr="002E4977" w:rsidRDefault="00F80071" w:rsidP="00AB69B0">
            <w:pPr>
              <w:jc w:val="center"/>
              <w:rPr>
                <w:rFonts w:ascii="Segoe UI" w:hAnsi="Segoe UI" w:cs="Segoe UI"/>
                <w:sz w:val="20"/>
                <w:szCs w:val="20"/>
              </w:rPr>
            </w:pPr>
            <w:r>
              <w:rPr>
                <w:rFonts w:ascii="Segoe UI" w:hAnsi="Segoe UI" w:cs="Segoe UI"/>
                <w:sz w:val="20"/>
                <w:szCs w:val="20"/>
              </w:rPr>
              <w:t>22,1</w:t>
            </w:r>
          </w:p>
        </w:tc>
        <w:tc>
          <w:tcPr>
            <w:tcW w:w="1134" w:type="dxa"/>
            <w:tcBorders>
              <w:top w:val="nil"/>
              <w:left w:val="nil"/>
              <w:bottom w:val="single" w:sz="4" w:space="0" w:color="auto"/>
              <w:right w:val="single" w:sz="4" w:space="0" w:color="auto"/>
            </w:tcBorders>
            <w:shd w:val="clear" w:color="auto" w:fill="auto"/>
            <w:noWrap/>
            <w:vAlign w:val="center"/>
            <w:hideMark/>
          </w:tcPr>
          <w:p w14:paraId="090D93FB" w14:textId="77777777" w:rsidR="00032CB3" w:rsidRPr="002E4977" w:rsidRDefault="00032CB3" w:rsidP="00AB69B0">
            <w:pPr>
              <w:jc w:val="center"/>
              <w:rPr>
                <w:rFonts w:ascii="Segoe UI" w:hAnsi="Segoe UI" w:cs="Segoe UI"/>
                <w:sz w:val="20"/>
                <w:szCs w:val="20"/>
              </w:rPr>
            </w:pPr>
            <w:r w:rsidRPr="002E4977">
              <w:rPr>
                <w:rFonts w:ascii="Segoe UI" w:hAnsi="Segoe UI" w:cs="Segoe UI"/>
                <w:sz w:val="20"/>
                <w:szCs w:val="20"/>
              </w:rPr>
              <w:t>866 700</w:t>
            </w:r>
          </w:p>
        </w:tc>
        <w:tc>
          <w:tcPr>
            <w:tcW w:w="1276" w:type="dxa"/>
            <w:tcBorders>
              <w:top w:val="nil"/>
              <w:left w:val="nil"/>
              <w:bottom w:val="single" w:sz="4" w:space="0" w:color="auto"/>
              <w:right w:val="single" w:sz="4" w:space="0" w:color="auto"/>
            </w:tcBorders>
            <w:shd w:val="clear" w:color="auto" w:fill="auto"/>
            <w:noWrap/>
            <w:vAlign w:val="center"/>
            <w:hideMark/>
          </w:tcPr>
          <w:p w14:paraId="68F2C751" w14:textId="77777777" w:rsidR="00032CB3" w:rsidRPr="002E4977" w:rsidRDefault="00032CB3" w:rsidP="00AB69B0">
            <w:pPr>
              <w:jc w:val="center"/>
              <w:rPr>
                <w:rFonts w:ascii="Segoe UI" w:hAnsi="Segoe UI" w:cs="Segoe UI"/>
                <w:sz w:val="20"/>
                <w:szCs w:val="20"/>
              </w:rPr>
            </w:pPr>
            <w:r w:rsidRPr="002E4977">
              <w:rPr>
                <w:rFonts w:ascii="Segoe UI" w:hAnsi="Segoe UI" w:cs="Segoe UI"/>
                <w:sz w:val="20"/>
                <w:szCs w:val="20"/>
              </w:rPr>
              <w:t>176 963,1</w:t>
            </w:r>
          </w:p>
        </w:tc>
        <w:tc>
          <w:tcPr>
            <w:tcW w:w="709" w:type="dxa"/>
            <w:tcBorders>
              <w:top w:val="nil"/>
              <w:left w:val="nil"/>
              <w:bottom w:val="single" w:sz="4" w:space="0" w:color="auto"/>
              <w:right w:val="single" w:sz="4" w:space="0" w:color="auto"/>
            </w:tcBorders>
            <w:shd w:val="clear" w:color="auto" w:fill="auto"/>
            <w:noWrap/>
            <w:vAlign w:val="center"/>
            <w:hideMark/>
          </w:tcPr>
          <w:p w14:paraId="44D5650A" w14:textId="77777777" w:rsidR="00032CB3" w:rsidRPr="002E4977" w:rsidRDefault="00032CB3" w:rsidP="00AB69B0">
            <w:pPr>
              <w:jc w:val="center"/>
              <w:rPr>
                <w:rFonts w:ascii="Segoe UI" w:hAnsi="Segoe UI" w:cs="Segoe UI"/>
                <w:sz w:val="20"/>
                <w:szCs w:val="20"/>
              </w:rPr>
            </w:pPr>
            <w:r w:rsidRPr="002E4977">
              <w:rPr>
                <w:rFonts w:ascii="Segoe UI" w:hAnsi="Segoe UI" w:cs="Segoe UI"/>
                <w:sz w:val="20"/>
                <w:szCs w:val="20"/>
              </w:rPr>
              <w:t>20,4</w:t>
            </w:r>
          </w:p>
        </w:tc>
        <w:tc>
          <w:tcPr>
            <w:tcW w:w="1134" w:type="dxa"/>
            <w:tcBorders>
              <w:top w:val="nil"/>
              <w:left w:val="nil"/>
              <w:bottom w:val="single" w:sz="4" w:space="0" w:color="auto"/>
              <w:right w:val="single" w:sz="4" w:space="0" w:color="auto"/>
            </w:tcBorders>
            <w:shd w:val="clear" w:color="auto" w:fill="auto"/>
            <w:noWrap/>
            <w:vAlign w:val="center"/>
            <w:hideMark/>
          </w:tcPr>
          <w:p w14:paraId="4991F8B7" w14:textId="77777777" w:rsidR="00032CB3" w:rsidRPr="002E4977" w:rsidRDefault="00032CB3" w:rsidP="00AB69B0">
            <w:pPr>
              <w:jc w:val="center"/>
              <w:rPr>
                <w:rFonts w:ascii="Segoe UI" w:hAnsi="Segoe UI" w:cs="Segoe UI"/>
                <w:sz w:val="20"/>
                <w:szCs w:val="20"/>
              </w:rPr>
            </w:pPr>
            <w:r w:rsidRPr="002E4977">
              <w:rPr>
                <w:rFonts w:ascii="Segoe UI" w:hAnsi="Segoe UI" w:cs="Segoe UI"/>
                <w:sz w:val="20"/>
                <w:szCs w:val="20"/>
              </w:rPr>
              <w:t>-</w:t>
            </w:r>
            <w:r w:rsidR="008321C7" w:rsidRPr="002E4977">
              <w:rPr>
                <w:rFonts w:ascii="Segoe UI" w:hAnsi="Segoe UI" w:cs="Segoe UI"/>
                <w:sz w:val="20"/>
                <w:szCs w:val="20"/>
              </w:rPr>
              <w:t xml:space="preserve"> 8 539,9</w:t>
            </w:r>
          </w:p>
        </w:tc>
        <w:tc>
          <w:tcPr>
            <w:tcW w:w="968" w:type="dxa"/>
            <w:tcBorders>
              <w:top w:val="nil"/>
              <w:left w:val="nil"/>
              <w:bottom w:val="single" w:sz="4" w:space="0" w:color="auto"/>
              <w:right w:val="single" w:sz="4" w:space="0" w:color="auto"/>
            </w:tcBorders>
            <w:shd w:val="clear" w:color="auto" w:fill="auto"/>
            <w:noWrap/>
            <w:vAlign w:val="center"/>
            <w:hideMark/>
          </w:tcPr>
          <w:p w14:paraId="7FFF5447" w14:textId="77777777" w:rsidR="00032CB3" w:rsidRPr="002E4977" w:rsidRDefault="00B21BB2" w:rsidP="00AB69B0">
            <w:pPr>
              <w:jc w:val="center"/>
              <w:rPr>
                <w:rFonts w:ascii="Segoe UI" w:hAnsi="Segoe UI" w:cs="Segoe UI"/>
                <w:sz w:val="20"/>
                <w:szCs w:val="20"/>
              </w:rPr>
            </w:pPr>
            <w:r w:rsidRPr="002E4977">
              <w:rPr>
                <w:rFonts w:ascii="Segoe UI" w:hAnsi="Segoe UI" w:cs="Segoe UI"/>
                <w:sz w:val="20"/>
                <w:szCs w:val="20"/>
              </w:rPr>
              <w:t>-</w:t>
            </w:r>
            <w:r w:rsidR="00032CB3" w:rsidRPr="002E4977">
              <w:rPr>
                <w:rFonts w:ascii="Segoe UI" w:hAnsi="Segoe UI" w:cs="Segoe UI"/>
                <w:sz w:val="20"/>
                <w:szCs w:val="20"/>
              </w:rPr>
              <w:t xml:space="preserve"> </w:t>
            </w:r>
            <w:r w:rsidR="00E76136" w:rsidRPr="002E4977">
              <w:rPr>
                <w:rFonts w:ascii="Segoe UI" w:hAnsi="Segoe UI" w:cs="Segoe UI"/>
                <w:sz w:val="20"/>
                <w:szCs w:val="20"/>
              </w:rPr>
              <w:t>4,6</w:t>
            </w:r>
          </w:p>
        </w:tc>
      </w:tr>
    </w:tbl>
    <w:p w14:paraId="1E4AB7E9" w14:textId="77777777" w:rsidR="0019532B" w:rsidRPr="002E4977" w:rsidRDefault="0019532B" w:rsidP="000D1A21">
      <w:pPr>
        <w:spacing w:after="0" w:line="240" w:lineRule="auto"/>
        <w:jc w:val="both"/>
        <w:rPr>
          <w:rFonts w:ascii="Segoe UI" w:hAnsi="Segoe UI" w:cs="Segoe UI"/>
          <w:sz w:val="20"/>
          <w:szCs w:val="24"/>
        </w:rPr>
      </w:pPr>
      <w:r w:rsidRPr="002E4977">
        <w:rPr>
          <w:rFonts w:ascii="Segoe UI" w:hAnsi="Segoe UI" w:cs="Segoe UI"/>
          <w:b/>
          <w:sz w:val="20"/>
          <w:szCs w:val="24"/>
          <w:u w:val="single"/>
        </w:rPr>
        <w:t>Source </w:t>
      </w:r>
      <w:r w:rsidRPr="002E4977">
        <w:rPr>
          <w:rFonts w:ascii="Segoe UI" w:hAnsi="Segoe UI" w:cs="Segoe UI"/>
          <w:b/>
          <w:sz w:val="20"/>
          <w:szCs w:val="24"/>
        </w:rPr>
        <w:t xml:space="preserve">: </w:t>
      </w:r>
      <w:r w:rsidR="002A01BB" w:rsidRPr="002E4977">
        <w:rPr>
          <w:rFonts w:ascii="Segoe UI" w:hAnsi="Segoe UI" w:cs="Segoe UI"/>
          <w:sz w:val="20"/>
          <w:szCs w:val="24"/>
        </w:rPr>
        <w:t>Régies/</w:t>
      </w:r>
      <w:r w:rsidRPr="002E4977">
        <w:rPr>
          <w:rFonts w:ascii="Segoe UI" w:hAnsi="Segoe UI" w:cs="Segoe UI"/>
          <w:sz w:val="20"/>
          <w:szCs w:val="24"/>
        </w:rPr>
        <w:t>DGB</w:t>
      </w:r>
      <w:r w:rsidR="002A01BB" w:rsidRPr="002E4977">
        <w:rPr>
          <w:rFonts w:ascii="Segoe UI" w:hAnsi="Segoe UI" w:cs="Segoe UI"/>
          <w:sz w:val="20"/>
          <w:szCs w:val="24"/>
        </w:rPr>
        <w:t xml:space="preserve">, </w:t>
      </w:r>
      <w:r w:rsidR="00875BA2" w:rsidRPr="002E4977">
        <w:rPr>
          <w:rFonts w:ascii="Segoe UI" w:hAnsi="Segoe UI" w:cs="Segoe UI"/>
          <w:sz w:val="20"/>
          <w:szCs w:val="24"/>
        </w:rPr>
        <w:t>avril</w:t>
      </w:r>
      <w:r w:rsidR="002A01BB" w:rsidRPr="002E4977">
        <w:rPr>
          <w:rFonts w:ascii="Segoe UI" w:hAnsi="Segoe UI" w:cs="Segoe UI"/>
          <w:sz w:val="20"/>
          <w:szCs w:val="24"/>
        </w:rPr>
        <w:t xml:space="preserve"> 201</w:t>
      </w:r>
      <w:r w:rsidR="00DA76CB" w:rsidRPr="002E4977">
        <w:rPr>
          <w:rFonts w:ascii="Segoe UI" w:hAnsi="Segoe UI" w:cs="Segoe UI"/>
          <w:sz w:val="20"/>
          <w:szCs w:val="24"/>
        </w:rPr>
        <w:t>7</w:t>
      </w:r>
    </w:p>
    <w:p w14:paraId="337E2809" w14:textId="77777777" w:rsidR="0019532B" w:rsidRPr="00B10121" w:rsidRDefault="0019532B" w:rsidP="00D63E15">
      <w:pPr>
        <w:spacing w:after="0" w:line="360" w:lineRule="auto"/>
        <w:ind w:left="360"/>
        <w:jc w:val="both"/>
        <w:rPr>
          <w:rFonts w:ascii="Segoe UI" w:hAnsi="Segoe UI" w:cs="Segoe UI"/>
          <w:sz w:val="16"/>
          <w:szCs w:val="24"/>
        </w:rPr>
      </w:pPr>
    </w:p>
    <w:p w14:paraId="09D29DB4" w14:textId="77777777" w:rsidR="00811DB1" w:rsidRDefault="00E00DA8" w:rsidP="00562761">
      <w:pPr>
        <w:spacing w:after="0" w:line="360" w:lineRule="auto"/>
        <w:jc w:val="both"/>
        <w:rPr>
          <w:rFonts w:ascii="Segoe UI" w:hAnsi="Segoe UI" w:cs="Segoe UI"/>
          <w:sz w:val="24"/>
          <w:szCs w:val="24"/>
        </w:rPr>
      </w:pPr>
      <w:r w:rsidRPr="001541CB">
        <w:rPr>
          <w:rFonts w:ascii="Segoe UI" w:hAnsi="Segoe UI" w:cs="Segoe UI"/>
          <w:sz w:val="24"/>
          <w:szCs w:val="24"/>
        </w:rPr>
        <w:t xml:space="preserve">L’étude comparée de la performance de chacune des </w:t>
      </w:r>
      <w:r w:rsidR="00A90F42" w:rsidRPr="001541CB">
        <w:rPr>
          <w:rFonts w:ascii="Segoe UI" w:hAnsi="Segoe UI" w:cs="Segoe UI"/>
          <w:sz w:val="24"/>
          <w:szCs w:val="24"/>
        </w:rPr>
        <w:t>régie</w:t>
      </w:r>
      <w:r w:rsidRPr="001541CB">
        <w:rPr>
          <w:rFonts w:ascii="Segoe UI" w:hAnsi="Segoe UI" w:cs="Segoe UI"/>
          <w:sz w:val="24"/>
          <w:szCs w:val="24"/>
        </w:rPr>
        <w:t>s</w:t>
      </w:r>
      <w:r w:rsidR="00A90F42" w:rsidRPr="001541CB">
        <w:rPr>
          <w:rFonts w:ascii="Segoe UI" w:hAnsi="Segoe UI" w:cs="Segoe UI"/>
          <w:sz w:val="24"/>
          <w:szCs w:val="24"/>
        </w:rPr>
        <w:t xml:space="preserve"> financière</w:t>
      </w:r>
      <w:r w:rsidRPr="001541CB">
        <w:rPr>
          <w:rFonts w:ascii="Segoe UI" w:hAnsi="Segoe UI" w:cs="Segoe UI"/>
          <w:sz w:val="24"/>
          <w:szCs w:val="24"/>
        </w:rPr>
        <w:t>s</w:t>
      </w:r>
      <w:r w:rsidR="002E47DA" w:rsidRPr="001541CB">
        <w:rPr>
          <w:rFonts w:ascii="Segoe UI" w:hAnsi="Segoe UI" w:cs="Segoe UI"/>
          <w:sz w:val="24"/>
          <w:szCs w:val="24"/>
        </w:rPr>
        <w:t xml:space="preserve"> </w:t>
      </w:r>
      <w:r w:rsidRPr="001541CB">
        <w:rPr>
          <w:rFonts w:ascii="Segoe UI" w:hAnsi="Segoe UI" w:cs="Segoe UI"/>
          <w:sz w:val="24"/>
          <w:szCs w:val="24"/>
        </w:rPr>
        <w:t>à fin mars</w:t>
      </w:r>
      <w:r w:rsidR="005D2F0C" w:rsidRPr="001541CB">
        <w:rPr>
          <w:rFonts w:ascii="Segoe UI" w:hAnsi="Segoe UI" w:cs="Segoe UI"/>
          <w:sz w:val="24"/>
          <w:szCs w:val="24"/>
        </w:rPr>
        <w:t xml:space="preserve"> 201</w:t>
      </w:r>
      <w:r w:rsidR="00B7365D" w:rsidRPr="001541CB">
        <w:rPr>
          <w:rFonts w:ascii="Segoe UI" w:hAnsi="Segoe UI" w:cs="Segoe UI"/>
          <w:sz w:val="24"/>
          <w:szCs w:val="24"/>
        </w:rPr>
        <w:t>7</w:t>
      </w:r>
      <w:r w:rsidR="00D723BA" w:rsidRPr="001541CB">
        <w:rPr>
          <w:rFonts w:ascii="Segoe UI" w:hAnsi="Segoe UI" w:cs="Segoe UI"/>
          <w:sz w:val="24"/>
          <w:szCs w:val="24"/>
        </w:rPr>
        <w:t xml:space="preserve"> </w:t>
      </w:r>
      <w:r w:rsidR="005838F5" w:rsidRPr="001541CB">
        <w:rPr>
          <w:rFonts w:ascii="Segoe UI" w:hAnsi="Segoe UI" w:cs="Segoe UI"/>
          <w:sz w:val="24"/>
          <w:szCs w:val="24"/>
        </w:rPr>
        <w:t>par rapport à</w:t>
      </w:r>
      <w:r w:rsidR="004E1DAD" w:rsidRPr="001541CB">
        <w:rPr>
          <w:rFonts w:ascii="Segoe UI" w:hAnsi="Segoe UI" w:cs="Segoe UI"/>
          <w:sz w:val="24"/>
          <w:szCs w:val="24"/>
        </w:rPr>
        <w:t xml:space="preserve"> la même période en</w:t>
      </w:r>
      <w:r w:rsidR="005838F5" w:rsidRPr="001541CB">
        <w:rPr>
          <w:rFonts w:ascii="Segoe UI" w:hAnsi="Segoe UI" w:cs="Segoe UI"/>
          <w:sz w:val="24"/>
          <w:szCs w:val="24"/>
        </w:rPr>
        <w:t xml:space="preserve"> 201</w:t>
      </w:r>
      <w:r w:rsidR="00B7365D" w:rsidRPr="001541CB">
        <w:rPr>
          <w:rFonts w:ascii="Segoe UI" w:hAnsi="Segoe UI" w:cs="Segoe UI"/>
          <w:sz w:val="24"/>
          <w:szCs w:val="24"/>
        </w:rPr>
        <w:t>6</w:t>
      </w:r>
      <w:r w:rsidR="002E47DA" w:rsidRPr="001541CB">
        <w:rPr>
          <w:rFonts w:ascii="Segoe UI" w:hAnsi="Segoe UI" w:cs="Segoe UI"/>
          <w:sz w:val="24"/>
          <w:szCs w:val="24"/>
        </w:rPr>
        <w:t xml:space="preserve"> </w:t>
      </w:r>
      <w:r w:rsidRPr="001541CB">
        <w:rPr>
          <w:rFonts w:ascii="Segoe UI" w:hAnsi="Segoe UI" w:cs="Segoe UI"/>
          <w:sz w:val="24"/>
          <w:szCs w:val="24"/>
        </w:rPr>
        <w:t xml:space="preserve">se </w:t>
      </w:r>
      <w:r w:rsidR="0036033E" w:rsidRPr="001541CB">
        <w:rPr>
          <w:rFonts w:ascii="Segoe UI" w:hAnsi="Segoe UI" w:cs="Segoe UI"/>
          <w:sz w:val="24"/>
          <w:szCs w:val="24"/>
        </w:rPr>
        <w:t>présente ainsi qu’il suit :</w:t>
      </w:r>
    </w:p>
    <w:p w14:paraId="7569EB64" w14:textId="77777777" w:rsidR="003E69C2" w:rsidRPr="001541CB" w:rsidRDefault="003E69C2" w:rsidP="00562761">
      <w:pPr>
        <w:spacing w:after="0" w:line="360" w:lineRule="auto"/>
        <w:jc w:val="both"/>
        <w:rPr>
          <w:rFonts w:ascii="Segoe UI" w:hAnsi="Segoe UI" w:cs="Segoe UI"/>
          <w:sz w:val="24"/>
          <w:szCs w:val="24"/>
        </w:rPr>
      </w:pPr>
    </w:p>
    <w:p w14:paraId="6FF8B59A" w14:textId="77777777" w:rsidR="002F5D00" w:rsidRPr="001541CB" w:rsidRDefault="00811DB1" w:rsidP="00811DB1">
      <w:pPr>
        <w:spacing w:after="0" w:line="360" w:lineRule="auto"/>
        <w:jc w:val="both"/>
        <w:rPr>
          <w:rFonts w:ascii="Segoe UI" w:hAnsi="Segoe UI" w:cs="Segoe UI"/>
          <w:b/>
          <w:sz w:val="24"/>
          <w:szCs w:val="24"/>
        </w:rPr>
      </w:pPr>
      <w:r w:rsidRPr="001541CB">
        <w:rPr>
          <w:rFonts w:ascii="Segoe UI" w:hAnsi="Segoe UI" w:cs="Segoe UI"/>
          <w:b/>
          <w:sz w:val="24"/>
          <w:szCs w:val="24"/>
        </w:rPr>
        <w:t xml:space="preserve">A-1-1 </w:t>
      </w:r>
      <w:r w:rsidR="00872C08" w:rsidRPr="001541CB">
        <w:rPr>
          <w:rFonts w:ascii="Segoe UI" w:hAnsi="Segoe UI" w:cs="Segoe UI"/>
          <w:b/>
          <w:sz w:val="24"/>
          <w:szCs w:val="24"/>
        </w:rPr>
        <w:t>Direction Générale des Douanes et Droits Indirects</w:t>
      </w:r>
      <w:r w:rsidR="00C878B3" w:rsidRPr="001541CB">
        <w:rPr>
          <w:rFonts w:ascii="Segoe UI" w:hAnsi="Segoe UI" w:cs="Segoe UI"/>
          <w:b/>
          <w:sz w:val="24"/>
          <w:szCs w:val="24"/>
        </w:rPr>
        <w:t xml:space="preserve"> </w:t>
      </w:r>
      <w:r w:rsidR="00872C08" w:rsidRPr="001541CB">
        <w:rPr>
          <w:rFonts w:ascii="Segoe UI" w:hAnsi="Segoe UI" w:cs="Segoe UI"/>
          <w:b/>
          <w:sz w:val="24"/>
          <w:szCs w:val="24"/>
        </w:rPr>
        <w:t>(DGDDI)</w:t>
      </w:r>
    </w:p>
    <w:p w14:paraId="335BC7C6" w14:textId="31968E52" w:rsidR="009F16EC" w:rsidRPr="001541CB" w:rsidRDefault="0042579F" w:rsidP="00811DB1">
      <w:pPr>
        <w:spacing w:after="0" w:line="360" w:lineRule="auto"/>
        <w:jc w:val="both"/>
        <w:rPr>
          <w:rFonts w:ascii="Segoe UI" w:eastAsia="Times New Roman" w:hAnsi="Segoe UI" w:cs="Segoe UI"/>
          <w:sz w:val="24"/>
          <w:szCs w:val="24"/>
        </w:rPr>
      </w:pPr>
      <w:r w:rsidRPr="001541CB">
        <w:rPr>
          <w:rFonts w:ascii="Segoe UI" w:hAnsi="Segoe UI" w:cs="Segoe UI"/>
          <w:sz w:val="24"/>
          <w:szCs w:val="24"/>
        </w:rPr>
        <w:t>Le premier trimestre de l’année 201</w:t>
      </w:r>
      <w:r w:rsidR="00B7365D" w:rsidRPr="001541CB">
        <w:rPr>
          <w:rFonts w:ascii="Segoe UI" w:hAnsi="Segoe UI" w:cs="Segoe UI"/>
          <w:sz w:val="24"/>
          <w:szCs w:val="24"/>
        </w:rPr>
        <w:t>7</w:t>
      </w:r>
      <w:r w:rsidR="00942A83" w:rsidRPr="001541CB">
        <w:rPr>
          <w:rFonts w:ascii="Segoe UI" w:hAnsi="Segoe UI" w:cs="Segoe UI"/>
          <w:sz w:val="24"/>
          <w:szCs w:val="24"/>
        </w:rPr>
        <w:t xml:space="preserve"> a </w:t>
      </w:r>
      <w:r w:rsidR="004E1DAD" w:rsidRPr="001541CB">
        <w:rPr>
          <w:rFonts w:ascii="Segoe UI" w:hAnsi="Segoe UI" w:cs="Segoe UI"/>
          <w:sz w:val="24"/>
          <w:szCs w:val="24"/>
        </w:rPr>
        <w:t>connu la mobilisation par</w:t>
      </w:r>
      <w:r w:rsidR="00AA33CF" w:rsidRPr="001541CB">
        <w:rPr>
          <w:rFonts w:ascii="Segoe UI" w:hAnsi="Segoe UI" w:cs="Segoe UI"/>
          <w:sz w:val="24"/>
          <w:szCs w:val="24"/>
        </w:rPr>
        <w:t xml:space="preserve"> </w:t>
      </w:r>
      <w:r w:rsidR="00C139E3" w:rsidRPr="001541CB">
        <w:rPr>
          <w:rFonts w:ascii="Segoe UI" w:hAnsi="Segoe UI" w:cs="Segoe UI"/>
          <w:sz w:val="24"/>
          <w:szCs w:val="24"/>
        </w:rPr>
        <w:t xml:space="preserve">la DGDDI </w:t>
      </w:r>
      <w:r w:rsidR="00942A83" w:rsidRPr="001541CB">
        <w:rPr>
          <w:rFonts w:ascii="Segoe UI" w:hAnsi="Segoe UI" w:cs="Segoe UI"/>
          <w:sz w:val="24"/>
          <w:szCs w:val="24"/>
        </w:rPr>
        <w:t xml:space="preserve">de </w:t>
      </w:r>
      <w:r w:rsidR="00EE4F9E" w:rsidRPr="001541CB">
        <w:rPr>
          <w:rFonts w:ascii="Segoe UI" w:eastAsia="Times New Roman" w:hAnsi="Segoe UI" w:cs="Segoe UI"/>
          <w:sz w:val="24"/>
          <w:szCs w:val="24"/>
        </w:rPr>
        <w:t>69 591,1</w:t>
      </w:r>
      <w:r w:rsidR="002E47DA" w:rsidRPr="001541CB">
        <w:rPr>
          <w:rFonts w:ascii="Segoe UI" w:eastAsia="Times New Roman" w:hAnsi="Segoe UI" w:cs="Segoe UI"/>
          <w:sz w:val="24"/>
          <w:szCs w:val="24"/>
        </w:rPr>
        <w:t xml:space="preserve"> </w:t>
      </w:r>
      <w:r w:rsidR="0004141E" w:rsidRPr="001541CB">
        <w:rPr>
          <w:rFonts w:ascii="Segoe UI" w:eastAsia="Times New Roman" w:hAnsi="Segoe UI" w:cs="Segoe UI"/>
          <w:sz w:val="24"/>
          <w:szCs w:val="24"/>
        </w:rPr>
        <w:t>millions de FCFA</w:t>
      </w:r>
      <w:r w:rsidR="00EE4F9E" w:rsidRPr="001541CB">
        <w:rPr>
          <w:rFonts w:ascii="Segoe UI" w:eastAsia="Times New Roman" w:hAnsi="Segoe UI" w:cs="Segoe UI"/>
          <w:sz w:val="24"/>
          <w:szCs w:val="24"/>
        </w:rPr>
        <w:t xml:space="preserve">, hors prélèvements communautaires </w:t>
      </w:r>
      <w:r w:rsidR="00AB01FB" w:rsidRPr="001541CB">
        <w:rPr>
          <w:rFonts w:ascii="Segoe UI" w:eastAsia="Times New Roman" w:hAnsi="Segoe UI" w:cs="Segoe UI"/>
          <w:sz w:val="24"/>
          <w:szCs w:val="24"/>
        </w:rPr>
        <w:t>(PC</w:t>
      </w:r>
      <w:r w:rsidR="00A809FB">
        <w:rPr>
          <w:rFonts w:ascii="Segoe UI" w:eastAsia="Times New Roman" w:hAnsi="Segoe UI" w:cs="Segoe UI"/>
          <w:sz w:val="24"/>
          <w:szCs w:val="24"/>
        </w:rPr>
        <w:t>)</w:t>
      </w:r>
      <w:r w:rsidR="00EE4F9E" w:rsidRPr="001541CB">
        <w:rPr>
          <w:rFonts w:ascii="Segoe UI" w:eastAsia="Times New Roman" w:hAnsi="Segoe UI" w:cs="Segoe UI"/>
          <w:sz w:val="24"/>
          <w:szCs w:val="24"/>
        </w:rPr>
        <w:t> : 1 130,5 million</w:t>
      </w:r>
      <w:r w:rsidR="003E69C2">
        <w:rPr>
          <w:rFonts w:ascii="Segoe UI" w:eastAsia="Times New Roman" w:hAnsi="Segoe UI" w:cs="Segoe UI"/>
          <w:sz w:val="24"/>
          <w:szCs w:val="24"/>
        </w:rPr>
        <w:t>s</w:t>
      </w:r>
      <w:r w:rsidR="00EE4F9E" w:rsidRPr="001541CB">
        <w:rPr>
          <w:rFonts w:ascii="Segoe UI" w:eastAsia="Times New Roman" w:hAnsi="Segoe UI" w:cs="Segoe UI"/>
          <w:sz w:val="24"/>
          <w:szCs w:val="24"/>
        </w:rPr>
        <w:t xml:space="preserve"> FCFA</w:t>
      </w:r>
      <w:r w:rsidR="00714720" w:rsidRPr="001541CB">
        <w:rPr>
          <w:rFonts w:ascii="Segoe UI" w:eastAsia="Times New Roman" w:hAnsi="Segoe UI" w:cs="Segoe UI"/>
          <w:sz w:val="24"/>
          <w:szCs w:val="24"/>
        </w:rPr>
        <w:t>) et</w:t>
      </w:r>
      <w:r w:rsidR="00714720" w:rsidRPr="001541CB">
        <w:rPr>
          <w:rFonts w:ascii="Segoe UI" w:hAnsi="Segoe UI" w:cs="Segoe UI"/>
          <w:sz w:val="24"/>
          <w:szCs w:val="24"/>
        </w:rPr>
        <w:t xml:space="preserve"> </w:t>
      </w:r>
      <w:r w:rsidR="00A809FB">
        <w:rPr>
          <w:rFonts w:ascii="Segoe UI" w:hAnsi="Segoe UI" w:cs="Segoe UI"/>
          <w:sz w:val="24"/>
          <w:szCs w:val="24"/>
        </w:rPr>
        <w:t xml:space="preserve">hors </w:t>
      </w:r>
      <w:r w:rsidR="00714720" w:rsidRPr="001541CB">
        <w:rPr>
          <w:rFonts w:ascii="Segoe UI" w:hAnsi="Segoe UI" w:cs="Segoe UI"/>
          <w:sz w:val="24"/>
          <w:szCs w:val="24"/>
        </w:rPr>
        <w:t>prélèvements communautaires de solidarité (</w:t>
      </w:r>
      <w:r w:rsidR="00EE4F9E" w:rsidRPr="001541CB">
        <w:rPr>
          <w:rFonts w:ascii="Segoe UI" w:eastAsia="Times New Roman" w:hAnsi="Segoe UI" w:cs="Segoe UI"/>
          <w:sz w:val="24"/>
          <w:szCs w:val="24"/>
        </w:rPr>
        <w:t>PCS</w:t>
      </w:r>
      <w:r w:rsidR="00A809FB">
        <w:rPr>
          <w:rFonts w:ascii="Segoe UI" w:eastAsia="Times New Roman" w:hAnsi="Segoe UI" w:cs="Segoe UI"/>
          <w:sz w:val="24"/>
          <w:szCs w:val="24"/>
        </w:rPr>
        <w:t>)</w:t>
      </w:r>
      <w:r w:rsidR="00EE4F9E" w:rsidRPr="001541CB">
        <w:rPr>
          <w:rFonts w:ascii="Segoe UI" w:eastAsia="Times New Roman" w:hAnsi="Segoe UI" w:cs="Segoe UI"/>
          <w:sz w:val="24"/>
          <w:szCs w:val="24"/>
        </w:rPr>
        <w:t xml:space="preserve"> : 2 026,1 millions </w:t>
      </w:r>
      <w:r w:rsidR="00EE4F9E" w:rsidRPr="001541CB">
        <w:rPr>
          <w:rFonts w:ascii="Segoe UI" w:eastAsia="Times New Roman" w:hAnsi="Segoe UI" w:cs="Segoe UI"/>
          <w:sz w:val="24"/>
          <w:szCs w:val="24"/>
        </w:rPr>
        <w:lastRenderedPageBreak/>
        <w:t>FCFA)</w:t>
      </w:r>
      <w:r w:rsidR="00A809FB">
        <w:rPr>
          <w:rFonts w:ascii="Segoe UI" w:eastAsia="Times New Roman" w:hAnsi="Segoe UI" w:cs="Segoe UI"/>
          <w:sz w:val="24"/>
          <w:szCs w:val="24"/>
        </w:rPr>
        <w:t>,</w:t>
      </w:r>
      <w:r w:rsidR="0004141E" w:rsidRPr="001541CB">
        <w:rPr>
          <w:rFonts w:ascii="Segoe UI" w:eastAsia="Times New Roman" w:hAnsi="Segoe UI" w:cs="Segoe UI"/>
          <w:sz w:val="24"/>
          <w:szCs w:val="24"/>
        </w:rPr>
        <w:t xml:space="preserve"> sur une prévision annuelle</w:t>
      </w:r>
      <w:r w:rsidR="002E47DA" w:rsidRPr="001541CB">
        <w:rPr>
          <w:rFonts w:ascii="Segoe UI" w:eastAsia="Times New Roman" w:hAnsi="Segoe UI" w:cs="Segoe UI"/>
          <w:sz w:val="24"/>
          <w:szCs w:val="24"/>
        </w:rPr>
        <w:t xml:space="preserve"> </w:t>
      </w:r>
      <w:r w:rsidR="0004141E" w:rsidRPr="001541CB">
        <w:rPr>
          <w:rFonts w:ascii="Segoe UI" w:eastAsia="Times New Roman" w:hAnsi="Segoe UI" w:cs="Segoe UI"/>
          <w:sz w:val="24"/>
          <w:szCs w:val="24"/>
        </w:rPr>
        <w:t>de</w:t>
      </w:r>
      <w:r w:rsidR="002E47DA" w:rsidRPr="001541CB">
        <w:rPr>
          <w:rFonts w:ascii="Segoe UI" w:eastAsia="Times New Roman" w:hAnsi="Segoe UI" w:cs="Segoe UI"/>
          <w:sz w:val="24"/>
          <w:szCs w:val="24"/>
        </w:rPr>
        <w:t xml:space="preserve"> </w:t>
      </w:r>
      <w:r w:rsidR="00B7365D" w:rsidRPr="001541CB">
        <w:rPr>
          <w:rFonts w:ascii="Segoe UI" w:eastAsia="Times New Roman" w:hAnsi="Segoe UI" w:cs="Segoe UI"/>
          <w:sz w:val="24"/>
          <w:szCs w:val="24"/>
        </w:rPr>
        <w:t>383 500</w:t>
      </w:r>
      <w:r w:rsidR="002B1C28" w:rsidRPr="001541CB">
        <w:rPr>
          <w:rFonts w:ascii="Segoe UI" w:eastAsia="Times New Roman" w:hAnsi="Segoe UI" w:cs="Segoe UI"/>
          <w:sz w:val="24"/>
          <w:szCs w:val="24"/>
        </w:rPr>
        <w:t xml:space="preserve"> </w:t>
      </w:r>
      <w:r w:rsidR="0004141E" w:rsidRPr="001541CB">
        <w:rPr>
          <w:rFonts w:ascii="Segoe UI" w:eastAsia="Times New Roman" w:hAnsi="Segoe UI" w:cs="Segoe UI"/>
          <w:sz w:val="24"/>
          <w:szCs w:val="24"/>
        </w:rPr>
        <w:t>millions de FCFA</w:t>
      </w:r>
      <w:r w:rsidR="0050608C">
        <w:rPr>
          <w:rFonts w:ascii="Segoe UI" w:eastAsia="Times New Roman" w:hAnsi="Segoe UI" w:cs="Segoe UI"/>
          <w:sz w:val="24"/>
          <w:szCs w:val="24"/>
        </w:rPr>
        <w:t>.</w:t>
      </w:r>
      <w:r w:rsidR="004E1DAD" w:rsidRPr="001541CB">
        <w:rPr>
          <w:rFonts w:ascii="Segoe UI" w:eastAsia="Times New Roman" w:hAnsi="Segoe UI" w:cs="Segoe UI"/>
          <w:sz w:val="24"/>
          <w:szCs w:val="24"/>
        </w:rPr>
        <w:t xml:space="preserve"> </w:t>
      </w:r>
      <w:r w:rsidR="00C13658">
        <w:rPr>
          <w:rFonts w:ascii="Segoe UI" w:eastAsia="Times New Roman" w:hAnsi="Segoe UI" w:cs="Segoe UI"/>
          <w:sz w:val="24"/>
          <w:szCs w:val="24"/>
        </w:rPr>
        <w:t>L</w:t>
      </w:r>
      <w:r w:rsidR="0050608C">
        <w:rPr>
          <w:rFonts w:ascii="Segoe UI" w:eastAsia="Times New Roman" w:hAnsi="Segoe UI" w:cs="Segoe UI"/>
          <w:sz w:val="24"/>
          <w:szCs w:val="24"/>
        </w:rPr>
        <w:t xml:space="preserve">e taux </w:t>
      </w:r>
      <w:r w:rsidR="004E7AB2" w:rsidRPr="001541CB">
        <w:rPr>
          <w:rFonts w:ascii="Segoe UI" w:eastAsia="Times New Roman" w:hAnsi="Segoe UI" w:cs="Segoe UI"/>
          <w:sz w:val="24"/>
          <w:szCs w:val="24"/>
        </w:rPr>
        <w:t xml:space="preserve"> de </w:t>
      </w:r>
      <w:r w:rsidR="004E1DAD" w:rsidRPr="001541CB">
        <w:rPr>
          <w:rFonts w:ascii="Segoe UI" w:eastAsia="Times New Roman" w:hAnsi="Segoe UI" w:cs="Segoe UI"/>
          <w:sz w:val="24"/>
          <w:szCs w:val="24"/>
        </w:rPr>
        <w:t>recouvrement</w:t>
      </w:r>
      <w:r w:rsidR="00F8628E" w:rsidRPr="001541CB">
        <w:rPr>
          <w:rFonts w:ascii="Segoe UI" w:eastAsia="Times New Roman" w:hAnsi="Segoe UI" w:cs="Segoe UI"/>
          <w:sz w:val="24"/>
          <w:szCs w:val="24"/>
        </w:rPr>
        <w:t xml:space="preserve"> </w:t>
      </w:r>
      <w:r w:rsidR="00017C85">
        <w:rPr>
          <w:rFonts w:ascii="Segoe UI" w:eastAsia="Times New Roman" w:hAnsi="Segoe UI" w:cs="Segoe UI"/>
          <w:sz w:val="24"/>
          <w:szCs w:val="24"/>
        </w:rPr>
        <w:t xml:space="preserve">est </w:t>
      </w:r>
      <w:r w:rsidR="00F8628E" w:rsidRPr="001541CB">
        <w:rPr>
          <w:rFonts w:ascii="Segoe UI" w:eastAsia="Times New Roman" w:hAnsi="Segoe UI" w:cs="Segoe UI"/>
          <w:sz w:val="24"/>
          <w:szCs w:val="24"/>
        </w:rPr>
        <w:t>de 1</w:t>
      </w:r>
      <w:r w:rsidR="007A5048" w:rsidRPr="001541CB">
        <w:rPr>
          <w:rFonts w:ascii="Segoe UI" w:eastAsia="Times New Roman" w:hAnsi="Segoe UI" w:cs="Segoe UI"/>
          <w:sz w:val="24"/>
          <w:szCs w:val="24"/>
        </w:rPr>
        <w:t>8,1</w:t>
      </w:r>
      <w:r w:rsidR="008E7E73" w:rsidRPr="001541CB">
        <w:rPr>
          <w:rFonts w:ascii="Segoe UI" w:eastAsia="Times New Roman" w:hAnsi="Segoe UI" w:cs="Segoe UI"/>
          <w:sz w:val="24"/>
          <w:szCs w:val="24"/>
        </w:rPr>
        <w:t>%</w:t>
      </w:r>
      <w:r w:rsidR="00AA1791">
        <w:rPr>
          <w:rFonts w:ascii="Segoe UI" w:eastAsia="Times New Roman" w:hAnsi="Segoe UI" w:cs="Segoe UI"/>
          <w:sz w:val="24"/>
          <w:szCs w:val="24"/>
        </w:rPr>
        <w:t xml:space="preserve"> contre 19,8</w:t>
      </w:r>
      <w:r w:rsidR="00017C85">
        <w:rPr>
          <w:rFonts w:ascii="Segoe UI" w:eastAsia="Times New Roman" w:hAnsi="Segoe UI" w:cs="Segoe UI"/>
          <w:sz w:val="24"/>
          <w:szCs w:val="24"/>
        </w:rPr>
        <w:t>% un an plutôt</w:t>
      </w:r>
      <w:r w:rsidR="00C139E3" w:rsidRPr="001541CB">
        <w:rPr>
          <w:rFonts w:ascii="Segoe UI" w:eastAsia="Times New Roman" w:hAnsi="Segoe UI" w:cs="Segoe UI"/>
          <w:sz w:val="24"/>
          <w:szCs w:val="24"/>
        </w:rPr>
        <w:t xml:space="preserve">. </w:t>
      </w:r>
    </w:p>
    <w:p w14:paraId="630BCBAC" w14:textId="36CCD13E" w:rsidR="00ED63D9" w:rsidRPr="001541CB" w:rsidRDefault="0097576E" w:rsidP="00811DB1">
      <w:pPr>
        <w:spacing w:after="0" w:line="360" w:lineRule="auto"/>
        <w:jc w:val="both"/>
        <w:rPr>
          <w:rFonts w:ascii="Segoe UI" w:eastAsia="Times New Roman" w:hAnsi="Segoe UI" w:cs="Segoe UI"/>
          <w:sz w:val="24"/>
          <w:szCs w:val="24"/>
        </w:rPr>
      </w:pPr>
      <w:r>
        <w:rPr>
          <w:rFonts w:ascii="Segoe UI" w:eastAsia="Times New Roman" w:hAnsi="Segoe UI" w:cs="Segoe UI"/>
          <w:sz w:val="24"/>
          <w:szCs w:val="24"/>
        </w:rPr>
        <w:t xml:space="preserve">En dépit de l’amélioration de la performance de l’administration douanière (0,7%), on note des glissements négatifs de recettes au niveau de certains produits, notamment </w:t>
      </w:r>
      <w:r w:rsidR="009F16EC" w:rsidRPr="001541CB">
        <w:rPr>
          <w:rFonts w:ascii="Segoe UI" w:eastAsia="Times New Roman" w:hAnsi="Segoe UI" w:cs="Segoe UI"/>
          <w:sz w:val="24"/>
          <w:szCs w:val="24"/>
        </w:rPr>
        <w:t xml:space="preserve"> la friperie, le ciment, les poissons congelés. </w:t>
      </w:r>
      <w:r>
        <w:rPr>
          <w:rFonts w:ascii="Segoe UI" w:eastAsia="Times New Roman" w:hAnsi="Segoe UI" w:cs="Segoe UI"/>
          <w:sz w:val="24"/>
          <w:szCs w:val="24"/>
        </w:rPr>
        <w:t xml:space="preserve"> De même, </w:t>
      </w:r>
      <w:r w:rsidR="009F16EC" w:rsidRPr="001541CB">
        <w:rPr>
          <w:rFonts w:ascii="Segoe UI" w:eastAsia="Times New Roman" w:hAnsi="Segoe UI" w:cs="Segoe UI"/>
          <w:sz w:val="24"/>
          <w:szCs w:val="24"/>
        </w:rPr>
        <w:t xml:space="preserve"> </w:t>
      </w:r>
      <w:r>
        <w:rPr>
          <w:rFonts w:ascii="Segoe UI" w:eastAsia="Times New Roman" w:hAnsi="Segoe UI" w:cs="Segoe UI"/>
          <w:sz w:val="24"/>
          <w:szCs w:val="24"/>
        </w:rPr>
        <w:t>l</w:t>
      </w:r>
      <w:r w:rsidRPr="001541CB">
        <w:rPr>
          <w:rFonts w:ascii="Segoe UI" w:eastAsia="Times New Roman" w:hAnsi="Segoe UI" w:cs="Segoe UI"/>
          <w:sz w:val="24"/>
          <w:szCs w:val="24"/>
        </w:rPr>
        <w:t>es activités d’escorte de marchandises et de véhicules</w:t>
      </w:r>
      <w:r>
        <w:rPr>
          <w:rFonts w:ascii="Segoe UI" w:eastAsia="Times New Roman" w:hAnsi="Segoe UI" w:cs="Segoe UI"/>
          <w:sz w:val="24"/>
          <w:szCs w:val="24"/>
        </w:rPr>
        <w:t xml:space="preserve"> ont connu une</w:t>
      </w:r>
      <w:r w:rsidR="009F16EC" w:rsidRPr="001541CB">
        <w:rPr>
          <w:rFonts w:ascii="Segoe UI" w:eastAsia="Times New Roman" w:hAnsi="Segoe UI" w:cs="Segoe UI"/>
          <w:sz w:val="24"/>
          <w:szCs w:val="24"/>
        </w:rPr>
        <w:t xml:space="preserve"> baisse</w:t>
      </w:r>
      <w:r w:rsidR="00C51620">
        <w:rPr>
          <w:rFonts w:ascii="Segoe UI" w:eastAsia="Times New Roman" w:hAnsi="Segoe UI" w:cs="Segoe UI"/>
          <w:sz w:val="24"/>
          <w:szCs w:val="24"/>
        </w:rPr>
        <w:t xml:space="preserve"> </w:t>
      </w:r>
      <w:r w:rsidR="00451FC0">
        <w:rPr>
          <w:rFonts w:ascii="Segoe UI" w:eastAsia="Times New Roman" w:hAnsi="Segoe UI" w:cs="Segoe UI"/>
          <w:sz w:val="24"/>
          <w:szCs w:val="24"/>
        </w:rPr>
        <w:t>de recettes</w:t>
      </w:r>
      <w:r w:rsidR="00C51620">
        <w:rPr>
          <w:rFonts w:ascii="Segoe UI" w:eastAsia="Times New Roman" w:hAnsi="Segoe UI" w:cs="Segoe UI"/>
          <w:sz w:val="24"/>
          <w:szCs w:val="24"/>
        </w:rPr>
        <w:t xml:space="preserve"> </w:t>
      </w:r>
      <w:r w:rsidR="009F16EC" w:rsidRPr="001541CB">
        <w:rPr>
          <w:rFonts w:ascii="Segoe UI" w:eastAsia="Times New Roman" w:hAnsi="Segoe UI" w:cs="Segoe UI"/>
          <w:sz w:val="24"/>
          <w:szCs w:val="24"/>
        </w:rPr>
        <w:t xml:space="preserve">de </w:t>
      </w:r>
      <w:r w:rsidR="00501874" w:rsidRPr="001541CB">
        <w:rPr>
          <w:rFonts w:ascii="Segoe UI" w:eastAsia="Times New Roman" w:hAnsi="Segoe UI" w:cs="Segoe UI"/>
          <w:sz w:val="24"/>
          <w:szCs w:val="24"/>
        </w:rPr>
        <w:t>2 787 millions de FCFA</w:t>
      </w:r>
      <w:r>
        <w:rPr>
          <w:rFonts w:ascii="Segoe UI" w:eastAsia="Times New Roman" w:hAnsi="Segoe UI" w:cs="Segoe UI"/>
          <w:sz w:val="24"/>
          <w:szCs w:val="24"/>
        </w:rPr>
        <w:t xml:space="preserve">, en lien avec l’interdiction, par le Nigéria, d’entrée de véhicule d’occasion sur son territoire, par voie terrestre. </w:t>
      </w:r>
    </w:p>
    <w:p w14:paraId="2483C7FD" w14:textId="26AB3758" w:rsidR="00811DB1" w:rsidRDefault="00ED63D9" w:rsidP="00811DB1">
      <w:pPr>
        <w:spacing w:after="0" w:line="360" w:lineRule="auto"/>
        <w:jc w:val="both"/>
        <w:rPr>
          <w:rFonts w:ascii="Segoe UI" w:eastAsia="Times New Roman" w:hAnsi="Segoe UI" w:cs="Segoe UI"/>
          <w:sz w:val="24"/>
          <w:szCs w:val="24"/>
        </w:rPr>
      </w:pPr>
      <w:r w:rsidRPr="001541CB">
        <w:rPr>
          <w:rFonts w:ascii="Segoe UI" w:eastAsia="Times New Roman" w:hAnsi="Segoe UI" w:cs="Segoe UI"/>
          <w:sz w:val="24"/>
          <w:szCs w:val="24"/>
        </w:rPr>
        <w:t>Cependant, d’autres produits tels que les huiles de palme, les hydrocarbures, le riz, la volaille congelée ont connu une amél</w:t>
      </w:r>
      <w:r w:rsidR="004B1755">
        <w:rPr>
          <w:rFonts w:ascii="Segoe UI" w:eastAsia="Times New Roman" w:hAnsi="Segoe UI" w:cs="Segoe UI"/>
          <w:sz w:val="24"/>
          <w:szCs w:val="24"/>
        </w:rPr>
        <w:t>ioration nette du niveau de</w:t>
      </w:r>
      <w:r w:rsidRPr="001541CB">
        <w:rPr>
          <w:rFonts w:ascii="Segoe UI" w:eastAsia="Times New Roman" w:hAnsi="Segoe UI" w:cs="Segoe UI"/>
          <w:sz w:val="24"/>
          <w:szCs w:val="24"/>
        </w:rPr>
        <w:t xml:space="preserve"> recouvrement </w:t>
      </w:r>
      <w:r w:rsidR="004B1755">
        <w:rPr>
          <w:rFonts w:ascii="Segoe UI" w:eastAsia="Times New Roman" w:hAnsi="Segoe UI" w:cs="Segoe UI"/>
          <w:sz w:val="24"/>
          <w:szCs w:val="24"/>
        </w:rPr>
        <w:t>des recettes</w:t>
      </w:r>
      <w:r w:rsidR="00984772">
        <w:rPr>
          <w:rFonts w:ascii="Segoe UI" w:eastAsia="Times New Roman" w:hAnsi="Segoe UI" w:cs="Segoe UI"/>
          <w:sz w:val="24"/>
          <w:szCs w:val="24"/>
        </w:rPr>
        <w:t xml:space="preserve">, sans que cela n’ait permis d’atteindre le taux linéaire de 25% attendu à fin mars. </w:t>
      </w:r>
      <w:r w:rsidR="00501874" w:rsidRPr="001541CB">
        <w:rPr>
          <w:rFonts w:ascii="Segoe UI" w:eastAsia="Times New Roman" w:hAnsi="Segoe UI" w:cs="Segoe UI"/>
          <w:sz w:val="24"/>
          <w:szCs w:val="24"/>
        </w:rPr>
        <w:t xml:space="preserve"> </w:t>
      </w:r>
      <w:r w:rsidR="00984772">
        <w:rPr>
          <w:rFonts w:ascii="Segoe UI" w:eastAsia="Times New Roman" w:hAnsi="Segoe UI" w:cs="Segoe UI"/>
          <w:sz w:val="24"/>
          <w:szCs w:val="24"/>
        </w:rPr>
        <w:t xml:space="preserve">On peut évoquer au titre des causes de cette faible réalisation de recettes douanières, </w:t>
      </w:r>
      <w:r w:rsidR="00757CFC" w:rsidRPr="00843307">
        <w:rPr>
          <w:rFonts w:ascii="Segoe UI" w:eastAsia="Times New Roman" w:hAnsi="Segoe UI" w:cs="Segoe UI"/>
          <w:sz w:val="24"/>
          <w:szCs w:val="24"/>
        </w:rPr>
        <w:t xml:space="preserve"> (i) la baisse drastique du cours du pétrole liée à la levée de l’emba</w:t>
      </w:r>
      <w:r w:rsidR="008C68C2" w:rsidRPr="00843307">
        <w:rPr>
          <w:rFonts w:ascii="Segoe UI" w:eastAsia="Times New Roman" w:hAnsi="Segoe UI" w:cs="Segoe UI"/>
          <w:sz w:val="24"/>
          <w:szCs w:val="24"/>
        </w:rPr>
        <w:t>rgo sur le pétrole iranien (</w:t>
      </w:r>
      <w:r w:rsidR="00757CFC" w:rsidRPr="00843307">
        <w:rPr>
          <w:rFonts w:ascii="Segoe UI" w:eastAsia="Times New Roman" w:hAnsi="Segoe UI" w:cs="Segoe UI"/>
          <w:sz w:val="24"/>
          <w:szCs w:val="24"/>
        </w:rPr>
        <w:t>ii) la hausse du dollar</w:t>
      </w:r>
      <w:r w:rsidR="00984772">
        <w:rPr>
          <w:rFonts w:ascii="Segoe UI" w:eastAsia="Times New Roman" w:hAnsi="Segoe UI" w:cs="Segoe UI"/>
          <w:sz w:val="24"/>
          <w:szCs w:val="24"/>
        </w:rPr>
        <w:t xml:space="preserve"> ; </w:t>
      </w:r>
      <w:r w:rsidR="00757CFC" w:rsidRPr="00843307">
        <w:rPr>
          <w:rFonts w:ascii="Segoe UI" w:eastAsia="Times New Roman" w:hAnsi="Segoe UI" w:cs="Segoe UI"/>
          <w:sz w:val="24"/>
          <w:szCs w:val="24"/>
        </w:rPr>
        <w:t xml:space="preserve"> </w:t>
      </w:r>
      <w:r w:rsidR="00984772">
        <w:rPr>
          <w:rFonts w:ascii="Segoe UI" w:eastAsia="Times New Roman" w:hAnsi="Segoe UI" w:cs="Segoe UI"/>
          <w:sz w:val="24"/>
          <w:szCs w:val="24"/>
        </w:rPr>
        <w:t>(iii)</w:t>
      </w:r>
      <w:r w:rsidR="00984772" w:rsidRPr="00843307">
        <w:rPr>
          <w:rFonts w:ascii="Segoe UI" w:eastAsia="Times New Roman" w:hAnsi="Segoe UI" w:cs="Segoe UI"/>
          <w:sz w:val="24"/>
          <w:szCs w:val="24"/>
        </w:rPr>
        <w:t xml:space="preserve"> </w:t>
      </w:r>
      <w:r w:rsidR="00757CFC" w:rsidRPr="00843307">
        <w:rPr>
          <w:rFonts w:ascii="Segoe UI" w:eastAsia="Times New Roman" w:hAnsi="Segoe UI" w:cs="Segoe UI"/>
          <w:sz w:val="24"/>
          <w:szCs w:val="24"/>
        </w:rPr>
        <w:t>la baisse des cours du naira.</w:t>
      </w:r>
    </w:p>
    <w:p w14:paraId="4D583EFF" w14:textId="77777777" w:rsidR="00F943DD" w:rsidRPr="001541CB" w:rsidRDefault="00F943DD" w:rsidP="00811DB1">
      <w:pPr>
        <w:spacing w:after="0" w:line="360" w:lineRule="auto"/>
        <w:jc w:val="both"/>
        <w:rPr>
          <w:rFonts w:ascii="Segoe UI" w:eastAsia="Times New Roman" w:hAnsi="Segoe UI" w:cs="Segoe UI"/>
          <w:sz w:val="24"/>
          <w:szCs w:val="24"/>
        </w:rPr>
      </w:pPr>
    </w:p>
    <w:p w14:paraId="6E9BE9A8" w14:textId="77777777" w:rsidR="007940DA" w:rsidRPr="001541CB" w:rsidRDefault="00811DB1" w:rsidP="00811DB1">
      <w:pPr>
        <w:spacing w:after="0" w:line="360" w:lineRule="auto"/>
        <w:jc w:val="both"/>
        <w:rPr>
          <w:rFonts w:ascii="Segoe UI" w:hAnsi="Segoe UI" w:cs="Segoe UI"/>
          <w:sz w:val="24"/>
          <w:szCs w:val="24"/>
        </w:rPr>
      </w:pPr>
      <w:r w:rsidRPr="001541CB">
        <w:rPr>
          <w:rFonts w:ascii="Segoe UI" w:hAnsi="Segoe UI" w:cs="Segoe UI"/>
          <w:b/>
          <w:sz w:val="24"/>
          <w:szCs w:val="24"/>
        </w:rPr>
        <w:t xml:space="preserve">A-1-2 </w:t>
      </w:r>
      <w:r w:rsidR="00872C08" w:rsidRPr="001541CB">
        <w:rPr>
          <w:rFonts w:ascii="Segoe UI" w:hAnsi="Segoe UI" w:cs="Segoe UI"/>
          <w:b/>
          <w:sz w:val="24"/>
          <w:szCs w:val="24"/>
        </w:rPr>
        <w:t>Direction Générale des Impôts</w:t>
      </w:r>
      <w:r w:rsidR="002F5D00" w:rsidRPr="001541CB">
        <w:rPr>
          <w:rFonts w:ascii="Segoe UI" w:hAnsi="Segoe UI" w:cs="Segoe UI"/>
          <w:b/>
          <w:sz w:val="24"/>
          <w:szCs w:val="24"/>
        </w:rPr>
        <w:t xml:space="preserve"> </w:t>
      </w:r>
      <w:r w:rsidR="00872C08" w:rsidRPr="001541CB">
        <w:rPr>
          <w:rFonts w:ascii="Segoe UI" w:hAnsi="Segoe UI" w:cs="Segoe UI"/>
          <w:b/>
          <w:sz w:val="24"/>
          <w:szCs w:val="24"/>
        </w:rPr>
        <w:t>(DGI)</w:t>
      </w:r>
    </w:p>
    <w:p w14:paraId="6E5FCD70" w14:textId="6B06C42F" w:rsidR="005803CC" w:rsidRPr="001541CB" w:rsidRDefault="0001773E" w:rsidP="00811DB1">
      <w:pPr>
        <w:spacing w:after="0" w:line="360" w:lineRule="auto"/>
        <w:jc w:val="both"/>
        <w:rPr>
          <w:rFonts w:ascii="Segoe UI" w:hAnsi="Segoe UI" w:cs="Segoe UI"/>
          <w:sz w:val="24"/>
          <w:szCs w:val="24"/>
        </w:rPr>
      </w:pPr>
      <w:r w:rsidRPr="001541CB">
        <w:rPr>
          <w:rFonts w:ascii="Segoe UI" w:hAnsi="Segoe UI" w:cs="Segoe UI"/>
          <w:sz w:val="24"/>
          <w:szCs w:val="24"/>
        </w:rPr>
        <w:t>Au</w:t>
      </w:r>
      <w:r w:rsidR="00B74C6A" w:rsidRPr="001541CB">
        <w:rPr>
          <w:rFonts w:ascii="Segoe UI" w:hAnsi="Segoe UI" w:cs="Segoe UI"/>
          <w:sz w:val="24"/>
          <w:szCs w:val="24"/>
        </w:rPr>
        <w:t xml:space="preserve"> cours du premier trimestre 2017</w:t>
      </w:r>
      <w:r w:rsidRPr="001541CB">
        <w:rPr>
          <w:rFonts w:ascii="Segoe UI" w:hAnsi="Segoe UI" w:cs="Segoe UI"/>
          <w:sz w:val="24"/>
          <w:szCs w:val="24"/>
        </w:rPr>
        <w:t xml:space="preserve">, la DGI a </w:t>
      </w:r>
      <w:r w:rsidR="00883D36" w:rsidRPr="001541CB">
        <w:rPr>
          <w:rFonts w:ascii="Segoe UI" w:hAnsi="Segoe UI" w:cs="Segoe UI"/>
          <w:sz w:val="24"/>
          <w:szCs w:val="24"/>
        </w:rPr>
        <w:t>recouvr</w:t>
      </w:r>
      <w:r w:rsidR="00165134" w:rsidRPr="001541CB">
        <w:rPr>
          <w:rFonts w:ascii="Segoe UI" w:hAnsi="Segoe UI" w:cs="Segoe UI"/>
          <w:sz w:val="24"/>
          <w:szCs w:val="24"/>
        </w:rPr>
        <w:t xml:space="preserve">é </w:t>
      </w:r>
      <w:r w:rsidR="00883D36" w:rsidRPr="001541CB">
        <w:rPr>
          <w:rFonts w:ascii="Segoe UI" w:hAnsi="Segoe UI" w:cs="Segoe UI"/>
          <w:sz w:val="24"/>
          <w:szCs w:val="24"/>
        </w:rPr>
        <w:t xml:space="preserve">un montant total de </w:t>
      </w:r>
      <w:r w:rsidR="008F532A" w:rsidRPr="001541CB">
        <w:rPr>
          <w:rFonts w:ascii="Segoe UI" w:hAnsi="Segoe UI" w:cs="Segoe UI"/>
          <w:sz w:val="24"/>
          <w:szCs w:val="24"/>
        </w:rPr>
        <w:t>92 502,3</w:t>
      </w:r>
      <w:r w:rsidR="00883D36" w:rsidRPr="001541CB">
        <w:rPr>
          <w:rFonts w:ascii="Segoe UI" w:hAnsi="Segoe UI" w:cs="Segoe UI"/>
          <w:sz w:val="24"/>
          <w:szCs w:val="24"/>
        </w:rPr>
        <w:t xml:space="preserve"> millions de FCFA</w:t>
      </w:r>
      <w:r w:rsidR="00864A40" w:rsidRPr="001541CB">
        <w:rPr>
          <w:rFonts w:ascii="Segoe UI" w:hAnsi="Segoe UI" w:cs="Segoe UI"/>
          <w:sz w:val="24"/>
          <w:szCs w:val="24"/>
        </w:rPr>
        <w:t>, soit un taux de recouvrement de 22,3% d</w:t>
      </w:r>
      <w:r w:rsidR="00B15C94" w:rsidRPr="001541CB">
        <w:rPr>
          <w:rFonts w:ascii="Segoe UI" w:hAnsi="Segoe UI" w:cs="Segoe UI"/>
          <w:sz w:val="24"/>
          <w:szCs w:val="24"/>
        </w:rPr>
        <w:t>es prévisions annuelles</w:t>
      </w:r>
      <w:r w:rsidR="00883D36" w:rsidRPr="001541CB">
        <w:rPr>
          <w:rFonts w:ascii="Segoe UI" w:hAnsi="Segoe UI" w:cs="Segoe UI"/>
          <w:sz w:val="24"/>
          <w:szCs w:val="24"/>
        </w:rPr>
        <w:t>.</w:t>
      </w:r>
      <w:r w:rsidR="002E47DA" w:rsidRPr="001541CB">
        <w:rPr>
          <w:rFonts w:ascii="Segoe UI" w:hAnsi="Segoe UI" w:cs="Segoe UI"/>
          <w:sz w:val="24"/>
          <w:szCs w:val="24"/>
        </w:rPr>
        <w:t xml:space="preserve"> </w:t>
      </w:r>
      <w:r w:rsidR="00883D36" w:rsidRPr="001541CB">
        <w:rPr>
          <w:rFonts w:ascii="Segoe UI" w:hAnsi="Segoe UI" w:cs="Segoe UI"/>
          <w:sz w:val="24"/>
          <w:szCs w:val="24"/>
        </w:rPr>
        <w:t>L</w:t>
      </w:r>
      <w:r w:rsidR="00526B42" w:rsidRPr="001541CB">
        <w:rPr>
          <w:rFonts w:ascii="Segoe UI" w:hAnsi="Segoe UI" w:cs="Segoe UI"/>
          <w:sz w:val="24"/>
          <w:szCs w:val="24"/>
        </w:rPr>
        <w:t xml:space="preserve">e rapprochement </w:t>
      </w:r>
      <w:r w:rsidR="004500E4" w:rsidRPr="001541CB">
        <w:rPr>
          <w:rFonts w:ascii="Segoe UI" w:hAnsi="Segoe UI" w:cs="Segoe UI"/>
          <w:sz w:val="24"/>
          <w:szCs w:val="24"/>
        </w:rPr>
        <w:t>de</w:t>
      </w:r>
      <w:r w:rsidR="00526B42" w:rsidRPr="001541CB">
        <w:rPr>
          <w:rFonts w:ascii="Segoe UI" w:hAnsi="Segoe UI" w:cs="Segoe UI"/>
          <w:sz w:val="24"/>
          <w:szCs w:val="24"/>
        </w:rPr>
        <w:t>s</w:t>
      </w:r>
      <w:r w:rsidR="004500E4" w:rsidRPr="001541CB">
        <w:rPr>
          <w:rFonts w:ascii="Segoe UI" w:hAnsi="Segoe UI" w:cs="Segoe UI"/>
          <w:sz w:val="24"/>
          <w:szCs w:val="24"/>
        </w:rPr>
        <w:t xml:space="preserve"> réalisation</w:t>
      </w:r>
      <w:r w:rsidR="00526B42" w:rsidRPr="001541CB">
        <w:rPr>
          <w:rFonts w:ascii="Segoe UI" w:hAnsi="Segoe UI" w:cs="Segoe UI"/>
          <w:sz w:val="24"/>
          <w:szCs w:val="24"/>
        </w:rPr>
        <w:t>s</w:t>
      </w:r>
      <w:r w:rsidR="002E47DA" w:rsidRPr="001541CB">
        <w:rPr>
          <w:rFonts w:ascii="Segoe UI" w:hAnsi="Segoe UI" w:cs="Segoe UI"/>
          <w:sz w:val="24"/>
          <w:szCs w:val="24"/>
        </w:rPr>
        <w:t xml:space="preserve"> </w:t>
      </w:r>
      <w:r w:rsidR="00883D36" w:rsidRPr="001541CB">
        <w:rPr>
          <w:rFonts w:ascii="Segoe UI" w:hAnsi="Segoe UI" w:cs="Segoe UI"/>
          <w:sz w:val="24"/>
          <w:szCs w:val="24"/>
        </w:rPr>
        <w:t xml:space="preserve">des recettes fiscales au niveau de l’administration des impôts </w:t>
      </w:r>
      <w:r w:rsidR="000032F2" w:rsidRPr="001541CB">
        <w:rPr>
          <w:rFonts w:ascii="Segoe UI" w:hAnsi="Segoe UI" w:cs="Segoe UI"/>
          <w:sz w:val="24"/>
          <w:szCs w:val="24"/>
        </w:rPr>
        <w:t>à fin mars 2017</w:t>
      </w:r>
      <w:r w:rsidR="00526B42" w:rsidRPr="001541CB">
        <w:rPr>
          <w:rFonts w:ascii="Segoe UI" w:hAnsi="Segoe UI" w:cs="Segoe UI"/>
          <w:sz w:val="24"/>
          <w:szCs w:val="24"/>
        </w:rPr>
        <w:t xml:space="preserve"> et 201</w:t>
      </w:r>
      <w:r w:rsidR="00B74C6A" w:rsidRPr="001541CB">
        <w:rPr>
          <w:rFonts w:ascii="Segoe UI" w:hAnsi="Segoe UI" w:cs="Segoe UI"/>
          <w:sz w:val="24"/>
          <w:szCs w:val="24"/>
        </w:rPr>
        <w:t>6</w:t>
      </w:r>
      <w:r w:rsidR="002E47DA" w:rsidRPr="001541CB">
        <w:rPr>
          <w:rFonts w:ascii="Segoe UI" w:hAnsi="Segoe UI" w:cs="Segoe UI"/>
          <w:sz w:val="24"/>
          <w:szCs w:val="24"/>
        </w:rPr>
        <w:t xml:space="preserve"> </w:t>
      </w:r>
      <w:r w:rsidR="00883D36" w:rsidRPr="001541CB">
        <w:rPr>
          <w:rFonts w:ascii="Segoe UI" w:hAnsi="Segoe UI" w:cs="Segoe UI"/>
          <w:sz w:val="24"/>
          <w:szCs w:val="24"/>
        </w:rPr>
        <w:t>fait observer</w:t>
      </w:r>
      <w:r w:rsidR="002E47DA" w:rsidRPr="001541CB">
        <w:rPr>
          <w:rFonts w:ascii="Segoe UI" w:hAnsi="Segoe UI" w:cs="Segoe UI"/>
          <w:sz w:val="24"/>
          <w:szCs w:val="24"/>
        </w:rPr>
        <w:t xml:space="preserve"> </w:t>
      </w:r>
      <w:r w:rsidR="00526B42" w:rsidRPr="001541CB">
        <w:rPr>
          <w:rFonts w:ascii="Segoe UI" w:hAnsi="Segoe UI" w:cs="Segoe UI"/>
          <w:sz w:val="24"/>
          <w:szCs w:val="24"/>
        </w:rPr>
        <w:t xml:space="preserve">un écart </w:t>
      </w:r>
      <w:r w:rsidR="00B74C6A" w:rsidRPr="001541CB">
        <w:rPr>
          <w:rFonts w:ascii="Segoe UI" w:hAnsi="Segoe UI" w:cs="Segoe UI"/>
          <w:sz w:val="24"/>
          <w:szCs w:val="24"/>
        </w:rPr>
        <w:t>négatif</w:t>
      </w:r>
      <w:r w:rsidR="00651E03" w:rsidRPr="001541CB">
        <w:rPr>
          <w:rFonts w:ascii="Segoe UI" w:hAnsi="Segoe UI" w:cs="Segoe UI"/>
          <w:sz w:val="24"/>
          <w:szCs w:val="24"/>
        </w:rPr>
        <w:t xml:space="preserve"> de</w:t>
      </w:r>
      <w:r w:rsidR="002E47DA" w:rsidRPr="001541CB">
        <w:rPr>
          <w:rFonts w:ascii="Segoe UI" w:hAnsi="Segoe UI" w:cs="Segoe UI"/>
          <w:sz w:val="24"/>
          <w:szCs w:val="24"/>
        </w:rPr>
        <w:t xml:space="preserve"> </w:t>
      </w:r>
      <w:r w:rsidR="000A50EE" w:rsidRPr="001541CB">
        <w:rPr>
          <w:rFonts w:ascii="Segoe UI" w:hAnsi="Segoe UI" w:cs="Segoe UI"/>
          <w:sz w:val="24"/>
          <w:szCs w:val="24"/>
        </w:rPr>
        <w:t>9 763,9</w:t>
      </w:r>
      <w:r w:rsidR="002E47DA" w:rsidRPr="001541CB">
        <w:rPr>
          <w:rFonts w:ascii="Segoe UI" w:hAnsi="Segoe UI" w:cs="Segoe UI"/>
          <w:sz w:val="24"/>
          <w:szCs w:val="24"/>
        </w:rPr>
        <w:t xml:space="preserve"> </w:t>
      </w:r>
      <w:r w:rsidR="00B252B2" w:rsidRPr="001541CB">
        <w:rPr>
          <w:rFonts w:ascii="Segoe UI" w:hAnsi="Segoe UI" w:cs="Segoe UI"/>
          <w:sz w:val="24"/>
          <w:szCs w:val="24"/>
        </w:rPr>
        <w:t>millions de FCFA</w:t>
      </w:r>
      <w:r w:rsidR="00526B42" w:rsidRPr="001541CB">
        <w:rPr>
          <w:rFonts w:ascii="Segoe UI" w:hAnsi="Segoe UI" w:cs="Segoe UI"/>
          <w:sz w:val="24"/>
          <w:szCs w:val="24"/>
        </w:rPr>
        <w:t xml:space="preserve">. Ceci </w:t>
      </w:r>
      <w:r w:rsidR="007665DA" w:rsidRPr="001541CB">
        <w:rPr>
          <w:rFonts w:ascii="Segoe UI" w:hAnsi="Segoe UI" w:cs="Segoe UI"/>
          <w:sz w:val="24"/>
          <w:szCs w:val="24"/>
        </w:rPr>
        <w:t xml:space="preserve">s’explique par le </w:t>
      </w:r>
      <w:r w:rsidR="00392905">
        <w:rPr>
          <w:rFonts w:ascii="Segoe UI" w:hAnsi="Segoe UI" w:cs="Segoe UI"/>
          <w:sz w:val="24"/>
          <w:szCs w:val="24"/>
        </w:rPr>
        <w:t>faible</w:t>
      </w:r>
      <w:r w:rsidR="003108C0">
        <w:rPr>
          <w:rFonts w:ascii="Segoe UI" w:hAnsi="Segoe UI" w:cs="Segoe UI"/>
          <w:sz w:val="24"/>
          <w:szCs w:val="24"/>
        </w:rPr>
        <w:t xml:space="preserve"> niveau de mobilisation </w:t>
      </w:r>
      <w:r w:rsidR="00897BE4" w:rsidRPr="001541CB">
        <w:rPr>
          <w:rFonts w:ascii="Segoe UI" w:hAnsi="Segoe UI" w:cs="Segoe UI"/>
          <w:sz w:val="24"/>
          <w:szCs w:val="24"/>
        </w:rPr>
        <w:t>de certains impôts tels qu</w:t>
      </w:r>
      <w:r w:rsidR="007665DA" w:rsidRPr="001541CB">
        <w:rPr>
          <w:rFonts w:ascii="Segoe UI" w:hAnsi="Segoe UI" w:cs="Segoe UI"/>
          <w:sz w:val="24"/>
          <w:szCs w:val="24"/>
        </w:rPr>
        <w:t>e</w:t>
      </w:r>
      <w:r w:rsidR="00903B66" w:rsidRPr="001541CB">
        <w:rPr>
          <w:rFonts w:ascii="Segoe UI" w:hAnsi="Segoe UI" w:cs="Segoe UI"/>
          <w:color w:val="FF0000"/>
          <w:sz w:val="24"/>
          <w:szCs w:val="24"/>
        </w:rPr>
        <w:t> </w:t>
      </w:r>
      <w:r w:rsidR="00903B66" w:rsidRPr="001541CB">
        <w:rPr>
          <w:rFonts w:ascii="Segoe UI" w:hAnsi="Segoe UI" w:cs="Segoe UI"/>
          <w:sz w:val="24"/>
          <w:szCs w:val="24"/>
        </w:rPr>
        <w:t>:</w:t>
      </w:r>
      <w:r w:rsidR="00681611" w:rsidRPr="001541CB">
        <w:rPr>
          <w:rFonts w:ascii="Segoe UI" w:hAnsi="Segoe UI" w:cs="Segoe UI"/>
          <w:sz w:val="24"/>
          <w:szCs w:val="24"/>
        </w:rPr>
        <w:t xml:space="preserve"> (i</w:t>
      </w:r>
      <w:r w:rsidR="00447EFD" w:rsidRPr="001541CB">
        <w:rPr>
          <w:rFonts w:ascii="Segoe UI" w:hAnsi="Segoe UI" w:cs="Segoe UI"/>
          <w:sz w:val="24"/>
          <w:szCs w:val="24"/>
        </w:rPr>
        <w:t xml:space="preserve">) </w:t>
      </w:r>
      <w:r w:rsidR="00575716" w:rsidRPr="001541CB">
        <w:rPr>
          <w:rFonts w:ascii="Segoe UI" w:hAnsi="Segoe UI" w:cs="Segoe UI"/>
          <w:sz w:val="24"/>
          <w:szCs w:val="24"/>
        </w:rPr>
        <w:t>l’acompte forfaitaire spécial sur véhicule d’occasion (8,38%)</w:t>
      </w:r>
      <w:r w:rsidR="00681611" w:rsidRPr="001541CB">
        <w:rPr>
          <w:rFonts w:ascii="Segoe UI" w:hAnsi="Segoe UI" w:cs="Segoe UI"/>
          <w:sz w:val="24"/>
          <w:szCs w:val="24"/>
        </w:rPr>
        <w:t> ; (</w:t>
      </w:r>
      <w:r w:rsidR="00447EFD" w:rsidRPr="001541CB">
        <w:rPr>
          <w:rFonts w:ascii="Segoe UI" w:hAnsi="Segoe UI" w:cs="Segoe UI"/>
          <w:sz w:val="24"/>
          <w:szCs w:val="24"/>
        </w:rPr>
        <w:t>i</w:t>
      </w:r>
      <w:r w:rsidR="00101B46">
        <w:rPr>
          <w:rFonts w:ascii="Segoe UI" w:hAnsi="Segoe UI" w:cs="Segoe UI"/>
          <w:sz w:val="24"/>
          <w:szCs w:val="24"/>
        </w:rPr>
        <w:t>i</w:t>
      </w:r>
      <w:r w:rsidR="00DB7656" w:rsidRPr="001541CB">
        <w:rPr>
          <w:rFonts w:ascii="Segoe UI" w:hAnsi="Segoe UI" w:cs="Segoe UI"/>
          <w:sz w:val="24"/>
          <w:szCs w:val="24"/>
        </w:rPr>
        <w:t xml:space="preserve">) </w:t>
      </w:r>
      <w:r w:rsidR="003407E3" w:rsidRPr="001541CB">
        <w:rPr>
          <w:rFonts w:ascii="Segoe UI" w:hAnsi="Segoe UI" w:cs="Segoe UI"/>
          <w:sz w:val="24"/>
          <w:szCs w:val="24"/>
        </w:rPr>
        <w:t>l’</w:t>
      </w:r>
      <w:r w:rsidR="000A740A" w:rsidRPr="001541CB">
        <w:rPr>
          <w:rFonts w:ascii="Segoe UI" w:hAnsi="Segoe UI" w:cs="Segoe UI"/>
          <w:sz w:val="24"/>
          <w:szCs w:val="24"/>
        </w:rPr>
        <w:t xml:space="preserve">impôt sur les </w:t>
      </w:r>
      <w:r w:rsidR="00DA7559" w:rsidRPr="001541CB">
        <w:rPr>
          <w:rFonts w:ascii="Segoe UI" w:hAnsi="Segoe UI" w:cs="Segoe UI"/>
          <w:sz w:val="24"/>
          <w:szCs w:val="24"/>
        </w:rPr>
        <w:t>sociétés (14,8</w:t>
      </w:r>
      <w:r w:rsidR="00101B46">
        <w:rPr>
          <w:rFonts w:ascii="Segoe UI" w:hAnsi="Segoe UI" w:cs="Segoe UI"/>
          <w:sz w:val="24"/>
          <w:szCs w:val="24"/>
        </w:rPr>
        <w:t>%) ; (iii</w:t>
      </w:r>
      <w:r w:rsidR="00DD7ECA" w:rsidRPr="001541CB">
        <w:rPr>
          <w:rFonts w:ascii="Segoe UI" w:hAnsi="Segoe UI" w:cs="Segoe UI"/>
          <w:sz w:val="24"/>
          <w:szCs w:val="24"/>
        </w:rPr>
        <w:t>)</w:t>
      </w:r>
      <w:r w:rsidR="00337D7A" w:rsidRPr="001541CB">
        <w:rPr>
          <w:rFonts w:ascii="Segoe UI" w:hAnsi="Segoe UI" w:cs="Segoe UI"/>
          <w:sz w:val="24"/>
          <w:szCs w:val="24"/>
        </w:rPr>
        <w:t xml:space="preserve"> la taxe unique sur le transport routier (17,6%)</w:t>
      </w:r>
      <w:r w:rsidR="00101B46">
        <w:rPr>
          <w:rFonts w:ascii="Segoe UI" w:hAnsi="Segoe UI" w:cs="Segoe UI"/>
          <w:sz w:val="24"/>
          <w:szCs w:val="24"/>
        </w:rPr>
        <w:t> </w:t>
      </w:r>
      <w:r w:rsidR="00392905">
        <w:rPr>
          <w:rFonts w:ascii="Segoe UI" w:hAnsi="Segoe UI" w:cs="Segoe UI"/>
          <w:sz w:val="24"/>
          <w:szCs w:val="24"/>
        </w:rPr>
        <w:t xml:space="preserve">et </w:t>
      </w:r>
      <w:r w:rsidR="00101B46">
        <w:rPr>
          <w:rFonts w:ascii="Segoe UI" w:hAnsi="Segoe UI" w:cs="Segoe UI"/>
          <w:sz w:val="24"/>
          <w:szCs w:val="24"/>
        </w:rPr>
        <w:t xml:space="preserve"> (</w:t>
      </w:r>
      <w:r w:rsidR="00447EFD" w:rsidRPr="001541CB">
        <w:rPr>
          <w:rFonts w:ascii="Segoe UI" w:hAnsi="Segoe UI" w:cs="Segoe UI"/>
          <w:sz w:val="24"/>
          <w:szCs w:val="24"/>
        </w:rPr>
        <w:t>i</w:t>
      </w:r>
      <w:r w:rsidR="00101B46">
        <w:rPr>
          <w:rFonts w:ascii="Segoe UI" w:hAnsi="Segoe UI" w:cs="Segoe UI"/>
          <w:sz w:val="24"/>
          <w:szCs w:val="24"/>
        </w:rPr>
        <w:t>v</w:t>
      </w:r>
      <w:r w:rsidR="005803CC" w:rsidRPr="001541CB">
        <w:rPr>
          <w:rFonts w:ascii="Segoe UI" w:hAnsi="Segoe UI" w:cs="Segoe UI"/>
          <w:sz w:val="24"/>
          <w:szCs w:val="24"/>
        </w:rPr>
        <w:t xml:space="preserve">) </w:t>
      </w:r>
      <w:r w:rsidR="00DD7ECA" w:rsidRPr="001541CB">
        <w:rPr>
          <w:rFonts w:ascii="Segoe UI" w:hAnsi="Segoe UI" w:cs="Segoe UI"/>
          <w:sz w:val="24"/>
          <w:szCs w:val="24"/>
        </w:rPr>
        <w:t xml:space="preserve">la TVA </w:t>
      </w:r>
      <w:r w:rsidR="00384064" w:rsidRPr="001541CB">
        <w:rPr>
          <w:rFonts w:ascii="Segoe UI" w:hAnsi="Segoe UI" w:cs="Segoe UI"/>
          <w:sz w:val="24"/>
          <w:szCs w:val="24"/>
        </w:rPr>
        <w:t xml:space="preserve">intérieure </w:t>
      </w:r>
      <w:r w:rsidR="00DD7ECA" w:rsidRPr="001541CB">
        <w:rPr>
          <w:rFonts w:ascii="Segoe UI" w:hAnsi="Segoe UI" w:cs="Segoe UI"/>
          <w:sz w:val="24"/>
          <w:szCs w:val="24"/>
        </w:rPr>
        <w:t>(23</w:t>
      </w:r>
      <w:r w:rsidR="00FB58B5" w:rsidRPr="001541CB">
        <w:rPr>
          <w:rFonts w:ascii="Segoe UI" w:hAnsi="Segoe UI" w:cs="Segoe UI"/>
          <w:sz w:val="24"/>
          <w:szCs w:val="24"/>
        </w:rPr>
        <w:t>,6%)</w:t>
      </w:r>
      <w:r w:rsidR="005803CC" w:rsidRPr="001541CB">
        <w:rPr>
          <w:rFonts w:ascii="Segoe UI" w:hAnsi="Segoe UI" w:cs="Segoe UI"/>
          <w:sz w:val="24"/>
          <w:szCs w:val="24"/>
        </w:rPr>
        <w:t>.</w:t>
      </w:r>
    </w:p>
    <w:p w14:paraId="6C5921D1" w14:textId="270A0435" w:rsidR="004B50FA" w:rsidRDefault="004B50FA" w:rsidP="00811DB1">
      <w:pPr>
        <w:spacing w:after="0" w:line="360" w:lineRule="auto"/>
        <w:jc w:val="both"/>
        <w:rPr>
          <w:rFonts w:ascii="Segoe UI" w:hAnsi="Segoe UI" w:cs="Segoe UI"/>
          <w:sz w:val="24"/>
          <w:szCs w:val="24"/>
        </w:rPr>
      </w:pPr>
      <w:r w:rsidRPr="001541CB">
        <w:rPr>
          <w:rFonts w:ascii="Segoe UI" w:hAnsi="Segoe UI" w:cs="Segoe UI"/>
          <w:sz w:val="24"/>
          <w:szCs w:val="24"/>
        </w:rPr>
        <w:t>Dans l’ensemble</w:t>
      </w:r>
      <w:r w:rsidR="00FF4E65">
        <w:rPr>
          <w:rFonts w:ascii="Segoe UI" w:hAnsi="Segoe UI" w:cs="Segoe UI"/>
          <w:sz w:val="24"/>
          <w:szCs w:val="24"/>
        </w:rPr>
        <w:t>,</w:t>
      </w:r>
      <w:r w:rsidRPr="001541CB">
        <w:rPr>
          <w:rFonts w:ascii="Segoe UI" w:hAnsi="Segoe UI" w:cs="Segoe UI"/>
          <w:sz w:val="24"/>
          <w:szCs w:val="24"/>
        </w:rPr>
        <w:t xml:space="preserve"> les efforts </w:t>
      </w:r>
      <w:r w:rsidR="00FF4E65" w:rsidRPr="001541CB">
        <w:rPr>
          <w:rFonts w:ascii="Segoe UI" w:hAnsi="Segoe UI" w:cs="Segoe UI"/>
          <w:sz w:val="24"/>
          <w:szCs w:val="24"/>
        </w:rPr>
        <w:t xml:space="preserve">de l’Administration fiscale </w:t>
      </w:r>
      <w:r w:rsidRPr="001541CB">
        <w:rPr>
          <w:rFonts w:ascii="Segoe UI" w:hAnsi="Segoe UI" w:cs="Segoe UI"/>
          <w:sz w:val="24"/>
          <w:szCs w:val="24"/>
        </w:rPr>
        <w:t xml:space="preserve">doivent être </w:t>
      </w:r>
      <w:r w:rsidR="0055724E" w:rsidRPr="001541CB">
        <w:rPr>
          <w:rFonts w:ascii="Segoe UI" w:hAnsi="Segoe UI" w:cs="Segoe UI"/>
          <w:sz w:val="24"/>
          <w:szCs w:val="24"/>
        </w:rPr>
        <w:t>soutenus</w:t>
      </w:r>
      <w:r w:rsidRPr="001541CB">
        <w:rPr>
          <w:rFonts w:ascii="Segoe UI" w:hAnsi="Segoe UI" w:cs="Segoe UI"/>
          <w:sz w:val="24"/>
          <w:szCs w:val="24"/>
        </w:rPr>
        <w:t xml:space="preserve"> </w:t>
      </w:r>
      <w:r w:rsidR="000768E6">
        <w:rPr>
          <w:rFonts w:ascii="Segoe UI" w:hAnsi="Segoe UI" w:cs="Segoe UI"/>
          <w:sz w:val="24"/>
          <w:szCs w:val="24"/>
        </w:rPr>
        <w:t xml:space="preserve">aux fins </w:t>
      </w:r>
      <w:r w:rsidR="003076C2">
        <w:rPr>
          <w:rFonts w:ascii="Segoe UI" w:hAnsi="Segoe UI" w:cs="Segoe UI"/>
          <w:sz w:val="24"/>
          <w:szCs w:val="24"/>
        </w:rPr>
        <w:t>d’améliorer le</w:t>
      </w:r>
      <w:r w:rsidR="00A061FD">
        <w:rPr>
          <w:rFonts w:ascii="Segoe UI" w:hAnsi="Segoe UI" w:cs="Segoe UI"/>
          <w:sz w:val="24"/>
          <w:szCs w:val="24"/>
        </w:rPr>
        <w:t xml:space="preserve"> niveau de réalisation </w:t>
      </w:r>
      <w:r w:rsidRPr="001541CB">
        <w:rPr>
          <w:rFonts w:ascii="Segoe UI" w:hAnsi="Segoe UI" w:cs="Segoe UI"/>
          <w:sz w:val="24"/>
          <w:szCs w:val="24"/>
        </w:rPr>
        <w:t xml:space="preserve"> des droits et taxes </w:t>
      </w:r>
      <w:r w:rsidR="00392905">
        <w:rPr>
          <w:rFonts w:ascii="Segoe UI" w:hAnsi="Segoe UI" w:cs="Segoe UI"/>
          <w:sz w:val="24"/>
          <w:szCs w:val="24"/>
        </w:rPr>
        <w:t>pour les</w:t>
      </w:r>
      <w:r w:rsidRPr="001541CB">
        <w:rPr>
          <w:rFonts w:ascii="Segoe UI" w:hAnsi="Segoe UI" w:cs="Segoe UI"/>
          <w:sz w:val="24"/>
          <w:szCs w:val="24"/>
        </w:rPr>
        <w:t xml:space="preserve"> trimestres à venir. </w:t>
      </w:r>
    </w:p>
    <w:p w14:paraId="5764AA80" w14:textId="77777777" w:rsidR="00A061FD" w:rsidRDefault="00A061FD" w:rsidP="00811DB1">
      <w:pPr>
        <w:spacing w:after="0" w:line="360" w:lineRule="auto"/>
        <w:jc w:val="both"/>
        <w:rPr>
          <w:rFonts w:ascii="Segoe UI" w:hAnsi="Segoe UI" w:cs="Segoe UI"/>
          <w:sz w:val="24"/>
          <w:szCs w:val="24"/>
        </w:rPr>
      </w:pPr>
    </w:p>
    <w:p w14:paraId="19B527FF" w14:textId="77777777" w:rsidR="00B31988" w:rsidRDefault="00B31988" w:rsidP="00811DB1">
      <w:pPr>
        <w:spacing w:after="0" w:line="360" w:lineRule="auto"/>
        <w:jc w:val="both"/>
        <w:rPr>
          <w:rFonts w:ascii="Segoe UI" w:hAnsi="Segoe UI" w:cs="Segoe UI"/>
          <w:sz w:val="24"/>
          <w:szCs w:val="24"/>
        </w:rPr>
      </w:pPr>
    </w:p>
    <w:p w14:paraId="55CC2A8A" w14:textId="77777777" w:rsidR="00B31988" w:rsidRPr="001541CB" w:rsidRDefault="00B31988" w:rsidP="00811DB1">
      <w:pPr>
        <w:spacing w:after="0" w:line="360" w:lineRule="auto"/>
        <w:jc w:val="both"/>
        <w:rPr>
          <w:rFonts w:ascii="Segoe UI" w:hAnsi="Segoe UI" w:cs="Segoe UI"/>
          <w:sz w:val="24"/>
          <w:szCs w:val="24"/>
        </w:rPr>
      </w:pPr>
    </w:p>
    <w:p w14:paraId="327350ED" w14:textId="77777777" w:rsidR="00D84883" w:rsidRPr="001541CB" w:rsidRDefault="00811DB1" w:rsidP="00811DB1">
      <w:pPr>
        <w:spacing w:after="0" w:line="360" w:lineRule="auto"/>
        <w:jc w:val="both"/>
        <w:rPr>
          <w:rFonts w:ascii="Segoe UI" w:hAnsi="Segoe UI" w:cs="Segoe UI"/>
          <w:color w:val="FF0000"/>
          <w:sz w:val="24"/>
          <w:szCs w:val="24"/>
        </w:rPr>
      </w:pPr>
      <w:r w:rsidRPr="001541CB">
        <w:rPr>
          <w:rFonts w:ascii="Segoe UI" w:hAnsi="Segoe UI" w:cs="Segoe UI"/>
          <w:b/>
          <w:sz w:val="24"/>
          <w:szCs w:val="24"/>
        </w:rPr>
        <w:lastRenderedPageBreak/>
        <w:t xml:space="preserve">A-1-3 </w:t>
      </w:r>
      <w:r w:rsidR="00D84883" w:rsidRPr="001541CB">
        <w:rPr>
          <w:rFonts w:ascii="Segoe UI" w:hAnsi="Segoe UI" w:cs="Segoe UI"/>
          <w:b/>
          <w:sz w:val="24"/>
          <w:szCs w:val="24"/>
        </w:rPr>
        <w:t>Direction Générale du Trésor et de la Comptabilité Publique (DGTCP)</w:t>
      </w:r>
    </w:p>
    <w:p w14:paraId="3C49F8C8" w14:textId="68492C48" w:rsidR="00FF6103" w:rsidRDefault="007A7F93" w:rsidP="00811DB1">
      <w:pPr>
        <w:spacing w:after="0" w:line="360" w:lineRule="auto"/>
        <w:jc w:val="both"/>
        <w:rPr>
          <w:rFonts w:ascii="Segoe UI" w:hAnsi="Segoe UI" w:cs="Segoe UI"/>
          <w:sz w:val="24"/>
          <w:szCs w:val="24"/>
        </w:rPr>
      </w:pPr>
      <w:r>
        <w:rPr>
          <w:rFonts w:ascii="Segoe UI" w:hAnsi="Segoe UI" w:cs="Segoe UI"/>
          <w:sz w:val="24"/>
          <w:szCs w:val="24"/>
        </w:rPr>
        <w:t>Au 31 mars 2017</w:t>
      </w:r>
      <w:r w:rsidR="00E46685" w:rsidRPr="001541CB">
        <w:rPr>
          <w:rFonts w:ascii="Segoe UI" w:hAnsi="Segoe UI" w:cs="Segoe UI"/>
          <w:sz w:val="24"/>
          <w:szCs w:val="24"/>
        </w:rPr>
        <w:t>, la DGTCP</w:t>
      </w:r>
      <w:r w:rsidR="007814EE" w:rsidRPr="001541CB">
        <w:rPr>
          <w:rFonts w:ascii="Segoe UI" w:hAnsi="Segoe UI" w:cs="Segoe UI"/>
          <w:sz w:val="24"/>
          <w:szCs w:val="24"/>
        </w:rPr>
        <w:t xml:space="preserve"> a mobilisé </w:t>
      </w:r>
      <w:r w:rsidR="00814424" w:rsidRPr="001541CB">
        <w:rPr>
          <w:rFonts w:ascii="Segoe UI" w:hAnsi="Segoe UI" w:cs="Segoe UI"/>
          <w:sz w:val="24"/>
          <w:szCs w:val="24"/>
        </w:rPr>
        <w:t>14 869,7</w:t>
      </w:r>
      <w:r w:rsidR="00F34731" w:rsidRPr="001541CB">
        <w:rPr>
          <w:rFonts w:ascii="Segoe UI" w:hAnsi="Segoe UI" w:cs="Segoe UI"/>
          <w:sz w:val="24"/>
          <w:szCs w:val="24"/>
        </w:rPr>
        <w:t xml:space="preserve"> </w:t>
      </w:r>
      <w:r w:rsidR="007814EE" w:rsidRPr="001541CB">
        <w:rPr>
          <w:rFonts w:ascii="Segoe UI" w:hAnsi="Segoe UI" w:cs="Segoe UI"/>
          <w:sz w:val="24"/>
          <w:szCs w:val="24"/>
        </w:rPr>
        <w:t>millions de FCFA</w:t>
      </w:r>
      <w:r w:rsidR="004D46DB">
        <w:rPr>
          <w:rFonts w:ascii="Segoe UI" w:hAnsi="Segoe UI" w:cs="Segoe UI"/>
          <w:sz w:val="24"/>
          <w:szCs w:val="24"/>
        </w:rPr>
        <w:t xml:space="preserve"> sur </w:t>
      </w:r>
      <w:r w:rsidR="004D46DB" w:rsidRPr="001541CB">
        <w:rPr>
          <w:rFonts w:ascii="Segoe UI" w:hAnsi="Segoe UI" w:cs="Segoe UI"/>
          <w:sz w:val="24"/>
          <w:szCs w:val="24"/>
        </w:rPr>
        <w:t>une prévision annuelle de 68 000 millions de FCFA</w:t>
      </w:r>
      <w:r w:rsidR="00A860CF">
        <w:rPr>
          <w:rFonts w:ascii="Segoe UI" w:hAnsi="Segoe UI" w:cs="Segoe UI"/>
          <w:sz w:val="24"/>
          <w:szCs w:val="24"/>
        </w:rPr>
        <w:t>,</w:t>
      </w:r>
      <w:r w:rsidR="00D40FEE" w:rsidRPr="001541CB">
        <w:rPr>
          <w:rFonts w:ascii="Segoe UI" w:hAnsi="Segoe UI" w:cs="Segoe UI"/>
          <w:sz w:val="24"/>
          <w:szCs w:val="24"/>
        </w:rPr>
        <w:t xml:space="preserve"> </w:t>
      </w:r>
      <w:r w:rsidR="008F7069">
        <w:rPr>
          <w:rFonts w:ascii="Segoe UI" w:hAnsi="Segoe UI" w:cs="Segoe UI"/>
          <w:sz w:val="24"/>
          <w:szCs w:val="24"/>
        </w:rPr>
        <w:t>s</w:t>
      </w:r>
      <w:r w:rsidR="00A860CF">
        <w:rPr>
          <w:rFonts w:ascii="Segoe UI" w:hAnsi="Segoe UI" w:cs="Segoe UI"/>
          <w:sz w:val="24"/>
          <w:szCs w:val="24"/>
        </w:rPr>
        <w:t>oit un taux</w:t>
      </w:r>
      <w:r w:rsidR="004D46DB">
        <w:rPr>
          <w:rFonts w:ascii="Segoe UI" w:hAnsi="Segoe UI" w:cs="Segoe UI"/>
          <w:sz w:val="24"/>
          <w:szCs w:val="24"/>
        </w:rPr>
        <w:t xml:space="preserve"> de réalisation de </w:t>
      </w:r>
      <w:r w:rsidR="004D5C45" w:rsidRPr="001541CB">
        <w:rPr>
          <w:rFonts w:ascii="Segoe UI" w:hAnsi="Segoe UI" w:cs="Segoe UI"/>
          <w:sz w:val="24"/>
          <w:szCs w:val="24"/>
        </w:rPr>
        <w:t>21,9</w:t>
      </w:r>
      <w:r w:rsidR="00D91F7D" w:rsidRPr="001541CB">
        <w:rPr>
          <w:rFonts w:ascii="Segoe UI" w:hAnsi="Segoe UI" w:cs="Segoe UI"/>
          <w:sz w:val="24"/>
          <w:szCs w:val="24"/>
        </w:rPr>
        <w:t>%</w:t>
      </w:r>
      <w:r w:rsidR="007814EE" w:rsidRPr="001541CB">
        <w:rPr>
          <w:rFonts w:ascii="Segoe UI" w:hAnsi="Segoe UI" w:cs="Segoe UI"/>
          <w:sz w:val="24"/>
          <w:szCs w:val="24"/>
        </w:rPr>
        <w:t xml:space="preserve"> contre </w:t>
      </w:r>
      <w:r w:rsidR="004D5C45" w:rsidRPr="001541CB">
        <w:rPr>
          <w:rFonts w:ascii="Segoe UI" w:hAnsi="Segoe UI" w:cs="Segoe UI"/>
          <w:sz w:val="24"/>
          <w:szCs w:val="24"/>
        </w:rPr>
        <w:t>16</w:t>
      </w:r>
      <w:r w:rsidR="00932DFC">
        <w:rPr>
          <w:rFonts w:ascii="Segoe UI" w:hAnsi="Segoe UI" w:cs="Segoe UI"/>
          <w:sz w:val="24"/>
          <w:szCs w:val="24"/>
        </w:rPr>
        <w:t>,8</w:t>
      </w:r>
      <w:r w:rsidR="007814EE" w:rsidRPr="001541CB">
        <w:rPr>
          <w:rFonts w:ascii="Segoe UI" w:hAnsi="Segoe UI" w:cs="Segoe UI"/>
          <w:sz w:val="24"/>
          <w:szCs w:val="24"/>
        </w:rPr>
        <w:t xml:space="preserve">% </w:t>
      </w:r>
      <w:r w:rsidR="00A9739F" w:rsidRPr="001541CB">
        <w:rPr>
          <w:rFonts w:ascii="Segoe UI" w:hAnsi="Segoe UI" w:cs="Segoe UI"/>
          <w:sz w:val="24"/>
          <w:szCs w:val="24"/>
        </w:rPr>
        <w:t xml:space="preserve">à la même période </w:t>
      </w:r>
      <w:r w:rsidR="007814EE" w:rsidRPr="001541CB">
        <w:rPr>
          <w:rFonts w:ascii="Segoe UI" w:hAnsi="Segoe UI" w:cs="Segoe UI"/>
          <w:sz w:val="24"/>
          <w:szCs w:val="24"/>
        </w:rPr>
        <w:t>en 201</w:t>
      </w:r>
      <w:r w:rsidR="004D5C45" w:rsidRPr="001541CB">
        <w:rPr>
          <w:rFonts w:ascii="Segoe UI" w:hAnsi="Segoe UI" w:cs="Segoe UI"/>
          <w:sz w:val="24"/>
          <w:szCs w:val="24"/>
        </w:rPr>
        <w:t>6</w:t>
      </w:r>
      <w:r w:rsidR="00547A04" w:rsidRPr="001541CB">
        <w:rPr>
          <w:rFonts w:ascii="Segoe UI" w:hAnsi="Segoe UI" w:cs="Segoe UI"/>
          <w:sz w:val="24"/>
          <w:szCs w:val="24"/>
        </w:rPr>
        <w:t>.</w:t>
      </w:r>
      <w:r w:rsidR="008F7069">
        <w:rPr>
          <w:rFonts w:ascii="Segoe UI" w:hAnsi="Segoe UI" w:cs="Segoe UI"/>
          <w:sz w:val="24"/>
          <w:szCs w:val="24"/>
        </w:rPr>
        <w:t xml:space="preserve"> Ce niveau de réalisation laisse apparaître une hausse de recettes</w:t>
      </w:r>
      <w:r w:rsidR="00774D09">
        <w:rPr>
          <w:rFonts w:ascii="Segoe UI" w:hAnsi="Segoe UI" w:cs="Segoe UI"/>
          <w:sz w:val="24"/>
          <w:szCs w:val="24"/>
        </w:rPr>
        <w:t xml:space="preserve"> </w:t>
      </w:r>
      <w:r w:rsidR="0020554C">
        <w:rPr>
          <w:rFonts w:ascii="Segoe UI" w:hAnsi="Segoe UI" w:cs="Segoe UI"/>
          <w:sz w:val="24"/>
          <w:szCs w:val="24"/>
        </w:rPr>
        <w:t>de 3 555,3 millions de FCFA</w:t>
      </w:r>
      <w:r w:rsidR="008F7069">
        <w:rPr>
          <w:rFonts w:ascii="Segoe UI" w:hAnsi="Segoe UI" w:cs="Segoe UI"/>
          <w:sz w:val="24"/>
          <w:szCs w:val="24"/>
        </w:rPr>
        <w:t>, par rapport aux réalisations à fin mars 2016</w:t>
      </w:r>
      <w:r w:rsidR="0020554C">
        <w:rPr>
          <w:rFonts w:ascii="Segoe UI" w:hAnsi="Segoe UI" w:cs="Segoe UI"/>
          <w:sz w:val="24"/>
          <w:szCs w:val="24"/>
        </w:rPr>
        <w:t xml:space="preserve">. </w:t>
      </w:r>
      <w:r w:rsidR="0009184D" w:rsidRPr="001541CB">
        <w:rPr>
          <w:rFonts w:ascii="Segoe UI" w:hAnsi="Segoe UI" w:cs="Segoe UI"/>
          <w:sz w:val="24"/>
          <w:szCs w:val="24"/>
        </w:rPr>
        <w:t xml:space="preserve">La non atteinte des objectifs escomptés au titre du premier trimestre pourrait s’expliquer par le faible niveau de recouvrement enregistré pour le revenu des entreprises et du </w:t>
      </w:r>
      <w:r w:rsidR="005C53A7" w:rsidRPr="001541CB">
        <w:rPr>
          <w:rFonts w:ascii="Segoe UI" w:hAnsi="Segoe UI" w:cs="Segoe UI"/>
          <w:sz w:val="24"/>
          <w:szCs w:val="24"/>
        </w:rPr>
        <w:t>domaine (</w:t>
      </w:r>
      <w:r w:rsidR="0009184D" w:rsidRPr="001541CB">
        <w:rPr>
          <w:rFonts w:ascii="Segoe UI" w:hAnsi="Segoe UI" w:cs="Segoe UI"/>
          <w:sz w:val="24"/>
          <w:szCs w:val="24"/>
        </w:rPr>
        <w:t>5,3%), des autres produits divers (14,31%)</w:t>
      </w:r>
      <w:r w:rsidR="005C53A7" w:rsidRPr="001541CB">
        <w:rPr>
          <w:rFonts w:ascii="Segoe UI" w:hAnsi="Segoe UI" w:cs="Segoe UI"/>
          <w:sz w:val="24"/>
          <w:szCs w:val="24"/>
        </w:rPr>
        <w:t xml:space="preserve"> et des produits des service</w:t>
      </w:r>
      <w:r w:rsidR="007D57E3">
        <w:rPr>
          <w:rFonts w:ascii="Segoe UI" w:hAnsi="Segoe UI" w:cs="Segoe UI"/>
          <w:sz w:val="24"/>
          <w:szCs w:val="24"/>
        </w:rPr>
        <w:t>s intermédiaires (0,</w:t>
      </w:r>
      <w:r w:rsidR="005C53A7" w:rsidRPr="001541CB">
        <w:rPr>
          <w:rFonts w:ascii="Segoe UI" w:hAnsi="Segoe UI" w:cs="Segoe UI"/>
          <w:sz w:val="24"/>
          <w:szCs w:val="24"/>
        </w:rPr>
        <w:t>47%)</w:t>
      </w:r>
      <w:r w:rsidR="000A1985">
        <w:rPr>
          <w:rFonts w:ascii="Segoe UI" w:hAnsi="Segoe UI" w:cs="Segoe UI"/>
          <w:sz w:val="24"/>
          <w:szCs w:val="24"/>
        </w:rPr>
        <w:t>.</w:t>
      </w:r>
    </w:p>
    <w:p w14:paraId="0CF473A2" w14:textId="2E7E1612" w:rsidR="009728DA" w:rsidRDefault="009728DA" w:rsidP="00811DB1">
      <w:pPr>
        <w:spacing w:after="0" w:line="360" w:lineRule="auto"/>
        <w:jc w:val="both"/>
        <w:rPr>
          <w:rFonts w:ascii="Segoe UI" w:hAnsi="Segoe UI" w:cs="Segoe UI"/>
          <w:sz w:val="24"/>
          <w:szCs w:val="24"/>
        </w:rPr>
      </w:pPr>
      <w:r w:rsidRPr="001541CB">
        <w:rPr>
          <w:rFonts w:ascii="Segoe UI" w:hAnsi="Segoe UI" w:cs="Segoe UI"/>
          <w:sz w:val="24"/>
          <w:szCs w:val="24"/>
        </w:rPr>
        <w:t>L’évolution des réalisations par régie financière est présentée à travers le graphique ci-après :</w:t>
      </w:r>
    </w:p>
    <w:p w14:paraId="20180DE4" w14:textId="0E57A60A" w:rsidR="00C90136" w:rsidRPr="001541CB" w:rsidRDefault="00C90136" w:rsidP="00811DB1">
      <w:pPr>
        <w:spacing w:after="0" w:line="360" w:lineRule="auto"/>
        <w:jc w:val="both"/>
        <w:rPr>
          <w:rFonts w:ascii="Segoe UI" w:hAnsi="Segoe UI" w:cs="Segoe UI"/>
          <w:sz w:val="24"/>
          <w:szCs w:val="24"/>
        </w:rPr>
      </w:pPr>
      <w:r>
        <w:rPr>
          <w:noProof/>
        </w:rPr>
        <w:drawing>
          <wp:inline distT="0" distB="0" distL="0" distR="0" wp14:anchorId="53897E69" wp14:editId="20991BF7">
            <wp:extent cx="5646420" cy="2842260"/>
            <wp:effectExtent l="0" t="0" r="0" b="0"/>
            <wp:docPr id="2" name="Graphique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904D809" w14:textId="2CD28B9A" w:rsidR="009728DA" w:rsidRPr="001541CB" w:rsidRDefault="009728DA" w:rsidP="00811DB1">
      <w:pPr>
        <w:spacing w:after="0" w:line="360" w:lineRule="auto"/>
        <w:jc w:val="both"/>
        <w:rPr>
          <w:rFonts w:ascii="Segoe UI" w:hAnsi="Segoe UI" w:cs="Segoe UI"/>
          <w:sz w:val="24"/>
          <w:szCs w:val="24"/>
        </w:rPr>
      </w:pPr>
    </w:p>
    <w:p w14:paraId="644EB0B2" w14:textId="77777777" w:rsidR="00D63E15" w:rsidRDefault="0051052C" w:rsidP="000C178C">
      <w:pPr>
        <w:pStyle w:val="Titre3"/>
        <w:ind w:left="720"/>
        <w:rPr>
          <w:rFonts w:ascii="Segoe UI" w:hAnsi="Segoe UI" w:cs="Segoe UI"/>
          <w:sz w:val="24"/>
          <w:szCs w:val="24"/>
        </w:rPr>
      </w:pPr>
      <w:bookmarkStart w:id="11" w:name="_Toc484105606"/>
      <w:r w:rsidRPr="001541CB">
        <w:rPr>
          <w:rFonts w:ascii="Segoe UI" w:hAnsi="Segoe UI" w:cs="Segoe UI"/>
          <w:sz w:val="24"/>
          <w:szCs w:val="24"/>
        </w:rPr>
        <w:t xml:space="preserve">A-2 </w:t>
      </w:r>
      <w:r w:rsidR="005448FB" w:rsidRPr="001541CB">
        <w:rPr>
          <w:rFonts w:ascii="Segoe UI" w:hAnsi="Segoe UI" w:cs="Segoe UI"/>
          <w:sz w:val="24"/>
          <w:szCs w:val="24"/>
        </w:rPr>
        <w:t xml:space="preserve">Recettes </w:t>
      </w:r>
      <w:r w:rsidR="00814F54" w:rsidRPr="001541CB">
        <w:rPr>
          <w:rFonts w:ascii="Segoe UI" w:hAnsi="Segoe UI" w:cs="Segoe UI"/>
          <w:sz w:val="24"/>
          <w:szCs w:val="24"/>
        </w:rPr>
        <w:t>du Fonds National des Retraites du Bénin</w:t>
      </w:r>
      <w:r w:rsidR="00293D0A" w:rsidRPr="001541CB">
        <w:rPr>
          <w:rFonts w:ascii="Segoe UI" w:hAnsi="Segoe UI" w:cs="Segoe UI"/>
          <w:sz w:val="24"/>
          <w:szCs w:val="24"/>
        </w:rPr>
        <w:t xml:space="preserve"> (FNRB)</w:t>
      </w:r>
      <w:r w:rsidR="00050107" w:rsidRPr="001541CB">
        <w:rPr>
          <w:rFonts w:ascii="Segoe UI" w:hAnsi="Segoe UI" w:cs="Segoe UI"/>
          <w:sz w:val="24"/>
          <w:szCs w:val="24"/>
        </w:rPr>
        <w:t xml:space="preserve"> et des autres </w:t>
      </w:r>
      <w:r w:rsidR="0074747B" w:rsidRPr="001541CB">
        <w:rPr>
          <w:rFonts w:ascii="Segoe UI" w:hAnsi="Segoe UI" w:cs="Segoe UI"/>
          <w:sz w:val="24"/>
          <w:szCs w:val="24"/>
        </w:rPr>
        <w:t>organismes publics</w:t>
      </w:r>
      <w:bookmarkEnd w:id="11"/>
    </w:p>
    <w:p w14:paraId="39DD8FAE" w14:textId="7131B1D8" w:rsidR="00814F54" w:rsidRDefault="00E31160" w:rsidP="0073644C">
      <w:pPr>
        <w:spacing w:after="0" w:line="360" w:lineRule="auto"/>
        <w:jc w:val="both"/>
        <w:rPr>
          <w:rFonts w:ascii="Segoe UI" w:hAnsi="Segoe UI" w:cs="Segoe UI"/>
          <w:sz w:val="24"/>
          <w:szCs w:val="24"/>
        </w:rPr>
      </w:pPr>
      <w:r w:rsidRPr="001541CB">
        <w:rPr>
          <w:rFonts w:ascii="Segoe UI" w:hAnsi="Segoe UI" w:cs="Segoe UI"/>
          <w:sz w:val="24"/>
          <w:szCs w:val="24"/>
        </w:rPr>
        <w:t>Les recettes du</w:t>
      </w:r>
      <w:r w:rsidR="00E655B3" w:rsidRPr="001541CB">
        <w:rPr>
          <w:rFonts w:ascii="Segoe UI" w:hAnsi="Segoe UI" w:cs="Segoe UI"/>
          <w:sz w:val="24"/>
          <w:szCs w:val="24"/>
        </w:rPr>
        <w:t xml:space="preserve"> </w:t>
      </w:r>
      <w:r w:rsidRPr="001541CB">
        <w:rPr>
          <w:rFonts w:ascii="Segoe UI" w:hAnsi="Segoe UI" w:cs="Segoe UI"/>
          <w:b/>
          <w:sz w:val="24"/>
          <w:szCs w:val="24"/>
        </w:rPr>
        <w:t>Fonds National des Retraites du Bénin</w:t>
      </w:r>
      <w:r w:rsidR="00E655B3" w:rsidRPr="001541CB">
        <w:rPr>
          <w:rFonts w:ascii="Segoe UI" w:hAnsi="Segoe UI" w:cs="Segoe UI"/>
          <w:b/>
          <w:sz w:val="24"/>
          <w:szCs w:val="24"/>
        </w:rPr>
        <w:t xml:space="preserve"> </w:t>
      </w:r>
      <w:r w:rsidRPr="001541CB">
        <w:rPr>
          <w:rFonts w:ascii="Segoe UI" w:hAnsi="Segoe UI" w:cs="Segoe UI"/>
          <w:sz w:val="24"/>
          <w:szCs w:val="24"/>
        </w:rPr>
        <w:t>(FNRB)  sont essentiellement constituées des cotisations sur salaire et des validations de service.</w:t>
      </w:r>
      <w:r w:rsidR="00E655B3" w:rsidRPr="001541CB">
        <w:rPr>
          <w:rFonts w:ascii="Segoe UI" w:hAnsi="Segoe UI" w:cs="Segoe UI"/>
          <w:sz w:val="24"/>
          <w:szCs w:val="24"/>
        </w:rPr>
        <w:t xml:space="preserve"> </w:t>
      </w:r>
      <w:r w:rsidR="00F031D6" w:rsidRPr="001541CB">
        <w:rPr>
          <w:rFonts w:ascii="Segoe UI" w:hAnsi="Segoe UI" w:cs="Segoe UI"/>
          <w:sz w:val="24"/>
          <w:szCs w:val="24"/>
        </w:rPr>
        <w:t xml:space="preserve">Sur une prévision annuelle de </w:t>
      </w:r>
      <w:r w:rsidR="003B42AD" w:rsidRPr="001541CB">
        <w:rPr>
          <w:rFonts w:ascii="Segoe UI" w:hAnsi="Segoe UI" w:cs="Segoe UI"/>
          <w:sz w:val="24"/>
          <w:szCs w:val="24"/>
        </w:rPr>
        <w:t xml:space="preserve">25 </w:t>
      </w:r>
      <w:r w:rsidR="003D11E9" w:rsidRPr="001541CB">
        <w:rPr>
          <w:rFonts w:ascii="Segoe UI" w:hAnsi="Segoe UI" w:cs="Segoe UI"/>
          <w:sz w:val="24"/>
          <w:szCs w:val="24"/>
        </w:rPr>
        <w:t>400</w:t>
      </w:r>
      <w:r w:rsidR="00F031D6" w:rsidRPr="001541CB">
        <w:rPr>
          <w:rFonts w:ascii="Segoe UI" w:hAnsi="Segoe UI" w:cs="Segoe UI"/>
          <w:sz w:val="24"/>
          <w:szCs w:val="24"/>
        </w:rPr>
        <w:t xml:space="preserve"> millions de FCFA,</w:t>
      </w:r>
      <w:r w:rsidR="009E5DD2" w:rsidRPr="001541CB">
        <w:rPr>
          <w:rFonts w:ascii="Segoe UI" w:hAnsi="Segoe UI" w:cs="Segoe UI"/>
          <w:sz w:val="24"/>
          <w:szCs w:val="24"/>
        </w:rPr>
        <w:t xml:space="preserve"> </w:t>
      </w:r>
      <w:r w:rsidR="00F031D6" w:rsidRPr="001541CB">
        <w:rPr>
          <w:rFonts w:ascii="Segoe UI" w:hAnsi="Segoe UI" w:cs="Segoe UI"/>
          <w:sz w:val="24"/>
          <w:szCs w:val="24"/>
        </w:rPr>
        <w:t>l</w:t>
      </w:r>
      <w:r w:rsidR="001E3863" w:rsidRPr="001541CB">
        <w:rPr>
          <w:rFonts w:ascii="Segoe UI" w:hAnsi="Segoe UI" w:cs="Segoe UI"/>
          <w:sz w:val="24"/>
          <w:szCs w:val="24"/>
        </w:rPr>
        <w:t xml:space="preserve">es recettes collectées par la DGTCP au profit du FNRB </w:t>
      </w:r>
      <w:r w:rsidR="00F031D6" w:rsidRPr="001541CB">
        <w:rPr>
          <w:rFonts w:ascii="Segoe UI" w:hAnsi="Segoe UI" w:cs="Segoe UI"/>
          <w:sz w:val="24"/>
          <w:szCs w:val="24"/>
        </w:rPr>
        <w:t xml:space="preserve">à fin </w:t>
      </w:r>
      <w:r w:rsidR="003B42AD" w:rsidRPr="001541CB">
        <w:rPr>
          <w:rFonts w:ascii="Segoe UI" w:hAnsi="Segoe UI" w:cs="Segoe UI"/>
          <w:sz w:val="24"/>
          <w:szCs w:val="24"/>
        </w:rPr>
        <w:t>mars</w:t>
      </w:r>
      <w:r w:rsidR="00F031D6" w:rsidRPr="001541CB">
        <w:rPr>
          <w:rFonts w:ascii="Segoe UI" w:hAnsi="Segoe UI" w:cs="Segoe UI"/>
          <w:sz w:val="24"/>
          <w:szCs w:val="24"/>
        </w:rPr>
        <w:t xml:space="preserve"> 201</w:t>
      </w:r>
      <w:r w:rsidR="003D11E9" w:rsidRPr="001541CB">
        <w:rPr>
          <w:rFonts w:ascii="Segoe UI" w:hAnsi="Segoe UI" w:cs="Segoe UI"/>
          <w:sz w:val="24"/>
          <w:szCs w:val="24"/>
        </w:rPr>
        <w:t>7</w:t>
      </w:r>
      <w:r w:rsidR="00E655B3" w:rsidRPr="001541CB">
        <w:rPr>
          <w:rFonts w:ascii="Segoe UI" w:hAnsi="Segoe UI" w:cs="Segoe UI"/>
          <w:sz w:val="24"/>
          <w:szCs w:val="24"/>
        </w:rPr>
        <w:t xml:space="preserve"> </w:t>
      </w:r>
      <w:r w:rsidR="001E3863" w:rsidRPr="001541CB">
        <w:rPr>
          <w:rFonts w:ascii="Segoe UI" w:hAnsi="Segoe UI" w:cs="Segoe UI"/>
          <w:sz w:val="24"/>
          <w:szCs w:val="24"/>
        </w:rPr>
        <w:t xml:space="preserve">s'établissent à </w:t>
      </w:r>
      <w:r w:rsidR="003D11E9" w:rsidRPr="001541CB">
        <w:rPr>
          <w:rFonts w:ascii="Segoe UI" w:hAnsi="Segoe UI" w:cs="Segoe UI"/>
          <w:sz w:val="24"/>
          <w:szCs w:val="24"/>
        </w:rPr>
        <w:t>4 649,9</w:t>
      </w:r>
      <w:r w:rsidR="00576690" w:rsidRPr="001541CB">
        <w:rPr>
          <w:rFonts w:ascii="Segoe UI" w:hAnsi="Segoe UI" w:cs="Segoe UI"/>
          <w:sz w:val="24"/>
          <w:szCs w:val="24"/>
        </w:rPr>
        <w:t xml:space="preserve"> millions </w:t>
      </w:r>
      <w:r w:rsidR="001E3863" w:rsidRPr="001541CB">
        <w:rPr>
          <w:rFonts w:ascii="Segoe UI" w:hAnsi="Segoe UI" w:cs="Segoe UI"/>
          <w:sz w:val="24"/>
          <w:szCs w:val="24"/>
        </w:rPr>
        <w:t>de FCFA</w:t>
      </w:r>
      <w:r w:rsidR="00886123" w:rsidRPr="001541CB">
        <w:rPr>
          <w:rFonts w:ascii="Segoe UI" w:hAnsi="Segoe UI" w:cs="Segoe UI"/>
          <w:sz w:val="24"/>
          <w:szCs w:val="24"/>
        </w:rPr>
        <w:t>. Elles</w:t>
      </w:r>
      <w:r w:rsidR="00E655B3" w:rsidRPr="001541CB">
        <w:rPr>
          <w:rFonts w:ascii="Segoe UI" w:hAnsi="Segoe UI" w:cs="Segoe UI"/>
          <w:sz w:val="24"/>
          <w:szCs w:val="24"/>
        </w:rPr>
        <w:t xml:space="preserve"> </w:t>
      </w:r>
      <w:r w:rsidR="00886123" w:rsidRPr="001541CB">
        <w:rPr>
          <w:rFonts w:ascii="Segoe UI" w:hAnsi="Segoe UI" w:cs="Segoe UI"/>
          <w:sz w:val="24"/>
          <w:szCs w:val="24"/>
        </w:rPr>
        <w:t>corresponde</w:t>
      </w:r>
      <w:r w:rsidR="00576690" w:rsidRPr="001541CB">
        <w:rPr>
          <w:rFonts w:ascii="Segoe UI" w:hAnsi="Segoe UI" w:cs="Segoe UI"/>
          <w:sz w:val="24"/>
          <w:szCs w:val="24"/>
        </w:rPr>
        <w:t>nt à</w:t>
      </w:r>
      <w:r w:rsidR="00E655B3" w:rsidRPr="001541CB">
        <w:rPr>
          <w:rFonts w:ascii="Segoe UI" w:hAnsi="Segoe UI" w:cs="Segoe UI"/>
          <w:sz w:val="24"/>
          <w:szCs w:val="24"/>
        </w:rPr>
        <w:t xml:space="preserve"> </w:t>
      </w:r>
      <w:r w:rsidR="00470604" w:rsidRPr="001541CB">
        <w:rPr>
          <w:rFonts w:ascii="Segoe UI" w:hAnsi="Segoe UI" w:cs="Segoe UI"/>
          <w:sz w:val="24"/>
          <w:szCs w:val="24"/>
        </w:rPr>
        <w:t>un taux</w:t>
      </w:r>
      <w:r w:rsidR="00F275A6" w:rsidRPr="001541CB">
        <w:rPr>
          <w:rFonts w:ascii="Segoe UI" w:hAnsi="Segoe UI" w:cs="Segoe UI"/>
          <w:sz w:val="24"/>
          <w:szCs w:val="24"/>
        </w:rPr>
        <w:t xml:space="preserve"> de </w:t>
      </w:r>
      <w:r w:rsidR="00883AE7" w:rsidRPr="001541CB">
        <w:rPr>
          <w:rFonts w:ascii="Segoe UI" w:hAnsi="Segoe UI" w:cs="Segoe UI"/>
          <w:sz w:val="24"/>
          <w:szCs w:val="24"/>
        </w:rPr>
        <w:t>18,3</w:t>
      </w:r>
      <w:r w:rsidR="001E3863" w:rsidRPr="001541CB">
        <w:rPr>
          <w:rFonts w:ascii="Segoe UI" w:hAnsi="Segoe UI" w:cs="Segoe UI"/>
          <w:sz w:val="24"/>
          <w:szCs w:val="24"/>
        </w:rPr>
        <w:t xml:space="preserve">% contre </w:t>
      </w:r>
      <w:r w:rsidR="003D11E9" w:rsidRPr="001541CB">
        <w:rPr>
          <w:rFonts w:ascii="Segoe UI" w:hAnsi="Segoe UI" w:cs="Segoe UI"/>
          <w:sz w:val="24"/>
          <w:szCs w:val="24"/>
        </w:rPr>
        <w:t>18</w:t>
      </w:r>
      <w:r w:rsidR="00BC77EA">
        <w:rPr>
          <w:rFonts w:ascii="Segoe UI" w:hAnsi="Segoe UI" w:cs="Segoe UI"/>
          <w:sz w:val="24"/>
          <w:szCs w:val="24"/>
        </w:rPr>
        <w:t>,</w:t>
      </w:r>
      <w:r w:rsidR="003D11E9" w:rsidRPr="001541CB">
        <w:rPr>
          <w:rFonts w:ascii="Segoe UI" w:hAnsi="Segoe UI" w:cs="Segoe UI"/>
          <w:sz w:val="24"/>
          <w:szCs w:val="24"/>
        </w:rPr>
        <w:t>7</w:t>
      </w:r>
      <w:r w:rsidR="00576690" w:rsidRPr="001541CB">
        <w:rPr>
          <w:rFonts w:ascii="Segoe UI" w:hAnsi="Segoe UI" w:cs="Segoe UI"/>
          <w:sz w:val="24"/>
          <w:szCs w:val="24"/>
        </w:rPr>
        <w:t xml:space="preserve">% </w:t>
      </w:r>
      <w:r w:rsidRPr="001541CB">
        <w:rPr>
          <w:rFonts w:ascii="Segoe UI" w:hAnsi="Segoe UI" w:cs="Segoe UI"/>
          <w:sz w:val="24"/>
          <w:szCs w:val="24"/>
        </w:rPr>
        <w:t xml:space="preserve">à fin mars </w:t>
      </w:r>
      <w:r w:rsidR="001E3863" w:rsidRPr="001541CB">
        <w:rPr>
          <w:rFonts w:ascii="Segoe UI" w:hAnsi="Segoe UI" w:cs="Segoe UI"/>
          <w:sz w:val="24"/>
          <w:szCs w:val="24"/>
        </w:rPr>
        <w:t>201</w:t>
      </w:r>
      <w:r w:rsidR="003D11E9" w:rsidRPr="001541CB">
        <w:rPr>
          <w:rFonts w:ascii="Segoe UI" w:hAnsi="Segoe UI" w:cs="Segoe UI"/>
          <w:sz w:val="24"/>
          <w:szCs w:val="24"/>
        </w:rPr>
        <w:t>6</w:t>
      </w:r>
      <w:r w:rsidR="00337720" w:rsidRPr="001541CB">
        <w:rPr>
          <w:rFonts w:ascii="Segoe UI" w:hAnsi="Segoe UI" w:cs="Segoe UI"/>
          <w:sz w:val="24"/>
          <w:szCs w:val="24"/>
        </w:rPr>
        <w:t>. On note à ce nive</w:t>
      </w:r>
      <w:r w:rsidR="00AB57B9" w:rsidRPr="001541CB">
        <w:rPr>
          <w:rFonts w:ascii="Segoe UI" w:hAnsi="Segoe UI" w:cs="Segoe UI"/>
          <w:sz w:val="24"/>
          <w:szCs w:val="24"/>
        </w:rPr>
        <w:t xml:space="preserve">au, un recul de </w:t>
      </w:r>
      <w:r w:rsidR="00AB57B9" w:rsidRPr="001541CB">
        <w:rPr>
          <w:rFonts w:ascii="Segoe UI" w:hAnsi="Segoe UI" w:cs="Segoe UI"/>
          <w:sz w:val="24"/>
          <w:szCs w:val="24"/>
        </w:rPr>
        <w:lastRenderedPageBreak/>
        <w:t>performance de 0</w:t>
      </w:r>
      <w:r w:rsidR="00337720" w:rsidRPr="001541CB">
        <w:rPr>
          <w:rFonts w:ascii="Segoe UI" w:hAnsi="Segoe UI" w:cs="Segoe UI"/>
          <w:sz w:val="24"/>
          <w:szCs w:val="24"/>
        </w:rPr>
        <w:t>,4 point</w:t>
      </w:r>
      <w:r w:rsidR="0010042C" w:rsidRPr="001541CB">
        <w:rPr>
          <w:rFonts w:ascii="Segoe UI" w:hAnsi="Segoe UI" w:cs="Segoe UI"/>
          <w:sz w:val="24"/>
          <w:szCs w:val="24"/>
        </w:rPr>
        <w:t xml:space="preserve"> de</w:t>
      </w:r>
      <w:r w:rsidR="00337720" w:rsidRPr="001541CB">
        <w:rPr>
          <w:rFonts w:ascii="Segoe UI" w:hAnsi="Segoe UI" w:cs="Segoe UI"/>
          <w:sz w:val="24"/>
          <w:szCs w:val="24"/>
        </w:rPr>
        <w:t xml:space="preserve"> pourcentage par rapport à 201</w:t>
      </w:r>
      <w:r w:rsidR="000341E7" w:rsidRPr="001541CB">
        <w:rPr>
          <w:rFonts w:ascii="Segoe UI" w:hAnsi="Segoe UI" w:cs="Segoe UI"/>
          <w:sz w:val="24"/>
          <w:szCs w:val="24"/>
        </w:rPr>
        <w:t>6</w:t>
      </w:r>
      <w:r w:rsidR="00337720" w:rsidRPr="001541CB">
        <w:rPr>
          <w:rFonts w:ascii="Segoe UI" w:hAnsi="Segoe UI" w:cs="Segoe UI"/>
          <w:sz w:val="24"/>
          <w:szCs w:val="24"/>
        </w:rPr>
        <w:t xml:space="preserve">. </w:t>
      </w:r>
      <w:r w:rsidR="00223AB1">
        <w:rPr>
          <w:rFonts w:ascii="Segoe UI" w:hAnsi="Segoe UI" w:cs="Segoe UI"/>
          <w:sz w:val="24"/>
          <w:szCs w:val="24"/>
        </w:rPr>
        <w:t>Ceci est imputable à la faible mobilisation des cotisations des agents en détachement</w:t>
      </w:r>
      <w:r w:rsidR="00C42A03">
        <w:rPr>
          <w:rFonts w:ascii="Segoe UI" w:hAnsi="Segoe UI" w:cs="Segoe UI"/>
          <w:sz w:val="24"/>
          <w:szCs w:val="24"/>
        </w:rPr>
        <w:t xml:space="preserve"> et au retard observé dans la transmission des ordres de recettes à la DGTCP</w:t>
      </w:r>
      <w:r w:rsidR="00223AB1">
        <w:rPr>
          <w:rFonts w:ascii="Segoe UI" w:hAnsi="Segoe UI" w:cs="Segoe UI"/>
          <w:sz w:val="24"/>
          <w:szCs w:val="24"/>
        </w:rPr>
        <w:t>.</w:t>
      </w:r>
    </w:p>
    <w:p w14:paraId="42AE45DD" w14:textId="77777777" w:rsidR="00BC77EA" w:rsidRPr="002E4977" w:rsidRDefault="00BC77EA" w:rsidP="0073644C">
      <w:pPr>
        <w:spacing w:after="0" w:line="360" w:lineRule="auto"/>
        <w:jc w:val="both"/>
        <w:rPr>
          <w:rFonts w:ascii="Segoe UI" w:hAnsi="Segoe UI" w:cs="Segoe UI"/>
          <w:sz w:val="12"/>
          <w:szCs w:val="24"/>
        </w:rPr>
      </w:pPr>
    </w:p>
    <w:p w14:paraId="03DDD916" w14:textId="7CAC92EF" w:rsidR="0073644C" w:rsidRDefault="00595513" w:rsidP="0073644C">
      <w:pPr>
        <w:spacing w:after="0" w:line="360" w:lineRule="auto"/>
        <w:jc w:val="both"/>
        <w:rPr>
          <w:rFonts w:ascii="Segoe UI" w:hAnsi="Segoe UI" w:cs="Segoe UI"/>
          <w:sz w:val="24"/>
          <w:szCs w:val="24"/>
        </w:rPr>
      </w:pPr>
      <w:r w:rsidRPr="001541CB">
        <w:rPr>
          <w:rFonts w:ascii="Segoe UI" w:hAnsi="Segoe UI" w:cs="Segoe UI"/>
          <w:sz w:val="24"/>
          <w:szCs w:val="24"/>
        </w:rPr>
        <w:t>En revanche</w:t>
      </w:r>
      <w:r w:rsidR="00245A18" w:rsidRPr="001541CB">
        <w:rPr>
          <w:rFonts w:ascii="Segoe UI" w:hAnsi="Segoe UI" w:cs="Segoe UI"/>
          <w:sz w:val="24"/>
          <w:szCs w:val="24"/>
        </w:rPr>
        <w:t xml:space="preserve">, </w:t>
      </w:r>
      <w:r w:rsidR="0073644C" w:rsidRPr="001541CB">
        <w:rPr>
          <w:rFonts w:ascii="Segoe UI" w:hAnsi="Segoe UI" w:cs="Segoe UI"/>
          <w:sz w:val="24"/>
          <w:szCs w:val="24"/>
        </w:rPr>
        <w:t xml:space="preserve">le </w:t>
      </w:r>
      <w:r w:rsidR="0073644C" w:rsidRPr="001541CB">
        <w:rPr>
          <w:rFonts w:ascii="Segoe UI" w:hAnsi="Segoe UI" w:cs="Segoe UI"/>
          <w:b/>
          <w:sz w:val="24"/>
          <w:szCs w:val="24"/>
        </w:rPr>
        <w:t>Fonds Routier</w:t>
      </w:r>
      <w:r w:rsidR="00867988" w:rsidRPr="001541CB">
        <w:rPr>
          <w:rFonts w:ascii="Segoe UI" w:hAnsi="Segoe UI" w:cs="Segoe UI"/>
          <w:sz w:val="24"/>
          <w:szCs w:val="24"/>
        </w:rPr>
        <w:t xml:space="preserve"> (FR</w:t>
      </w:r>
      <w:r w:rsidR="00886123" w:rsidRPr="001541CB">
        <w:rPr>
          <w:rFonts w:ascii="Segoe UI" w:hAnsi="Segoe UI" w:cs="Segoe UI"/>
          <w:sz w:val="24"/>
          <w:szCs w:val="24"/>
        </w:rPr>
        <w:t>)</w:t>
      </w:r>
      <w:r w:rsidR="00E655B3" w:rsidRPr="001541CB">
        <w:rPr>
          <w:rFonts w:ascii="Segoe UI" w:hAnsi="Segoe UI" w:cs="Segoe UI"/>
          <w:sz w:val="24"/>
          <w:szCs w:val="24"/>
        </w:rPr>
        <w:t xml:space="preserve"> </w:t>
      </w:r>
      <w:r w:rsidR="00337720" w:rsidRPr="001541CB">
        <w:rPr>
          <w:rFonts w:ascii="Segoe UI" w:hAnsi="Segoe UI" w:cs="Segoe UI"/>
          <w:sz w:val="24"/>
          <w:szCs w:val="24"/>
        </w:rPr>
        <w:t>a atteint au premier trimestre 201</w:t>
      </w:r>
      <w:r w:rsidR="00571E46" w:rsidRPr="001541CB">
        <w:rPr>
          <w:rFonts w:ascii="Segoe UI" w:hAnsi="Segoe UI" w:cs="Segoe UI"/>
          <w:sz w:val="24"/>
          <w:szCs w:val="24"/>
        </w:rPr>
        <w:t>7</w:t>
      </w:r>
      <w:r w:rsidR="00337720" w:rsidRPr="001541CB">
        <w:rPr>
          <w:rFonts w:ascii="Segoe UI" w:hAnsi="Segoe UI" w:cs="Segoe UI"/>
          <w:sz w:val="24"/>
          <w:szCs w:val="24"/>
        </w:rPr>
        <w:t xml:space="preserve"> un niveau de reco</w:t>
      </w:r>
      <w:r w:rsidR="00F43E1F" w:rsidRPr="001541CB">
        <w:rPr>
          <w:rFonts w:ascii="Segoe UI" w:hAnsi="Segoe UI" w:cs="Segoe UI"/>
          <w:sz w:val="24"/>
          <w:szCs w:val="24"/>
        </w:rPr>
        <w:t xml:space="preserve">uvrement qui s’établit </w:t>
      </w:r>
      <w:r w:rsidR="00AA2B39" w:rsidRPr="001541CB">
        <w:rPr>
          <w:rFonts w:ascii="Segoe UI" w:hAnsi="Segoe UI" w:cs="Segoe UI"/>
          <w:sz w:val="24"/>
          <w:szCs w:val="24"/>
        </w:rPr>
        <w:t>à</w:t>
      </w:r>
      <w:r w:rsidR="00E655B3" w:rsidRPr="001541CB">
        <w:rPr>
          <w:rFonts w:ascii="Segoe UI" w:hAnsi="Segoe UI" w:cs="Segoe UI"/>
          <w:sz w:val="24"/>
          <w:szCs w:val="24"/>
        </w:rPr>
        <w:t xml:space="preserve"> </w:t>
      </w:r>
      <w:r w:rsidR="00571E46" w:rsidRPr="001541CB">
        <w:rPr>
          <w:rFonts w:ascii="Segoe UI" w:hAnsi="Segoe UI" w:cs="Segoe UI"/>
          <w:sz w:val="24"/>
          <w:szCs w:val="24"/>
        </w:rPr>
        <w:t>520</w:t>
      </w:r>
      <w:r w:rsidR="003E7DB7" w:rsidRPr="001541CB">
        <w:rPr>
          <w:rFonts w:ascii="Segoe UI" w:hAnsi="Segoe UI" w:cs="Segoe UI"/>
          <w:sz w:val="24"/>
          <w:szCs w:val="24"/>
        </w:rPr>
        <w:t xml:space="preserve"> millions de FCFA</w:t>
      </w:r>
      <w:r w:rsidR="00E655B3" w:rsidRPr="001541CB">
        <w:rPr>
          <w:rFonts w:ascii="Segoe UI" w:hAnsi="Segoe UI" w:cs="Segoe UI"/>
          <w:sz w:val="24"/>
          <w:szCs w:val="24"/>
        </w:rPr>
        <w:t xml:space="preserve"> </w:t>
      </w:r>
      <w:r w:rsidR="00886123" w:rsidRPr="001541CB">
        <w:rPr>
          <w:rFonts w:ascii="Segoe UI" w:hAnsi="Segoe UI" w:cs="Segoe UI"/>
          <w:sz w:val="24"/>
          <w:szCs w:val="24"/>
        </w:rPr>
        <w:t xml:space="preserve">sur un objectif annuel de </w:t>
      </w:r>
      <w:r w:rsidR="00571E46" w:rsidRPr="001541CB">
        <w:rPr>
          <w:rFonts w:ascii="Segoe UI" w:hAnsi="Segoe UI" w:cs="Segoe UI"/>
          <w:sz w:val="24"/>
          <w:szCs w:val="24"/>
        </w:rPr>
        <w:t>4 400</w:t>
      </w:r>
      <w:r w:rsidR="003B42AD" w:rsidRPr="001541CB">
        <w:rPr>
          <w:rFonts w:ascii="Segoe UI" w:hAnsi="Segoe UI" w:cs="Segoe UI"/>
          <w:sz w:val="24"/>
          <w:szCs w:val="24"/>
        </w:rPr>
        <w:t xml:space="preserve"> </w:t>
      </w:r>
      <w:r w:rsidR="00886123" w:rsidRPr="001541CB">
        <w:rPr>
          <w:rFonts w:ascii="Segoe UI" w:hAnsi="Segoe UI" w:cs="Segoe UI"/>
          <w:sz w:val="24"/>
          <w:szCs w:val="24"/>
        </w:rPr>
        <w:t>millions de FCFA</w:t>
      </w:r>
      <w:r w:rsidR="00D7743D" w:rsidRPr="001541CB">
        <w:rPr>
          <w:rFonts w:ascii="Segoe UI" w:hAnsi="Segoe UI" w:cs="Segoe UI"/>
          <w:sz w:val="24"/>
          <w:szCs w:val="24"/>
        </w:rPr>
        <w:t>. A fin mars 201</w:t>
      </w:r>
      <w:r w:rsidR="00571E46" w:rsidRPr="001541CB">
        <w:rPr>
          <w:rFonts w:ascii="Segoe UI" w:hAnsi="Segoe UI" w:cs="Segoe UI"/>
          <w:sz w:val="24"/>
          <w:szCs w:val="24"/>
        </w:rPr>
        <w:t>6</w:t>
      </w:r>
      <w:r w:rsidR="00D7743D" w:rsidRPr="001541CB">
        <w:rPr>
          <w:rFonts w:ascii="Segoe UI" w:hAnsi="Segoe UI" w:cs="Segoe UI"/>
          <w:sz w:val="24"/>
          <w:szCs w:val="24"/>
        </w:rPr>
        <w:t>, le niveau de mobilisation des recettes au FR ressortait à</w:t>
      </w:r>
      <w:r w:rsidR="00BE6B15" w:rsidRPr="001541CB">
        <w:rPr>
          <w:rFonts w:ascii="Segoe UI" w:hAnsi="Segoe UI" w:cs="Segoe UI"/>
          <w:sz w:val="24"/>
          <w:szCs w:val="24"/>
        </w:rPr>
        <w:t xml:space="preserve"> </w:t>
      </w:r>
      <w:r w:rsidR="00571E46" w:rsidRPr="001541CB">
        <w:rPr>
          <w:rFonts w:ascii="Segoe UI" w:hAnsi="Segoe UI" w:cs="Segoe UI"/>
          <w:sz w:val="24"/>
          <w:szCs w:val="24"/>
        </w:rPr>
        <w:t>872,2</w:t>
      </w:r>
      <w:r w:rsidR="00E655B3" w:rsidRPr="001541CB">
        <w:rPr>
          <w:rFonts w:ascii="Segoe UI" w:hAnsi="Segoe UI" w:cs="Segoe UI"/>
          <w:sz w:val="24"/>
          <w:szCs w:val="24"/>
        </w:rPr>
        <w:t xml:space="preserve"> </w:t>
      </w:r>
      <w:r w:rsidR="00963507" w:rsidRPr="001541CB">
        <w:rPr>
          <w:rFonts w:ascii="Segoe UI" w:hAnsi="Segoe UI" w:cs="Segoe UI"/>
          <w:sz w:val="24"/>
          <w:szCs w:val="24"/>
        </w:rPr>
        <w:t>millions de FCFA</w:t>
      </w:r>
      <w:r w:rsidR="003B42AD" w:rsidRPr="001541CB">
        <w:rPr>
          <w:rFonts w:ascii="Segoe UI" w:hAnsi="Segoe UI" w:cs="Segoe UI"/>
          <w:sz w:val="24"/>
          <w:szCs w:val="24"/>
        </w:rPr>
        <w:t xml:space="preserve"> pour une prévision </w:t>
      </w:r>
      <w:r w:rsidR="000A38B0" w:rsidRPr="001541CB">
        <w:rPr>
          <w:rFonts w:ascii="Segoe UI" w:hAnsi="Segoe UI" w:cs="Segoe UI"/>
          <w:sz w:val="24"/>
          <w:szCs w:val="24"/>
        </w:rPr>
        <w:t>annuelle de</w:t>
      </w:r>
      <w:r w:rsidR="00E655B3" w:rsidRPr="001541CB">
        <w:rPr>
          <w:rFonts w:ascii="Segoe UI" w:hAnsi="Segoe UI" w:cs="Segoe UI"/>
          <w:sz w:val="24"/>
          <w:szCs w:val="24"/>
        </w:rPr>
        <w:t xml:space="preserve"> </w:t>
      </w:r>
      <w:r w:rsidR="004E1239">
        <w:rPr>
          <w:rFonts w:ascii="Segoe UI" w:hAnsi="Segoe UI" w:cs="Segoe UI"/>
          <w:sz w:val="24"/>
          <w:szCs w:val="24"/>
        </w:rPr>
        <w:t xml:space="preserve">3 </w:t>
      </w:r>
      <w:r w:rsidR="00571E46" w:rsidRPr="001541CB">
        <w:rPr>
          <w:rFonts w:ascii="Segoe UI" w:hAnsi="Segoe UI" w:cs="Segoe UI"/>
          <w:sz w:val="24"/>
          <w:szCs w:val="24"/>
        </w:rPr>
        <w:t>456</w:t>
      </w:r>
      <w:r w:rsidR="003B42AD" w:rsidRPr="001541CB">
        <w:rPr>
          <w:rFonts w:ascii="Segoe UI" w:hAnsi="Segoe UI" w:cs="Segoe UI"/>
          <w:sz w:val="24"/>
          <w:szCs w:val="24"/>
        </w:rPr>
        <w:t xml:space="preserve"> millions de FCFA. </w:t>
      </w:r>
      <w:r w:rsidR="00886123" w:rsidRPr="001541CB">
        <w:rPr>
          <w:rFonts w:ascii="Segoe UI" w:hAnsi="Segoe UI" w:cs="Segoe UI"/>
          <w:sz w:val="24"/>
          <w:szCs w:val="24"/>
        </w:rPr>
        <w:t xml:space="preserve">Les </w:t>
      </w:r>
      <w:r w:rsidR="00963507" w:rsidRPr="001541CB">
        <w:rPr>
          <w:rFonts w:ascii="Segoe UI" w:hAnsi="Segoe UI" w:cs="Segoe UI"/>
          <w:sz w:val="24"/>
          <w:szCs w:val="24"/>
        </w:rPr>
        <w:t>taux de recouvrement</w:t>
      </w:r>
      <w:r w:rsidR="00E655B3" w:rsidRPr="001541CB">
        <w:rPr>
          <w:rFonts w:ascii="Segoe UI" w:hAnsi="Segoe UI" w:cs="Segoe UI"/>
          <w:sz w:val="24"/>
          <w:szCs w:val="24"/>
        </w:rPr>
        <w:t xml:space="preserve"> </w:t>
      </w:r>
      <w:r w:rsidR="00904C77" w:rsidRPr="001541CB">
        <w:rPr>
          <w:rFonts w:ascii="Segoe UI" w:hAnsi="Segoe UI" w:cs="Segoe UI"/>
          <w:sz w:val="24"/>
          <w:szCs w:val="24"/>
        </w:rPr>
        <w:t>affichés</w:t>
      </w:r>
      <w:r w:rsidR="00D362D4">
        <w:rPr>
          <w:rFonts w:ascii="Segoe UI" w:hAnsi="Segoe UI" w:cs="Segoe UI"/>
          <w:sz w:val="24"/>
          <w:szCs w:val="24"/>
        </w:rPr>
        <w:t xml:space="preserve"> entre fin mars 2016 et 2017</w:t>
      </w:r>
      <w:r w:rsidR="00904C77" w:rsidRPr="001541CB">
        <w:rPr>
          <w:rFonts w:ascii="Segoe UI" w:hAnsi="Segoe UI" w:cs="Segoe UI"/>
          <w:sz w:val="24"/>
          <w:szCs w:val="24"/>
        </w:rPr>
        <w:t xml:space="preserve"> </w:t>
      </w:r>
      <w:r w:rsidR="009216F5" w:rsidRPr="001541CB">
        <w:rPr>
          <w:rFonts w:ascii="Segoe UI" w:hAnsi="Segoe UI" w:cs="Segoe UI"/>
          <w:sz w:val="24"/>
          <w:szCs w:val="24"/>
        </w:rPr>
        <w:t xml:space="preserve">sont </w:t>
      </w:r>
      <w:r w:rsidR="00963507" w:rsidRPr="001541CB">
        <w:rPr>
          <w:rFonts w:ascii="Segoe UI" w:hAnsi="Segoe UI" w:cs="Segoe UI"/>
          <w:sz w:val="24"/>
          <w:szCs w:val="24"/>
        </w:rPr>
        <w:t>respe</w:t>
      </w:r>
      <w:r w:rsidR="000A38B0" w:rsidRPr="001541CB">
        <w:rPr>
          <w:rFonts w:ascii="Segoe UI" w:hAnsi="Segoe UI" w:cs="Segoe UI"/>
          <w:sz w:val="24"/>
          <w:szCs w:val="24"/>
        </w:rPr>
        <w:t xml:space="preserve">ctivement </w:t>
      </w:r>
      <w:r w:rsidR="00904C77" w:rsidRPr="001541CB">
        <w:rPr>
          <w:rFonts w:ascii="Segoe UI" w:hAnsi="Segoe UI" w:cs="Segoe UI"/>
          <w:sz w:val="24"/>
          <w:szCs w:val="24"/>
        </w:rPr>
        <w:t>de</w:t>
      </w:r>
      <w:r w:rsidR="00E655B3" w:rsidRPr="001541CB">
        <w:rPr>
          <w:rFonts w:ascii="Segoe UI" w:hAnsi="Segoe UI" w:cs="Segoe UI"/>
          <w:sz w:val="24"/>
          <w:szCs w:val="24"/>
        </w:rPr>
        <w:t xml:space="preserve"> </w:t>
      </w:r>
      <w:r w:rsidR="005821AD" w:rsidRPr="001541CB">
        <w:rPr>
          <w:rFonts w:ascii="Segoe UI" w:hAnsi="Segoe UI" w:cs="Segoe UI"/>
          <w:sz w:val="24"/>
          <w:szCs w:val="24"/>
        </w:rPr>
        <w:t>25,2</w:t>
      </w:r>
      <w:r w:rsidR="00241192" w:rsidRPr="001541CB">
        <w:rPr>
          <w:rFonts w:ascii="Segoe UI" w:hAnsi="Segoe UI" w:cs="Segoe UI"/>
          <w:sz w:val="24"/>
          <w:szCs w:val="24"/>
        </w:rPr>
        <w:t xml:space="preserve">% </w:t>
      </w:r>
      <w:r w:rsidR="00963507" w:rsidRPr="001541CB">
        <w:rPr>
          <w:rFonts w:ascii="Segoe UI" w:hAnsi="Segoe UI" w:cs="Segoe UI"/>
          <w:sz w:val="24"/>
          <w:szCs w:val="24"/>
        </w:rPr>
        <w:t xml:space="preserve">et </w:t>
      </w:r>
      <w:r w:rsidR="005821AD" w:rsidRPr="001541CB">
        <w:rPr>
          <w:rFonts w:ascii="Segoe UI" w:hAnsi="Segoe UI" w:cs="Segoe UI"/>
          <w:sz w:val="24"/>
          <w:szCs w:val="24"/>
        </w:rPr>
        <w:t>11,8</w:t>
      </w:r>
      <w:r w:rsidR="00241192" w:rsidRPr="001541CB">
        <w:rPr>
          <w:rFonts w:ascii="Segoe UI" w:hAnsi="Segoe UI" w:cs="Segoe UI"/>
          <w:sz w:val="24"/>
          <w:szCs w:val="24"/>
        </w:rPr>
        <w:t>%</w:t>
      </w:r>
      <w:r w:rsidR="009216F5" w:rsidRPr="001541CB">
        <w:rPr>
          <w:rFonts w:ascii="Segoe UI" w:hAnsi="Segoe UI" w:cs="Segoe UI"/>
          <w:sz w:val="24"/>
          <w:szCs w:val="24"/>
        </w:rPr>
        <w:t>.</w:t>
      </w:r>
      <w:r w:rsidR="00FA41E1">
        <w:rPr>
          <w:rFonts w:ascii="Segoe UI" w:hAnsi="Segoe UI" w:cs="Segoe UI"/>
          <w:sz w:val="24"/>
          <w:szCs w:val="24"/>
        </w:rPr>
        <w:t xml:space="preserve"> Cette baisse s’explique par la mise en régie de trois postes (Grand </w:t>
      </w:r>
      <w:proofErr w:type="spellStart"/>
      <w:r w:rsidR="00FA41E1">
        <w:rPr>
          <w:rFonts w:ascii="Segoe UI" w:hAnsi="Segoe UI" w:cs="Segoe UI"/>
          <w:sz w:val="24"/>
          <w:szCs w:val="24"/>
        </w:rPr>
        <w:t>Popo</w:t>
      </w:r>
      <w:proofErr w:type="spellEnd"/>
      <w:r w:rsidR="00FA41E1">
        <w:rPr>
          <w:rFonts w:ascii="Segoe UI" w:hAnsi="Segoe UI" w:cs="Segoe UI"/>
          <w:sz w:val="24"/>
          <w:szCs w:val="24"/>
        </w:rPr>
        <w:t xml:space="preserve">, </w:t>
      </w:r>
      <w:proofErr w:type="spellStart"/>
      <w:r w:rsidR="00FA41E1">
        <w:rPr>
          <w:rFonts w:ascii="Segoe UI" w:hAnsi="Segoe UI" w:cs="Segoe UI"/>
          <w:sz w:val="24"/>
          <w:szCs w:val="24"/>
        </w:rPr>
        <w:t>Ekpè</w:t>
      </w:r>
      <w:proofErr w:type="spellEnd"/>
      <w:r w:rsidR="00FA41E1">
        <w:rPr>
          <w:rFonts w:ascii="Segoe UI" w:hAnsi="Segoe UI" w:cs="Segoe UI"/>
          <w:sz w:val="24"/>
          <w:szCs w:val="24"/>
        </w:rPr>
        <w:t xml:space="preserve">, </w:t>
      </w:r>
      <w:proofErr w:type="spellStart"/>
      <w:r w:rsidR="00FA41E1">
        <w:rPr>
          <w:rFonts w:ascii="Segoe UI" w:hAnsi="Segoe UI" w:cs="Segoe UI"/>
          <w:sz w:val="24"/>
          <w:szCs w:val="24"/>
        </w:rPr>
        <w:t>Kprèkètè</w:t>
      </w:r>
      <w:proofErr w:type="spellEnd"/>
      <w:r w:rsidR="00FA41E1">
        <w:rPr>
          <w:rFonts w:ascii="Segoe UI" w:hAnsi="Segoe UI" w:cs="Segoe UI"/>
          <w:sz w:val="24"/>
          <w:szCs w:val="24"/>
        </w:rPr>
        <w:t>) dont les recettes sont, pour le moment, logées sur un compte d’attente et donc non encore reversées au Fonds Routier.</w:t>
      </w:r>
    </w:p>
    <w:p w14:paraId="3F4D0D06" w14:textId="77777777" w:rsidR="005644C3" w:rsidRPr="002E4977" w:rsidRDefault="005644C3" w:rsidP="0073644C">
      <w:pPr>
        <w:spacing w:after="0" w:line="360" w:lineRule="auto"/>
        <w:jc w:val="both"/>
        <w:rPr>
          <w:rFonts w:ascii="Segoe UI" w:hAnsi="Segoe UI" w:cs="Segoe UI"/>
          <w:sz w:val="12"/>
          <w:szCs w:val="24"/>
        </w:rPr>
      </w:pPr>
    </w:p>
    <w:p w14:paraId="70DDD06B" w14:textId="76DFC2D5" w:rsidR="000B445B" w:rsidRPr="001541CB" w:rsidRDefault="00904C77" w:rsidP="0073644C">
      <w:pPr>
        <w:spacing w:after="0" w:line="360" w:lineRule="auto"/>
        <w:jc w:val="both"/>
        <w:rPr>
          <w:rFonts w:ascii="Segoe UI" w:hAnsi="Segoe UI" w:cs="Segoe UI"/>
          <w:sz w:val="24"/>
          <w:szCs w:val="24"/>
        </w:rPr>
      </w:pPr>
      <w:r w:rsidRPr="001541CB">
        <w:rPr>
          <w:rFonts w:ascii="Segoe UI" w:hAnsi="Segoe UI" w:cs="Segoe UI"/>
          <w:sz w:val="24"/>
          <w:szCs w:val="24"/>
        </w:rPr>
        <w:t>L</w:t>
      </w:r>
      <w:r w:rsidR="002C340A" w:rsidRPr="001541CB">
        <w:rPr>
          <w:rFonts w:ascii="Segoe UI" w:hAnsi="Segoe UI" w:cs="Segoe UI"/>
          <w:sz w:val="24"/>
          <w:szCs w:val="24"/>
        </w:rPr>
        <w:t>a</w:t>
      </w:r>
      <w:r w:rsidR="00735E57" w:rsidRPr="001541CB">
        <w:rPr>
          <w:rFonts w:ascii="Segoe UI" w:hAnsi="Segoe UI" w:cs="Segoe UI"/>
          <w:sz w:val="24"/>
          <w:szCs w:val="24"/>
        </w:rPr>
        <w:t xml:space="preserve"> </w:t>
      </w:r>
      <w:r w:rsidR="0073644C" w:rsidRPr="001541CB">
        <w:rPr>
          <w:rFonts w:ascii="Segoe UI" w:hAnsi="Segoe UI" w:cs="Segoe UI"/>
          <w:b/>
          <w:sz w:val="24"/>
          <w:szCs w:val="24"/>
        </w:rPr>
        <w:t>Caisse Autonome d’Amortissement</w:t>
      </w:r>
      <w:r w:rsidR="0073644C" w:rsidRPr="001541CB">
        <w:rPr>
          <w:rFonts w:ascii="Segoe UI" w:hAnsi="Segoe UI" w:cs="Segoe UI"/>
          <w:sz w:val="24"/>
          <w:szCs w:val="24"/>
        </w:rPr>
        <w:t xml:space="preserve"> (CAA)</w:t>
      </w:r>
      <w:r w:rsidR="009216F5" w:rsidRPr="001541CB">
        <w:rPr>
          <w:rFonts w:ascii="Segoe UI" w:hAnsi="Segoe UI" w:cs="Segoe UI"/>
          <w:sz w:val="24"/>
          <w:szCs w:val="24"/>
        </w:rPr>
        <w:t xml:space="preserve"> a</w:t>
      </w:r>
      <w:r w:rsidR="00D26A4E">
        <w:rPr>
          <w:rFonts w:ascii="Segoe UI" w:hAnsi="Segoe UI" w:cs="Segoe UI"/>
          <w:sz w:val="24"/>
          <w:szCs w:val="24"/>
        </w:rPr>
        <w:t>, au titre de ses ressources propres,</w:t>
      </w:r>
      <w:r w:rsidR="009216F5" w:rsidRPr="001541CB">
        <w:rPr>
          <w:rFonts w:ascii="Segoe UI" w:hAnsi="Segoe UI" w:cs="Segoe UI"/>
          <w:sz w:val="24"/>
          <w:szCs w:val="24"/>
        </w:rPr>
        <w:t xml:space="preserve"> mobilisé</w:t>
      </w:r>
      <w:r w:rsidR="00E655B3" w:rsidRPr="001541CB">
        <w:rPr>
          <w:rFonts w:ascii="Segoe UI" w:hAnsi="Segoe UI" w:cs="Segoe UI"/>
          <w:sz w:val="24"/>
          <w:szCs w:val="24"/>
        </w:rPr>
        <w:t xml:space="preserve"> </w:t>
      </w:r>
      <w:r w:rsidR="00DE5D5A" w:rsidRPr="001541CB">
        <w:rPr>
          <w:rFonts w:ascii="Segoe UI" w:hAnsi="Segoe UI" w:cs="Segoe UI"/>
          <w:sz w:val="24"/>
          <w:szCs w:val="24"/>
        </w:rPr>
        <w:t>6 595,3</w:t>
      </w:r>
      <w:r w:rsidR="002C340A" w:rsidRPr="001541CB">
        <w:rPr>
          <w:rFonts w:ascii="Segoe UI" w:hAnsi="Segoe UI" w:cs="Segoe UI"/>
          <w:sz w:val="24"/>
          <w:szCs w:val="24"/>
        </w:rPr>
        <w:t xml:space="preserve"> millions de FCFA</w:t>
      </w:r>
      <w:r w:rsidR="00E655B3" w:rsidRPr="001541CB">
        <w:rPr>
          <w:rFonts w:ascii="Segoe UI" w:hAnsi="Segoe UI" w:cs="Segoe UI"/>
          <w:sz w:val="24"/>
          <w:szCs w:val="24"/>
        </w:rPr>
        <w:t xml:space="preserve"> </w:t>
      </w:r>
      <w:r w:rsidR="000A38B0" w:rsidRPr="001541CB">
        <w:rPr>
          <w:rFonts w:ascii="Segoe UI" w:hAnsi="Segoe UI" w:cs="Segoe UI"/>
          <w:sz w:val="24"/>
          <w:szCs w:val="24"/>
        </w:rPr>
        <w:t>à fin mars</w:t>
      </w:r>
      <w:r w:rsidR="009216F5" w:rsidRPr="001541CB">
        <w:rPr>
          <w:rFonts w:ascii="Segoe UI" w:hAnsi="Segoe UI" w:cs="Segoe UI"/>
          <w:sz w:val="24"/>
          <w:szCs w:val="24"/>
        </w:rPr>
        <w:t xml:space="preserve"> 201</w:t>
      </w:r>
      <w:r w:rsidR="00DE5D5A" w:rsidRPr="001541CB">
        <w:rPr>
          <w:rFonts w:ascii="Segoe UI" w:hAnsi="Segoe UI" w:cs="Segoe UI"/>
          <w:sz w:val="24"/>
          <w:szCs w:val="24"/>
        </w:rPr>
        <w:t>7</w:t>
      </w:r>
      <w:r w:rsidR="00CC35CC" w:rsidRPr="001541CB">
        <w:rPr>
          <w:rFonts w:ascii="Segoe UI" w:hAnsi="Segoe UI" w:cs="Segoe UI"/>
          <w:sz w:val="24"/>
          <w:szCs w:val="24"/>
        </w:rPr>
        <w:t xml:space="preserve"> sur une prévision annuelle de 3 300 millions FCFA</w:t>
      </w:r>
      <w:r w:rsidR="00D26A4E">
        <w:rPr>
          <w:rFonts w:ascii="Segoe UI" w:hAnsi="Segoe UI" w:cs="Segoe UI"/>
          <w:sz w:val="24"/>
          <w:szCs w:val="24"/>
        </w:rPr>
        <w:t xml:space="preserve">. A la même période en 2016, </w:t>
      </w:r>
      <w:r w:rsidR="00E45E5F">
        <w:rPr>
          <w:rFonts w:ascii="Segoe UI" w:hAnsi="Segoe UI" w:cs="Segoe UI"/>
          <w:sz w:val="24"/>
          <w:szCs w:val="24"/>
        </w:rPr>
        <w:t>ces ressources ressortaient à</w:t>
      </w:r>
      <w:r w:rsidR="0076045B" w:rsidRPr="001541CB">
        <w:rPr>
          <w:rFonts w:ascii="Segoe UI" w:hAnsi="Segoe UI" w:cs="Segoe UI"/>
          <w:sz w:val="24"/>
          <w:szCs w:val="24"/>
        </w:rPr>
        <w:t xml:space="preserve"> </w:t>
      </w:r>
      <w:r w:rsidR="00DE5D5A" w:rsidRPr="001541CB">
        <w:rPr>
          <w:rFonts w:ascii="Segoe UI" w:hAnsi="Segoe UI" w:cs="Segoe UI"/>
          <w:sz w:val="24"/>
          <w:szCs w:val="24"/>
        </w:rPr>
        <w:t>504,4</w:t>
      </w:r>
      <w:r w:rsidR="0076045B" w:rsidRPr="001541CB">
        <w:rPr>
          <w:rFonts w:ascii="Segoe UI" w:hAnsi="Segoe UI" w:cs="Segoe UI"/>
          <w:sz w:val="24"/>
          <w:szCs w:val="24"/>
        </w:rPr>
        <w:t xml:space="preserve"> millions de FCFA </w:t>
      </w:r>
      <w:r w:rsidR="002C340A" w:rsidRPr="001541CB">
        <w:rPr>
          <w:rFonts w:ascii="Segoe UI" w:hAnsi="Segoe UI" w:cs="Segoe UI"/>
          <w:sz w:val="24"/>
          <w:szCs w:val="24"/>
        </w:rPr>
        <w:t xml:space="preserve">sur une prévision annuelle de 4 000 millions de FCFA. </w:t>
      </w:r>
      <w:r w:rsidR="00D7743D" w:rsidRPr="001541CB">
        <w:rPr>
          <w:rFonts w:ascii="Segoe UI" w:hAnsi="Segoe UI" w:cs="Segoe UI"/>
          <w:sz w:val="24"/>
          <w:szCs w:val="24"/>
        </w:rPr>
        <w:t xml:space="preserve">Les </w:t>
      </w:r>
      <w:r w:rsidR="002C340A" w:rsidRPr="001541CB">
        <w:rPr>
          <w:rFonts w:ascii="Segoe UI" w:hAnsi="Segoe UI" w:cs="Segoe UI"/>
          <w:sz w:val="24"/>
          <w:szCs w:val="24"/>
        </w:rPr>
        <w:t xml:space="preserve">taux de recouvrement </w:t>
      </w:r>
      <w:r w:rsidR="00D7743D" w:rsidRPr="001541CB">
        <w:rPr>
          <w:rFonts w:ascii="Segoe UI" w:hAnsi="Segoe UI" w:cs="Segoe UI"/>
          <w:sz w:val="24"/>
          <w:szCs w:val="24"/>
        </w:rPr>
        <w:t xml:space="preserve">de recettes </w:t>
      </w:r>
      <w:r w:rsidR="00FD48F7">
        <w:rPr>
          <w:rFonts w:ascii="Segoe UI" w:hAnsi="Segoe UI" w:cs="Segoe UI"/>
          <w:sz w:val="24"/>
          <w:szCs w:val="24"/>
        </w:rPr>
        <w:t xml:space="preserve">de la CAA </w:t>
      </w:r>
      <w:r w:rsidR="00D7743D" w:rsidRPr="001541CB">
        <w:rPr>
          <w:rFonts w:ascii="Segoe UI" w:hAnsi="Segoe UI" w:cs="Segoe UI"/>
          <w:sz w:val="24"/>
          <w:szCs w:val="24"/>
        </w:rPr>
        <w:t>à fin mars 201</w:t>
      </w:r>
      <w:r w:rsidR="00DE5D5A" w:rsidRPr="001541CB">
        <w:rPr>
          <w:rFonts w:ascii="Segoe UI" w:hAnsi="Segoe UI" w:cs="Segoe UI"/>
          <w:sz w:val="24"/>
          <w:szCs w:val="24"/>
        </w:rPr>
        <w:t>6</w:t>
      </w:r>
      <w:r w:rsidR="00D7743D" w:rsidRPr="001541CB">
        <w:rPr>
          <w:rFonts w:ascii="Segoe UI" w:hAnsi="Segoe UI" w:cs="Segoe UI"/>
          <w:sz w:val="24"/>
          <w:szCs w:val="24"/>
        </w:rPr>
        <w:t xml:space="preserve"> et 201</w:t>
      </w:r>
      <w:r w:rsidR="00DE5D5A" w:rsidRPr="001541CB">
        <w:rPr>
          <w:rFonts w:ascii="Segoe UI" w:hAnsi="Segoe UI" w:cs="Segoe UI"/>
          <w:sz w:val="24"/>
          <w:szCs w:val="24"/>
        </w:rPr>
        <w:t>7</w:t>
      </w:r>
      <w:r w:rsidR="00E655B3" w:rsidRPr="001541CB">
        <w:rPr>
          <w:rFonts w:ascii="Segoe UI" w:hAnsi="Segoe UI" w:cs="Segoe UI"/>
          <w:sz w:val="24"/>
          <w:szCs w:val="24"/>
        </w:rPr>
        <w:t xml:space="preserve"> </w:t>
      </w:r>
      <w:r w:rsidR="002C340A" w:rsidRPr="001541CB">
        <w:rPr>
          <w:rFonts w:ascii="Segoe UI" w:hAnsi="Segoe UI" w:cs="Segoe UI"/>
          <w:sz w:val="24"/>
          <w:szCs w:val="24"/>
        </w:rPr>
        <w:t>s</w:t>
      </w:r>
      <w:r w:rsidR="00B12D76" w:rsidRPr="001541CB">
        <w:rPr>
          <w:rFonts w:ascii="Segoe UI" w:hAnsi="Segoe UI" w:cs="Segoe UI"/>
          <w:sz w:val="24"/>
          <w:szCs w:val="24"/>
        </w:rPr>
        <w:t>on</w:t>
      </w:r>
      <w:r w:rsidR="002C340A" w:rsidRPr="001541CB">
        <w:rPr>
          <w:rFonts w:ascii="Segoe UI" w:hAnsi="Segoe UI" w:cs="Segoe UI"/>
          <w:sz w:val="24"/>
          <w:szCs w:val="24"/>
        </w:rPr>
        <w:t xml:space="preserve">t </w:t>
      </w:r>
      <w:r w:rsidR="00B12D76" w:rsidRPr="001541CB">
        <w:rPr>
          <w:rFonts w:ascii="Segoe UI" w:hAnsi="Segoe UI" w:cs="Segoe UI"/>
          <w:sz w:val="24"/>
          <w:szCs w:val="24"/>
        </w:rPr>
        <w:t xml:space="preserve">respectivement </w:t>
      </w:r>
      <w:r w:rsidR="001D4936" w:rsidRPr="001541CB">
        <w:rPr>
          <w:rFonts w:ascii="Segoe UI" w:hAnsi="Segoe UI" w:cs="Segoe UI"/>
          <w:sz w:val="24"/>
          <w:szCs w:val="24"/>
        </w:rPr>
        <w:t>de</w:t>
      </w:r>
      <w:r w:rsidR="00D40FEE" w:rsidRPr="001541CB">
        <w:rPr>
          <w:rFonts w:ascii="Segoe UI" w:hAnsi="Segoe UI" w:cs="Segoe UI"/>
          <w:sz w:val="24"/>
          <w:szCs w:val="24"/>
        </w:rPr>
        <w:t xml:space="preserve"> </w:t>
      </w:r>
      <w:r w:rsidR="004109D4" w:rsidRPr="001541CB">
        <w:rPr>
          <w:rFonts w:ascii="Segoe UI" w:hAnsi="Segoe UI" w:cs="Segoe UI"/>
          <w:sz w:val="24"/>
          <w:szCs w:val="24"/>
        </w:rPr>
        <w:t>12</w:t>
      </w:r>
      <w:r w:rsidR="00D40FEE" w:rsidRPr="001541CB">
        <w:rPr>
          <w:rFonts w:ascii="Segoe UI" w:hAnsi="Segoe UI" w:cs="Segoe UI"/>
          <w:sz w:val="24"/>
          <w:szCs w:val="24"/>
        </w:rPr>
        <w:t>,</w:t>
      </w:r>
      <w:r w:rsidR="00DE5D5A" w:rsidRPr="001541CB">
        <w:rPr>
          <w:rFonts w:ascii="Segoe UI" w:hAnsi="Segoe UI" w:cs="Segoe UI"/>
          <w:sz w:val="24"/>
          <w:szCs w:val="24"/>
        </w:rPr>
        <w:t>6</w:t>
      </w:r>
      <w:r w:rsidR="009216F5" w:rsidRPr="001541CB">
        <w:rPr>
          <w:rFonts w:ascii="Segoe UI" w:hAnsi="Segoe UI" w:cs="Segoe UI"/>
          <w:sz w:val="24"/>
          <w:szCs w:val="24"/>
        </w:rPr>
        <w:t xml:space="preserve">% et </w:t>
      </w:r>
      <w:r w:rsidR="00DE5D5A" w:rsidRPr="001541CB">
        <w:rPr>
          <w:rFonts w:ascii="Segoe UI" w:hAnsi="Segoe UI" w:cs="Segoe UI"/>
          <w:sz w:val="24"/>
          <w:szCs w:val="24"/>
        </w:rPr>
        <w:t>199,9</w:t>
      </w:r>
      <w:r w:rsidR="0035521D" w:rsidRPr="001541CB">
        <w:rPr>
          <w:rFonts w:ascii="Segoe UI" w:hAnsi="Segoe UI" w:cs="Segoe UI"/>
          <w:sz w:val="24"/>
          <w:szCs w:val="24"/>
        </w:rPr>
        <w:t>%</w:t>
      </w:r>
      <w:r w:rsidR="009216F5" w:rsidRPr="001541CB">
        <w:rPr>
          <w:rFonts w:ascii="Segoe UI" w:hAnsi="Segoe UI" w:cs="Segoe UI"/>
          <w:sz w:val="24"/>
          <w:szCs w:val="24"/>
        </w:rPr>
        <w:t>.</w:t>
      </w:r>
      <w:r w:rsidR="00DA0620">
        <w:rPr>
          <w:rFonts w:ascii="Segoe UI" w:hAnsi="Segoe UI" w:cs="Segoe UI"/>
          <w:sz w:val="24"/>
          <w:szCs w:val="24"/>
        </w:rPr>
        <w:t xml:space="preserve"> </w:t>
      </w:r>
      <w:r w:rsidR="00FD48F7">
        <w:rPr>
          <w:rFonts w:ascii="Segoe UI" w:hAnsi="Segoe UI" w:cs="Segoe UI"/>
          <w:sz w:val="24"/>
          <w:szCs w:val="24"/>
        </w:rPr>
        <w:t xml:space="preserve">Le bon niveau de recouvrement observé au cours du premier trimestre 2017 est imputable à l’amélioration substantielle du recouvrement des prêts rétrocédés. </w:t>
      </w:r>
    </w:p>
    <w:p w14:paraId="08919841" w14:textId="0142606A" w:rsidR="00456B26" w:rsidRDefault="0035521D" w:rsidP="0073644C">
      <w:pPr>
        <w:spacing w:after="0" w:line="360" w:lineRule="auto"/>
        <w:jc w:val="both"/>
        <w:rPr>
          <w:rFonts w:ascii="Segoe UI" w:hAnsi="Segoe UI" w:cs="Segoe UI"/>
          <w:sz w:val="24"/>
          <w:szCs w:val="24"/>
        </w:rPr>
      </w:pPr>
      <w:r w:rsidRPr="001541CB">
        <w:rPr>
          <w:rFonts w:ascii="Segoe UI" w:hAnsi="Segoe UI" w:cs="Segoe UI"/>
          <w:sz w:val="24"/>
          <w:szCs w:val="24"/>
        </w:rPr>
        <w:t>Le tableau n° 2 ci-dessous récapitule</w:t>
      </w:r>
      <w:r w:rsidR="00E655B3" w:rsidRPr="001541CB">
        <w:rPr>
          <w:rFonts w:ascii="Segoe UI" w:hAnsi="Segoe UI" w:cs="Segoe UI"/>
          <w:sz w:val="24"/>
          <w:szCs w:val="24"/>
        </w:rPr>
        <w:t xml:space="preserve"> </w:t>
      </w:r>
      <w:r w:rsidRPr="001541CB">
        <w:rPr>
          <w:rFonts w:ascii="Segoe UI" w:hAnsi="Segoe UI" w:cs="Segoe UI"/>
          <w:sz w:val="24"/>
          <w:szCs w:val="24"/>
        </w:rPr>
        <w:t>l</w:t>
      </w:r>
      <w:r w:rsidR="00456B26" w:rsidRPr="001541CB">
        <w:rPr>
          <w:rFonts w:ascii="Segoe UI" w:hAnsi="Segoe UI" w:cs="Segoe UI"/>
          <w:sz w:val="24"/>
          <w:szCs w:val="24"/>
        </w:rPr>
        <w:t>es réalisations au 3</w:t>
      </w:r>
      <w:r w:rsidR="004F008E" w:rsidRPr="001541CB">
        <w:rPr>
          <w:rFonts w:ascii="Segoe UI" w:hAnsi="Segoe UI" w:cs="Segoe UI"/>
          <w:sz w:val="24"/>
          <w:szCs w:val="24"/>
        </w:rPr>
        <w:t>1</w:t>
      </w:r>
      <w:r w:rsidR="00D40FEE" w:rsidRPr="001541CB">
        <w:rPr>
          <w:rFonts w:ascii="Segoe UI" w:hAnsi="Segoe UI" w:cs="Segoe UI"/>
          <w:sz w:val="24"/>
          <w:szCs w:val="24"/>
        </w:rPr>
        <w:t xml:space="preserve"> </w:t>
      </w:r>
      <w:r w:rsidR="0017097E" w:rsidRPr="001541CB">
        <w:rPr>
          <w:rFonts w:ascii="Segoe UI" w:hAnsi="Segoe UI" w:cs="Segoe UI"/>
          <w:sz w:val="24"/>
          <w:szCs w:val="24"/>
        </w:rPr>
        <w:t>mars</w:t>
      </w:r>
      <w:r w:rsidR="00456B26" w:rsidRPr="001541CB">
        <w:rPr>
          <w:rFonts w:ascii="Segoe UI" w:hAnsi="Segoe UI" w:cs="Segoe UI"/>
          <w:sz w:val="24"/>
          <w:szCs w:val="24"/>
        </w:rPr>
        <w:t xml:space="preserve"> 201</w:t>
      </w:r>
      <w:r w:rsidR="00860868" w:rsidRPr="001541CB">
        <w:rPr>
          <w:rFonts w:ascii="Segoe UI" w:hAnsi="Segoe UI" w:cs="Segoe UI"/>
          <w:sz w:val="24"/>
          <w:szCs w:val="24"/>
        </w:rPr>
        <w:t>6</w:t>
      </w:r>
      <w:r w:rsidR="00456B26" w:rsidRPr="001541CB">
        <w:rPr>
          <w:rFonts w:ascii="Segoe UI" w:hAnsi="Segoe UI" w:cs="Segoe UI"/>
          <w:sz w:val="24"/>
          <w:szCs w:val="24"/>
        </w:rPr>
        <w:t xml:space="preserve"> e</w:t>
      </w:r>
      <w:r w:rsidRPr="001541CB">
        <w:rPr>
          <w:rFonts w:ascii="Segoe UI" w:hAnsi="Segoe UI" w:cs="Segoe UI"/>
          <w:sz w:val="24"/>
          <w:szCs w:val="24"/>
        </w:rPr>
        <w:t>t 201</w:t>
      </w:r>
      <w:r w:rsidR="00860868" w:rsidRPr="001541CB">
        <w:rPr>
          <w:rFonts w:ascii="Segoe UI" w:hAnsi="Segoe UI" w:cs="Segoe UI"/>
          <w:sz w:val="24"/>
          <w:szCs w:val="24"/>
        </w:rPr>
        <w:t>7</w:t>
      </w:r>
      <w:r w:rsidRPr="001541CB">
        <w:rPr>
          <w:rFonts w:ascii="Segoe UI" w:hAnsi="Segoe UI" w:cs="Segoe UI"/>
          <w:sz w:val="24"/>
          <w:szCs w:val="24"/>
        </w:rPr>
        <w:t xml:space="preserve"> de</w:t>
      </w:r>
      <w:r w:rsidR="004F008E" w:rsidRPr="001541CB">
        <w:rPr>
          <w:rFonts w:ascii="Segoe UI" w:hAnsi="Segoe UI" w:cs="Segoe UI"/>
          <w:sz w:val="24"/>
          <w:szCs w:val="24"/>
        </w:rPr>
        <w:t>s recettes</w:t>
      </w:r>
      <w:r w:rsidR="00E655B3" w:rsidRPr="001541CB">
        <w:rPr>
          <w:rFonts w:ascii="Segoe UI" w:hAnsi="Segoe UI" w:cs="Segoe UI"/>
          <w:sz w:val="24"/>
          <w:szCs w:val="24"/>
        </w:rPr>
        <w:t xml:space="preserve"> </w:t>
      </w:r>
      <w:r w:rsidR="004F008E" w:rsidRPr="001541CB">
        <w:rPr>
          <w:rFonts w:ascii="Segoe UI" w:hAnsi="Segoe UI" w:cs="Segoe UI"/>
          <w:sz w:val="24"/>
          <w:szCs w:val="24"/>
        </w:rPr>
        <w:t>d</w:t>
      </w:r>
      <w:r w:rsidRPr="001541CB">
        <w:rPr>
          <w:rFonts w:ascii="Segoe UI" w:hAnsi="Segoe UI" w:cs="Segoe UI"/>
          <w:sz w:val="24"/>
          <w:szCs w:val="24"/>
        </w:rPr>
        <w:t xml:space="preserve">es </w:t>
      </w:r>
      <w:r w:rsidR="00FD48F7">
        <w:rPr>
          <w:rFonts w:ascii="Segoe UI" w:hAnsi="Segoe UI" w:cs="Segoe UI"/>
          <w:sz w:val="24"/>
          <w:szCs w:val="24"/>
        </w:rPr>
        <w:t xml:space="preserve">autres </w:t>
      </w:r>
      <w:r w:rsidRPr="001541CB">
        <w:rPr>
          <w:rFonts w:ascii="Segoe UI" w:hAnsi="Segoe UI" w:cs="Segoe UI"/>
          <w:sz w:val="24"/>
          <w:szCs w:val="24"/>
        </w:rPr>
        <w:t xml:space="preserve"> budgets.</w:t>
      </w:r>
    </w:p>
    <w:p w14:paraId="70FFB624" w14:textId="77777777" w:rsidR="00EE133A" w:rsidRDefault="00EE133A" w:rsidP="0073644C">
      <w:pPr>
        <w:spacing w:after="0" w:line="360" w:lineRule="auto"/>
        <w:jc w:val="both"/>
        <w:rPr>
          <w:rFonts w:ascii="Segoe UI" w:hAnsi="Segoe UI" w:cs="Segoe UI"/>
          <w:sz w:val="24"/>
          <w:szCs w:val="24"/>
        </w:rPr>
      </w:pPr>
    </w:p>
    <w:p w14:paraId="1CFB841B" w14:textId="77777777" w:rsidR="00EE133A" w:rsidRDefault="00EE133A" w:rsidP="0073644C">
      <w:pPr>
        <w:spacing w:after="0" w:line="360" w:lineRule="auto"/>
        <w:jc w:val="both"/>
        <w:rPr>
          <w:rFonts w:ascii="Segoe UI" w:hAnsi="Segoe UI" w:cs="Segoe UI"/>
          <w:sz w:val="24"/>
          <w:szCs w:val="24"/>
        </w:rPr>
      </w:pPr>
    </w:p>
    <w:p w14:paraId="7807D18D" w14:textId="77777777" w:rsidR="00EE133A" w:rsidRDefault="00EE133A" w:rsidP="0073644C">
      <w:pPr>
        <w:spacing w:after="0" w:line="360" w:lineRule="auto"/>
        <w:jc w:val="both"/>
        <w:rPr>
          <w:rFonts w:ascii="Segoe UI" w:hAnsi="Segoe UI" w:cs="Segoe UI"/>
          <w:sz w:val="24"/>
          <w:szCs w:val="24"/>
        </w:rPr>
      </w:pPr>
    </w:p>
    <w:p w14:paraId="5EFF14F1" w14:textId="77777777" w:rsidR="00EE133A" w:rsidRDefault="00EE133A" w:rsidP="0073644C">
      <w:pPr>
        <w:spacing w:after="0" w:line="360" w:lineRule="auto"/>
        <w:jc w:val="both"/>
        <w:rPr>
          <w:rFonts w:ascii="Segoe UI" w:hAnsi="Segoe UI" w:cs="Segoe UI"/>
          <w:sz w:val="24"/>
          <w:szCs w:val="24"/>
        </w:rPr>
      </w:pPr>
    </w:p>
    <w:p w14:paraId="7AD3522A" w14:textId="77777777" w:rsidR="00EE133A" w:rsidRDefault="00EE133A" w:rsidP="0073644C">
      <w:pPr>
        <w:spacing w:after="0" w:line="360" w:lineRule="auto"/>
        <w:jc w:val="both"/>
        <w:rPr>
          <w:rFonts w:ascii="Segoe UI" w:hAnsi="Segoe UI" w:cs="Segoe UI"/>
          <w:sz w:val="24"/>
          <w:szCs w:val="24"/>
        </w:rPr>
      </w:pPr>
    </w:p>
    <w:p w14:paraId="1488E639" w14:textId="77777777" w:rsidR="00B31988" w:rsidRPr="001541CB" w:rsidRDefault="00B31988" w:rsidP="0073644C">
      <w:pPr>
        <w:spacing w:after="0" w:line="360" w:lineRule="auto"/>
        <w:jc w:val="both"/>
        <w:rPr>
          <w:rFonts w:ascii="Segoe UI" w:hAnsi="Segoe UI" w:cs="Segoe UI"/>
          <w:sz w:val="24"/>
          <w:szCs w:val="24"/>
        </w:rPr>
      </w:pPr>
    </w:p>
    <w:p w14:paraId="548AA0FF" w14:textId="77777777" w:rsidR="00452CB4" w:rsidRPr="00DF00CA" w:rsidRDefault="00452CB4" w:rsidP="0073644C">
      <w:pPr>
        <w:spacing w:after="0" w:line="360" w:lineRule="auto"/>
        <w:jc w:val="both"/>
        <w:rPr>
          <w:rFonts w:ascii="Segoe UI" w:hAnsi="Segoe UI" w:cs="Segoe UI"/>
          <w:sz w:val="6"/>
          <w:szCs w:val="24"/>
        </w:rPr>
      </w:pPr>
    </w:p>
    <w:p w14:paraId="654F36FE" w14:textId="77777777" w:rsidR="00814F54" w:rsidRDefault="00681182" w:rsidP="00DF00CA">
      <w:pPr>
        <w:pStyle w:val="Listedestableaux"/>
        <w:spacing w:line="240" w:lineRule="auto"/>
        <w:rPr>
          <w:rFonts w:ascii="Segoe UI" w:hAnsi="Segoe UI" w:cs="Segoe UI"/>
          <w:sz w:val="24"/>
          <w:szCs w:val="24"/>
        </w:rPr>
      </w:pPr>
      <w:bookmarkStart w:id="12" w:name="_Toc481952104"/>
      <w:r w:rsidRPr="001541CB">
        <w:rPr>
          <w:rFonts w:ascii="Segoe UI" w:hAnsi="Segoe UI" w:cs="Segoe UI"/>
          <w:sz w:val="24"/>
          <w:szCs w:val="24"/>
          <w:u w:val="single"/>
        </w:rPr>
        <w:lastRenderedPageBreak/>
        <w:t xml:space="preserve">Tableau </w:t>
      </w:r>
      <w:r w:rsidR="0035521D" w:rsidRPr="001541CB">
        <w:rPr>
          <w:rFonts w:ascii="Segoe UI" w:hAnsi="Segoe UI" w:cs="Segoe UI"/>
          <w:sz w:val="24"/>
          <w:szCs w:val="24"/>
          <w:u w:val="single"/>
        </w:rPr>
        <w:t>2</w:t>
      </w:r>
      <w:r w:rsidRPr="001541CB">
        <w:rPr>
          <w:rFonts w:ascii="Segoe UI" w:hAnsi="Segoe UI" w:cs="Segoe UI"/>
          <w:sz w:val="24"/>
          <w:szCs w:val="24"/>
          <w:u w:val="single"/>
        </w:rPr>
        <w:t> :</w:t>
      </w:r>
      <w:r w:rsidR="00E655B3" w:rsidRPr="001541CB">
        <w:rPr>
          <w:rFonts w:ascii="Segoe UI" w:hAnsi="Segoe UI" w:cs="Segoe UI"/>
          <w:sz w:val="24"/>
          <w:szCs w:val="24"/>
        </w:rPr>
        <w:t xml:space="preserve"> </w:t>
      </w:r>
      <w:r w:rsidR="00284EC1" w:rsidRPr="001541CB">
        <w:rPr>
          <w:rFonts w:ascii="Segoe UI" w:hAnsi="Segoe UI" w:cs="Segoe UI"/>
          <w:sz w:val="24"/>
          <w:szCs w:val="24"/>
        </w:rPr>
        <w:t xml:space="preserve">Evolution des réalisations des recettes du FNRB et des autres </w:t>
      </w:r>
      <w:r w:rsidR="00A45C09" w:rsidRPr="001541CB">
        <w:rPr>
          <w:rFonts w:ascii="Segoe UI" w:hAnsi="Segoe UI" w:cs="Segoe UI"/>
          <w:sz w:val="24"/>
          <w:szCs w:val="24"/>
        </w:rPr>
        <w:t>organismes publics</w:t>
      </w:r>
      <w:r w:rsidR="009A3164" w:rsidRPr="001541CB">
        <w:rPr>
          <w:rFonts w:ascii="Segoe UI" w:hAnsi="Segoe UI" w:cs="Segoe UI"/>
          <w:sz w:val="24"/>
          <w:szCs w:val="24"/>
        </w:rPr>
        <w:t xml:space="preserve"> </w:t>
      </w:r>
      <w:r w:rsidR="00284EC1" w:rsidRPr="001541CB">
        <w:rPr>
          <w:rFonts w:ascii="Segoe UI" w:hAnsi="Segoe UI" w:cs="Segoe UI"/>
          <w:sz w:val="24"/>
          <w:szCs w:val="24"/>
        </w:rPr>
        <w:t>au 3</w:t>
      </w:r>
      <w:r w:rsidR="004F008E" w:rsidRPr="001541CB">
        <w:rPr>
          <w:rFonts w:ascii="Segoe UI" w:hAnsi="Segoe UI" w:cs="Segoe UI"/>
          <w:sz w:val="24"/>
          <w:szCs w:val="24"/>
        </w:rPr>
        <w:t>1</w:t>
      </w:r>
      <w:r w:rsidR="004109D4" w:rsidRPr="001541CB">
        <w:rPr>
          <w:rFonts w:ascii="Segoe UI" w:hAnsi="Segoe UI" w:cs="Segoe UI"/>
          <w:sz w:val="24"/>
          <w:szCs w:val="24"/>
        </w:rPr>
        <w:t>mars</w:t>
      </w:r>
      <w:r w:rsidR="00284EC1" w:rsidRPr="001541CB">
        <w:rPr>
          <w:rFonts w:ascii="Segoe UI" w:hAnsi="Segoe UI" w:cs="Segoe UI"/>
          <w:sz w:val="24"/>
          <w:szCs w:val="24"/>
        </w:rPr>
        <w:t xml:space="preserve"> 201</w:t>
      </w:r>
      <w:r w:rsidR="00DB7F44" w:rsidRPr="001541CB">
        <w:rPr>
          <w:rFonts w:ascii="Segoe UI" w:hAnsi="Segoe UI" w:cs="Segoe UI"/>
          <w:sz w:val="24"/>
          <w:szCs w:val="24"/>
        </w:rPr>
        <w:t>6</w:t>
      </w:r>
      <w:r w:rsidR="00284EC1" w:rsidRPr="001541CB">
        <w:rPr>
          <w:rFonts w:ascii="Segoe UI" w:hAnsi="Segoe UI" w:cs="Segoe UI"/>
          <w:sz w:val="24"/>
          <w:szCs w:val="24"/>
        </w:rPr>
        <w:t xml:space="preserve"> et 201</w:t>
      </w:r>
      <w:r w:rsidR="00DB7F44" w:rsidRPr="001541CB">
        <w:rPr>
          <w:rFonts w:ascii="Segoe UI" w:hAnsi="Segoe UI" w:cs="Segoe UI"/>
          <w:sz w:val="24"/>
          <w:szCs w:val="24"/>
        </w:rPr>
        <w:t>7</w:t>
      </w:r>
      <w:r w:rsidR="00DF00CA">
        <w:rPr>
          <w:rFonts w:ascii="Segoe UI" w:hAnsi="Segoe UI" w:cs="Segoe UI"/>
          <w:sz w:val="24"/>
          <w:szCs w:val="24"/>
        </w:rPr>
        <w:t>.</w:t>
      </w:r>
      <w:bookmarkEnd w:id="12"/>
    </w:p>
    <w:p w14:paraId="2AFD9EBE" w14:textId="77777777" w:rsidR="00687219" w:rsidRPr="00687219" w:rsidRDefault="00687219" w:rsidP="007D171C">
      <w:pPr>
        <w:pStyle w:val="Listedestableaux"/>
        <w:spacing w:line="240" w:lineRule="auto"/>
        <w:rPr>
          <w:rFonts w:ascii="Segoe UI" w:hAnsi="Segoe UI" w:cs="Segoe UI"/>
          <w:b w:val="0"/>
          <w:sz w:val="24"/>
          <w:szCs w:val="24"/>
        </w:rPr>
      </w:pPr>
      <w:r w:rsidRPr="00687219">
        <w:rPr>
          <w:rFonts w:ascii="Segoe UI" w:hAnsi="Segoe UI" w:cs="Segoe UI"/>
          <w:b w:val="0"/>
          <w:sz w:val="24"/>
          <w:szCs w:val="24"/>
        </w:rPr>
        <w:t xml:space="preserve">                   </w:t>
      </w:r>
      <w:r w:rsidR="007D171C">
        <w:rPr>
          <w:rFonts w:ascii="Segoe UI" w:hAnsi="Segoe UI" w:cs="Segoe UI"/>
          <w:b w:val="0"/>
          <w:sz w:val="24"/>
          <w:szCs w:val="24"/>
        </w:rPr>
        <w:t xml:space="preserve">          </w:t>
      </w:r>
      <w:r w:rsidRPr="00687219">
        <w:rPr>
          <w:rFonts w:ascii="Segoe UI" w:hAnsi="Segoe UI" w:cs="Segoe UI"/>
          <w:b w:val="0"/>
          <w:sz w:val="24"/>
          <w:szCs w:val="24"/>
        </w:rPr>
        <w:t xml:space="preserve">                                                                     </w:t>
      </w:r>
      <w:bookmarkStart w:id="13" w:name="_Toc481952105"/>
      <w:r w:rsidRPr="00687219">
        <w:rPr>
          <w:rFonts w:ascii="Segoe UI" w:hAnsi="Segoe UI" w:cs="Segoe UI"/>
          <w:b w:val="0"/>
          <w:sz w:val="24"/>
          <w:szCs w:val="24"/>
        </w:rPr>
        <w:t>En millions de FCFA</w:t>
      </w:r>
      <w:bookmarkEnd w:id="13"/>
    </w:p>
    <w:tbl>
      <w:tblPr>
        <w:tblW w:w="9923" w:type="dxa"/>
        <w:tblInd w:w="70" w:type="dxa"/>
        <w:tblLayout w:type="fixed"/>
        <w:tblCellMar>
          <w:left w:w="70" w:type="dxa"/>
          <w:right w:w="70" w:type="dxa"/>
        </w:tblCellMar>
        <w:tblLook w:val="04A0" w:firstRow="1" w:lastRow="0" w:firstColumn="1" w:lastColumn="0" w:noHBand="0" w:noVBand="1"/>
      </w:tblPr>
      <w:tblGrid>
        <w:gridCol w:w="1701"/>
        <w:gridCol w:w="851"/>
        <w:gridCol w:w="1176"/>
        <w:gridCol w:w="810"/>
        <w:gridCol w:w="991"/>
        <w:gridCol w:w="1134"/>
        <w:gridCol w:w="992"/>
        <w:gridCol w:w="992"/>
        <w:gridCol w:w="1276"/>
      </w:tblGrid>
      <w:tr w:rsidR="00BF1343" w:rsidRPr="008A65E9" w14:paraId="2366F157" w14:textId="77777777" w:rsidTr="00A855FB">
        <w:trPr>
          <w:trHeight w:val="660"/>
        </w:trPr>
        <w:tc>
          <w:tcPr>
            <w:tcW w:w="1701" w:type="dxa"/>
            <w:tcBorders>
              <w:top w:val="nil"/>
              <w:left w:val="nil"/>
              <w:bottom w:val="nil"/>
              <w:right w:val="nil"/>
            </w:tcBorders>
            <w:shd w:val="clear" w:color="auto" w:fill="auto"/>
            <w:noWrap/>
            <w:vAlign w:val="bottom"/>
            <w:hideMark/>
          </w:tcPr>
          <w:p w14:paraId="5EBFAB26" w14:textId="77777777" w:rsidR="00BD7E6B" w:rsidRPr="002E4977" w:rsidRDefault="00BD7E6B" w:rsidP="00BD7E6B">
            <w:pPr>
              <w:spacing w:after="0" w:line="240" w:lineRule="auto"/>
              <w:rPr>
                <w:rFonts w:ascii="Segoe UI" w:eastAsia="Times New Roman" w:hAnsi="Segoe UI" w:cs="Segoe UI"/>
                <w:sz w:val="20"/>
                <w:szCs w:val="20"/>
              </w:rPr>
            </w:pPr>
          </w:p>
        </w:tc>
        <w:tc>
          <w:tcPr>
            <w:tcW w:w="28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5BF9F" w14:textId="5A34A23E" w:rsidR="00BD7E6B" w:rsidRPr="002E4977" w:rsidRDefault="00BD7E6B" w:rsidP="00580505">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201</w:t>
            </w:r>
            <w:r w:rsidR="00580505" w:rsidRPr="002E4977">
              <w:rPr>
                <w:rFonts w:ascii="Segoe UI" w:eastAsia="Times New Roman" w:hAnsi="Segoe UI" w:cs="Segoe UI"/>
                <w:b/>
                <w:bCs/>
                <w:sz w:val="20"/>
                <w:szCs w:val="20"/>
              </w:rPr>
              <w:t>6</w:t>
            </w:r>
            <w:r w:rsidR="00932DFC">
              <w:rPr>
                <w:rFonts w:ascii="Segoe UI" w:eastAsia="Times New Roman" w:hAnsi="Segoe UI" w:cs="Segoe UI"/>
                <w:b/>
                <w:bCs/>
                <w:sz w:val="20"/>
                <w:szCs w:val="20"/>
              </w:rPr>
              <w:t xml:space="preserve"> (LFR)</w:t>
            </w:r>
          </w:p>
        </w:tc>
        <w:tc>
          <w:tcPr>
            <w:tcW w:w="31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2F652967" w14:textId="3041076E" w:rsidR="00BD7E6B" w:rsidRPr="002E4977" w:rsidRDefault="00BD7E6B" w:rsidP="00580505">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201</w:t>
            </w:r>
            <w:r w:rsidR="00580505" w:rsidRPr="002E4977">
              <w:rPr>
                <w:rFonts w:ascii="Segoe UI" w:eastAsia="Times New Roman" w:hAnsi="Segoe UI" w:cs="Segoe UI"/>
                <w:b/>
                <w:bCs/>
                <w:sz w:val="20"/>
                <w:szCs w:val="20"/>
              </w:rPr>
              <w:t>7</w:t>
            </w:r>
            <w:r w:rsidR="00932DFC">
              <w:rPr>
                <w:rFonts w:ascii="Segoe UI" w:eastAsia="Times New Roman" w:hAnsi="Segoe UI" w:cs="Segoe UI"/>
                <w:b/>
                <w:bCs/>
                <w:sz w:val="20"/>
                <w:szCs w:val="20"/>
              </w:rPr>
              <w:t xml:space="preserve"> (LFI)</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14:paraId="56F22AF6" w14:textId="77777777" w:rsidR="00BD7E6B" w:rsidRPr="002E4977" w:rsidRDefault="00BD7E6B" w:rsidP="00BD7E6B">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ECARTS DE REALISATION</w:t>
            </w:r>
          </w:p>
        </w:tc>
      </w:tr>
      <w:tr w:rsidR="00BF1343" w:rsidRPr="008A65E9" w14:paraId="72E418F9" w14:textId="77777777" w:rsidTr="00A855FB">
        <w:trPr>
          <w:trHeight w:val="255"/>
        </w:trPr>
        <w:tc>
          <w:tcPr>
            <w:tcW w:w="1701" w:type="dxa"/>
            <w:tcBorders>
              <w:top w:val="nil"/>
              <w:left w:val="nil"/>
              <w:bottom w:val="nil"/>
              <w:right w:val="nil"/>
            </w:tcBorders>
            <w:shd w:val="clear" w:color="auto" w:fill="auto"/>
            <w:noWrap/>
            <w:vAlign w:val="bottom"/>
            <w:hideMark/>
          </w:tcPr>
          <w:p w14:paraId="3F456581" w14:textId="77777777" w:rsidR="00BD7E6B" w:rsidRPr="002E4977" w:rsidRDefault="00BD7E6B" w:rsidP="00BD7E6B">
            <w:pPr>
              <w:spacing w:after="0" w:line="240" w:lineRule="auto"/>
              <w:rPr>
                <w:rFonts w:ascii="Segoe UI" w:eastAsia="Times New Roman" w:hAnsi="Segoe UI" w:cs="Segoe UI"/>
                <w:sz w:val="20"/>
                <w:szCs w:val="20"/>
              </w:rPr>
            </w:pP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6453E9F7" w14:textId="77777777" w:rsidR="00BD7E6B" w:rsidRPr="002E4977" w:rsidRDefault="00BD7E6B" w:rsidP="0015077C">
            <w:pPr>
              <w:spacing w:after="0" w:line="240" w:lineRule="auto"/>
              <w:jc w:val="center"/>
              <w:rPr>
                <w:rFonts w:ascii="Segoe UI" w:eastAsia="Times New Roman" w:hAnsi="Segoe UI" w:cs="Segoe UI"/>
                <w:sz w:val="20"/>
                <w:szCs w:val="20"/>
              </w:rPr>
            </w:pPr>
            <w:proofErr w:type="spellStart"/>
            <w:r w:rsidRPr="002E4977">
              <w:rPr>
                <w:rFonts w:ascii="Segoe UI" w:eastAsia="Times New Roman" w:hAnsi="Segoe UI" w:cs="Segoe UI"/>
                <w:sz w:val="20"/>
                <w:szCs w:val="20"/>
              </w:rPr>
              <w:t>P</w:t>
            </w:r>
            <w:r w:rsidR="0015077C" w:rsidRPr="002E4977">
              <w:rPr>
                <w:rFonts w:ascii="Segoe UI" w:eastAsia="Times New Roman" w:hAnsi="Segoe UI" w:cs="Segoe UI"/>
                <w:sz w:val="20"/>
                <w:szCs w:val="20"/>
              </w:rPr>
              <w:t>rév</w:t>
            </w:r>
            <w:proofErr w:type="spellEnd"/>
            <w:r w:rsidR="00A637F8" w:rsidRPr="002E4977">
              <w:rPr>
                <w:rFonts w:ascii="Segoe UI" w:eastAsia="Times New Roman" w:hAnsi="Segoe UI" w:cs="Segoe UI"/>
                <w:sz w:val="20"/>
                <w:szCs w:val="20"/>
              </w:rPr>
              <w:t>.</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hideMark/>
          </w:tcPr>
          <w:p w14:paraId="02439C59" w14:textId="77777777" w:rsidR="00BD7E6B" w:rsidRPr="002E4977" w:rsidRDefault="00BD7E6B" w:rsidP="0015077C">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R</w:t>
            </w:r>
            <w:r w:rsidR="0015077C" w:rsidRPr="002E4977">
              <w:rPr>
                <w:rFonts w:ascii="Segoe UI" w:eastAsia="Times New Roman" w:hAnsi="Segoe UI" w:cs="Segoe UI"/>
                <w:sz w:val="20"/>
                <w:szCs w:val="20"/>
              </w:rPr>
              <w:t>éal</w:t>
            </w: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14:paraId="76D1C038" w14:textId="77777777" w:rsidR="00BD7E6B" w:rsidRPr="002E4977" w:rsidRDefault="00BD7E6B" w:rsidP="00BD7E6B">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T</w:t>
            </w:r>
            <w:r w:rsidR="0015077C" w:rsidRPr="002E4977">
              <w:rPr>
                <w:rFonts w:ascii="Segoe UI" w:eastAsia="Times New Roman" w:hAnsi="Segoe UI" w:cs="Segoe UI"/>
                <w:sz w:val="20"/>
                <w:szCs w:val="20"/>
              </w:rPr>
              <w:t xml:space="preserve">aux </w:t>
            </w:r>
            <w:r w:rsidRPr="002E4977">
              <w:rPr>
                <w:rFonts w:ascii="Segoe UI" w:eastAsia="Times New Roman" w:hAnsi="Segoe UI" w:cs="Segoe UI"/>
                <w:sz w:val="20"/>
                <w:szCs w:val="20"/>
              </w:rPr>
              <w:t>(%)</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14:paraId="67C825E5" w14:textId="77777777" w:rsidR="00BD7E6B" w:rsidRPr="002E4977" w:rsidRDefault="00BD7E6B" w:rsidP="00BF1343">
            <w:pPr>
              <w:spacing w:after="0" w:line="240" w:lineRule="auto"/>
              <w:jc w:val="center"/>
              <w:rPr>
                <w:rFonts w:ascii="Segoe UI" w:eastAsia="Times New Roman" w:hAnsi="Segoe UI" w:cs="Segoe UI"/>
                <w:sz w:val="20"/>
                <w:szCs w:val="20"/>
              </w:rPr>
            </w:pPr>
            <w:proofErr w:type="spellStart"/>
            <w:r w:rsidRPr="002E4977">
              <w:rPr>
                <w:rFonts w:ascii="Segoe UI" w:eastAsia="Times New Roman" w:hAnsi="Segoe UI" w:cs="Segoe UI"/>
                <w:sz w:val="20"/>
                <w:szCs w:val="20"/>
              </w:rPr>
              <w:t>P</w:t>
            </w:r>
            <w:r w:rsidR="0015077C" w:rsidRPr="002E4977">
              <w:rPr>
                <w:rFonts w:ascii="Segoe UI" w:eastAsia="Times New Roman" w:hAnsi="Segoe UI" w:cs="Segoe UI"/>
                <w:sz w:val="20"/>
                <w:szCs w:val="20"/>
              </w:rPr>
              <w:t>rév</w:t>
            </w:r>
            <w:proofErr w:type="spellEnd"/>
            <w:r w:rsidR="00BF1343" w:rsidRPr="002E4977">
              <w:rPr>
                <w:rFonts w:ascii="Segoe UI" w:eastAsia="Times New Roman" w:hAnsi="Segoe UI" w:cs="Segoe UI"/>
                <w:sz w:val="20"/>
                <w:szCs w:val="20"/>
              </w:rPr>
              <w:t>.</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462B536" w14:textId="77777777" w:rsidR="00BD7E6B" w:rsidRPr="002E4977" w:rsidRDefault="0015077C" w:rsidP="004109D4">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Réal.</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9CE8520" w14:textId="77777777" w:rsidR="00BD7E6B" w:rsidRPr="002E4977" w:rsidRDefault="00BD7E6B" w:rsidP="0015077C">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T</w:t>
            </w:r>
            <w:r w:rsidR="0015077C" w:rsidRPr="002E4977">
              <w:rPr>
                <w:rFonts w:ascii="Segoe UI" w:eastAsia="Times New Roman" w:hAnsi="Segoe UI" w:cs="Segoe UI"/>
                <w:sz w:val="20"/>
                <w:szCs w:val="20"/>
              </w:rPr>
              <w:t>aux</w:t>
            </w:r>
            <w:r w:rsidRPr="002E4977">
              <w:rPr>
                <w:rFonts w:ascii="Segoe UI" w:eastAsia="Times New Roman" w:hAnsi="Segoe UI" w:cs="Segoe UI"/>
                <w:sz w:val="20"/>
                <w:szCs w:val="20"/>
              </w:rPr>
              <w:t xml:space="preserve"> (%)</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D5F26B" w14:textId="522B8526" w:rsidR="00BD7E6B" w:rsidRPr="002E4977" w:rsidRDefault="00CF7ABB" w:rsidP="00BD7E6B">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Valeur</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44C1CBE3" w14:textId="77777777" w:rsidR="00924AB0" w:rsidRPr="002E4977" w:rsidRDefault="0015077C" w:rsidP="00BD7E6B">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T</w:t>
            </w:r>
            <w:r w:rsidR="00924AB0" w:rsidRPr="002E4977">
              <w:rPr>
                <w:rFonts w:ascii="Segoe UI" w:eastAsia="Times New Roman" w:hAnsi="Segoe UI" w:cs="Segoe UI"/>
                <w:sz w:val="20"/>
                <w:szCs w:val="20"/>
              </w:rPr>
              <w:t>aux</w:t>
            </w:r>
          </w:p>
          <w:p w14:paraId="59B79536" w14:textId="77777777" w:rsidR="00BD7E6B" w:rsidRPr="002E4977" w:rsidRDefault="0015077C" w:rsidP="00A855FB">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d'</w:t>
            </w:r>
            <w:proofErr w:type="spellStart"/>
            <w:r w:rsidRPr="002E4977">
              <w:rPr>
                <w:rFonts w:ascii="Segoe UI" w:eastAsia="Times New Roman" w:hAnsi="Segoe UI" w:cs="Segoe UI"/>
                <w:sz w:val="20"/>
                <w:szCs w:val="20"/>
              </w:rPr>
              <w:t>accroi</w:t>
            </w:r>
            <w:proofErr w:type="spellEnd"/>
            <w:r w:rsidR="00A855FB" w:rsidRPr="002E4977">
              <w:rPr>
                <w:rFonts w:ascii="Segoe UI" w:eastAsia="Times New Roman" w:hAnsi="Segoe UI" w:cs="Segoe UI"/>
                <w:sz w:val="20"/>
                <w:szCs w:val="20"/>
              </w:rPr>
              <w:t>.</w:t>
            </w:r>
          </w:p>
        </w:tc>
      </w:tr>
      <w:tr w:rsidR="00BF1343" w:rsidRPr="008A65E9" w14:paraId="7CFC114E" w14:textId="77777777" w:rsidTr="00A855FB">
        <w:trPr>
          <w:trHeight w:val="525"/>
        </w:trPr>
        <w:tc>
          <w:tcPr>
            <w:tcW w:w="1701" w:type="dxa"/>
            <w:tcBorders>
              <w:top w:val="nil"/>
              <w:left w:val="nil"/>
              <w:bottom w:val="nil"/>
              <w:right w:val="nil"/>
            </w:tcBorders>
            <w:shd w:val="clear" w:color="auto" w:fill="auto"/>
            <w:noWrap/>
            <w:vAlign w:val="bottom"/>
            <w:hideMark/>
          </w:tcPr>
          <w:p w14:paraId="339EF8ED" w14:textId="77777777" w:rsidR="00BD7E6B" w:rsidRPr="002E4977" w:rsidRDefault="00BD7E6B" w:rsidP="00BD7E6B">
            <w:pPr>
              <w:spacing w:after="0" w:line="240" w:lineRule="auto"/>
              <w:rPr>
                <w:rFonts w:ascii="Segoe UI" w:eastAsia="Times New Roman" w:hAnsi="Segoe UI" w:cs="Segoe UI"/>
                <w:sz w:val="20"/>
                <w:szCs w:val="20"/>
              </w:rPr>
            </w:pPr>
          </w:p>
        </w:tc>
        <w:tc>
          <w:tcPr>
            <w:tcW w:w="851" w:type="dxa"/>
            <w:vMerge/>
            <w:tcBorders>
              <w:top w:val="nil"/>
              <w:left w:val="single" w:sz="4" w:space="0" w:color="auto"/>
              <w:bottom w:val="single" w:sz="4" w:space="0" w:color="auto"/>
              <w:right w:val="single" w:sz="4" w:space="0" w:color="auto"/>
            </w:tcBorders>
            <w:vAlign w:val="center"/>
            <w:hideMark/>
          </w:tcPr>
          <w:p w14:paraId="74C0684C" w14:textId="77777777" w:rsidR="00BD7E6B" w:rsidRPr="002E4977" w:rsidRDefault="00BD7E6B" w:rsidP="00BD7E6B">
            <w:pPr>
              <w:spacing w:after="0" w:line="240" w:lineRule="auto"/>
              <w:rPr>
                <w:rFonts w:ascii="Segoe UI" w:eastAsia="Times New Roman" w:hAnsi="Segoe UI" w:cs="Segoe UI"/>
                <w:sz w:val="20"/>
                <w:szCs w:val="20"/>
              </w:rPr>
            </w:pPr>
          </w:p>
        </w:tc>
        <w:tc>
          <w:tcPr>
            <w:tcW w:w="1176" w:type="dxa"/>
            <w:vMerge/>
            <w:tcBorders>
              <w:top w:val="nil"/>
              <w:left w:val="single" w:sz="4" w:space="0" w:color="auto"/>
              <w:bottom w:val="single" w:sz="4" w:space="0" w:color="auto"/>
              <w:right w:val="single" w:sz="4" w:space="0" w:color="auto"/>
            </w:tcBorders>
            <w:vAlign w:val="center"/>
            <w:hideMark/>
          </w:tcPr>
          <w:p w14:paraId="146E2166" w14:textId="77777777" w:rsidR="00BD7E6B" w:rsidRPr="002E4977" w:rsidRDefault="00BD7E6B" w:rsidP="00BD7E6B">
            <w:pPr>
              <w:spacing w:after="0" w:line="240" w:lineRule="auto"/>
              <w:rPr>
                <w:rFonts w:ascii="Segoe UI" w:eastAsia="Times New Roman" w:hAnsi="Segoe UI" w:cs="Segoe UI"/>
                <w:sz w:val="20"/>
                <w:szCs w:val="20"/>
              </w:rPr>
            </w:pPr>
          </w:p>
        </w:tc>
        <w:tc>
          <w:tcPr>
            <w:tcW w:w="810" w:type="dxa"/>
            <w:vMerge/>
            <w:tcBorders>
              <w:top w:val="nil"/>
              <w:left w:val="single" w:sz="4" w:space="0" w:color="auto"/>
              <w:bottom w:val="single" w:sz="4" w:space="0" w:color="auto"/>
              <w:right w:val="single" w:sz="4" w:space="0" w:color="auto"/>
            </w:tcBorders>
            <w:vAlign w:val="center"/>
            <w:hideMark/>
          </w:tcPr>
          <w:p w14:paraId="60040E36" w14:textId="77777777" w:rsidR="00BD7E6B" w:rsidRPr="002E4977" w:rsidRDefault="00BD7E6B" w:rsidP="00BD7E6B">
            <w:pPr>
              <w:spacing w:after="0" w:line="240" w:lineRule="auto"/>
              <w:rPr>
                <w:rFonts w:ascii="Segoe UI" w:eastAsia="Times New Roman" w:hAnsi="Segoe UI" w:cs="Segoe UI"/>
                <w:sz w:val="20"/>
                <w:szCs w:val="20"/>
              </w:rPr>
            </w:pPr>
          </w:p>
        </w:tc>
        <w:tc>
          <w:tcPr>
            <w:tcW w:w="991" w:type="dxa"/>
            <w:vMerge/>
            <w:tcBorders>
              <w:top w:val="nil"/>
              <w:left w:val="single" w:sz="4" w:space="0" w:color="auto"/>
              <w:bottom w:val="single" w:sz="4" w:space="0" w:color="auto"/>
              <w:right w:val="single" w:sz="4" w:space="0" w:color="auto"/>
            </w:tcBorders>
            <w:vAlign w:val="center"/>
            <w:hideMark/>
          </w:tcPr>
          <w:p w14:paraId="16A20463" w14:textId="77777777" w:rsidR="00BD7E6B" w:rsidRPr="002E4977" w:rsidRDefault="00BD7E6B" w:rsidP="00BD7E6B">
            <w:pPr>
              <w:spacing w:after="0" w:line="240" w:lineRule="auto"/>
              <w:rPr>
                <w:rFonts w:ascii="Segoe UI" w:eastAsia="Times New Roman" w:hAnsi="Segoe UI" w:cs="Segoe UI"/>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608F0A7A" w14:textId="77777777" w:rsidR="00BD7E6B" w:rsidRPr="002E4977" w:rsidRDefault="00BD7E6B" w:rsidP="00BD7E6B">
            <w:pPr>
              <w:spacing w:after="0" w:line="240" w:lineRule="auto"/>
              <w:rPr>
                <w:rFonts w:ascii="Segoe UI" w:eastAsia="Times New Roman" w:hAnsi="Segoe UI" w:cs="Segoe UI"/>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14:paraId="6A91D338" w14:textId="77777777" w:rsidR="00BD7E6B" w:rsidRPr="002E4977" w:rsidRDefault="00BD7E6B" w:rsidP="00BD7E6B">
            <w:pPr>
              <w:spacing w:after="0" w:line="240" w:lineRule="auto"/>
              <w:rPr>
                <w:rFonts w:ascii="Segoe UI" w:eastAsia="Times New Roman" w:hAnsi="Segoe UI" w:cs="Segoe UI"/>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14:paraId="7760F092" w14:textId="77777777" w:rsidR="00BD7E6B" w:rsidRPr="002E4977" w:rsidRDefault="00BD7E6B" w:rsidP="00BD7E6B">
            <w:pPr>
              <w:spacing w:after="0" w:line="240" w:lineRule="auto"/>
              <w:rPr>
                <w:rFonts w:ascii="Segoe UI" w:eastAsia="Times New Roman" w:hAnsi="Segoe UI" w:cs="Segoe UI"/>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14:paraId="5CF9FA16" w14:textId="77777777" w:rsidR="00BD7E6B" w:rsidRPr="002E4977" w:rsidRDefault="00BD7E6B" w:rsidP="00BD7E6B">
            <w:pPr>
              <w:spacing w:after="0" w:line="240" w:lineRule="auto"/>
              <w:rPr>
                <w:rFonts w:ascii="Segoe UI" w:eastAsia="Times New Roman" w:hAnsi="Segoe UI" w:cs="Segoe UI"/>
                <w:sz w:val="20"/>
                <w:szCs w:val="20"/>
              </w:rPr>
            </w:pPr>
          </w:p>
        </w:tc>
      </w:tr>
      <w:tr w:rsidR="00BF1343" w:rsidRPr="008A65E9" w14:paraId="41AECECF" w14:textId="77777777" w:rsidTr="00A855FB">
        <w:trPr>
          <w:trHeight w:val="375"/>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0CC14" w14:textId="77777777" w:rsidR="00BD7E6B" w:rsidRPr="002E4977" w:rsidRDefault="00BD7E6B" w:rsidP="000428D6">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F N R B</w:t>
            </w:r>
          </w:p>
        </w:tc>
        <w:tc>
          <w:tcPr>
            <w:tcW w:w="851" w:type="dxa"/>
            <w:tcBorders>
              <w:top w:val="nil"/>
              <w:left w:val="nil"/>
              <w:bottom w:val="single" w:sz="4" w:space="0" w:color="auto"/>
              <w:right w:val="single" w:sz="4" w:space="0" w:color="auto"/>
            </w:tcBorders>
            <w:shd w:val="clear" w:color="auto" w:fill="auto"/>
            <w:noWrap/>
            <w:vAlign w:val="center"/>
            <w:hideMark/>
          </w:tcPr>
          <w:p w14:paraId="04120717" w14:textId="77777777" w:rsidR="00BD7E6B" w:rsidRPr="002E4977" w:rsidRDefault="00342BE8" w:rsidP="000428D6">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25 721</w:t>
            </w:r>
          </w:p>
        </w:tc>
        <w:tc>
          <w:tcPr>
            <w:tcW w:w="1176" w:type="dxa"/>
            <w:tcBorders>
              <w:top w:val="nil"/>
              <w:left w:val="nil"/>
              <w:bottom w:val="single" w:sz="4" w:space="0" w:color="auto"/>
              <w:right w:val="single" w:sz="4" w:space="0" w:color="auto"/>
            </w:tcBorders>
            <w:shd w:val="clear" w:color="auto" w:fill="auto"/>
            <w:noWrap/>
            <w:vAlign w:val="center"/>
            <w:hideMark/>
          </w:tcPr>
          <w:p w14:paraId="42A6BF84" w14:textId="77777777" w:rsidR="00BD7E6B" w:rsidRPr="002E4977" w:rsidRDefault="00342BE8" w:rsidP="000428D6">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4 812,9</w:t>
            </w:r>
          </w:p>
        </w:tc>
        <w:tc>
          <w:tcPr>
            <w:tcW w:w="810" w:type="dxa"/>
            <w:tcBorders>
              <w:top w:val="nil"/>
              <w:left w:val="nil"/>
              <w:bottom w:val="single" w:sz="4" w:space="0" w:color="auto"/>
              <w:right w:val="single" w:sz="4" w:space="0" w:color="auto"/>
            </w:tcBorders>
            <w:shd w:val="clear" w:color="auto" w:fill="auto"/>
            <w:noWrap/>
            <w:vAlign w:val="center"/>
            <w:hideMark/>
          </w:tcPr>
          <w:p w14:paraId="120E13B5" w14:textId="77777777" w:rsidR="00BD7E6B" w:rsidRPr="002E4977" w:rsidRDefault="00342BE8" w:rsidP="000428D6">
            <w:pPr>
              <w:spacing w:after="0" w:line="240" w:lineRule="auto"/>
              <w:jc w:val="center"/>
              <w:rPr>
                <w:rFonts w:ascii="Segoe UI" w:eastAsia="Times New Roman" w:hAnsi="Segoe UI" w:cs="Segoe UI"/>
                <w:bCs/>
                <w:i/>
                <w:iCs/>
                <w:sz w:val="20"/>
                <w:szCs w:val="20"/>
              </w:rPr>
            </w:pPr>
            <w:r w:rsidRPr="002E4977">
              <w:rPr>
                <w:rFonts w:ascii="Segoe UI" w:eastAsia="Times New Roman" w:hAnsi="Segoe UI" w:cs="Segoe UI"/>
                <w:bCs/>
                <w:i/>
                <w:iCs/>
                <w:sz w:val="20"/>
                <w:szCs w:val="20"/>
              </w:rPr>
              <w:t>18,7</w:t>
            </w:r>
          </w:p>
        </w:tc>
        <w:tc>
          <w:tcPr>
            <w:tcW w:w="991" w:type="dxa"/>
            <w:tcBorders>
              <w:top w:val="nil"/>
              <w:left w:val="nil"/>
              <w:bottom w:val="single" w:sz="4" w:space="0" w:color="auto"/>
              <w:right w:val="single" w:sz="4" w:space="0" w:color="auto"/>
            </w:tcBorders>
            <w:shd w:val="clear" w:color="auto" w:fill="auto"/>
            <w:noWrap/>
            <w:vAlign w:val="center"/>
            <w:hideMark/>
          </w:tcPr>
          <w:p w14:paraId="4116B7AF" w14:textId="77777777" w:rsidR="00BD7E6B" w:rsidRPr="002E4977" w:rsidRDefault="00342BE8" w:rsidP="000428D6">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25 400</w:t>
            </w:r>
          </w:p>
        </w:tc>
        <w:tc>
          <w:tcPr>
            <w:tcW w:w="1134" w:type="dxa"/>
            <w:tcBorders>
              <w:top w:val="nil"/>
              <w:left w:val="nil"/>
              <w:bottom w:val="single" w:sz="4" w:space="0" w:color="auto"/>
              <w:right w:val="single" w:sz="4" w:space="0" w:color="auto"/>
            </w:tcBorders>
            <w:shd w:val="clear" w:color="auto" w:fill="auto"/>
            <w:noWrap/>
            <w:vAlign w:val="center"/>
            <w:hideMark/>
          </w:tcPr>
          <w:p w14:paraId="1F917F81" w14:textId="77777777" w:rsidR="00BD7E6B" w:rsidRPr="002E4977" w:rsidRDefault="00342BE8" w:rsidP="000428D6">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4 649,9</w:t>
            </w:r>
          </w:p>
        </w:tc>
        <w:tc>
          <w:tcPr>
            <w:tcW w:w="992" w:type="dxa"/>
            <w:tcBorders>
              <w:top w:val="nil"/>
              <w:left w:val="nil"/>
              <w:bottom w:val="single" w:sz="4" w:space="0" w:color="auto"/>
              <w:right w:val="single" w:sz="4" w:space="0" w:color="auto"/>
            </w:tcBorders>
            <w:shd w:val="clear" w:color="auto" w:fill="auto"/>
            <w:noWrap/>
            <w:vAlign w:val="center"/>
            <w:hideMark/>
          </w:tcPr>
          <w:p w14:paraId="2BD543EB" w14:textId="77777777" w:rsidR="00BD7E6B" w:rsidRPr="002E4977" w:rsidRDefault="00342BE8" w:rsidP="000428D6">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18,3</w:t>
            </w:r>
          </w:p>
        </w:tc>
        <w:tc>
          <w:tcPr>
            <w:tcW w:w="992" w:type="dxa"/>
            <w:tcBorders>
              <w:top w:val="nil"/>
              <w:left w:val="nil"/>
              <w:bottom w:val="single" w:sz="4" w:space="0" w:color="auto"/>
              <w:right w:val="single" w:sz="4" w:space="0" w:color="auto"/>
            </w:tcBorders>
            <w:shd w:val="clear" w:color="auto" w:fill="auto"/>
            <w:noWrap/>
            <w:vAlign w:val="center"/>
            <w:hideMark/>
          </w:tcPr>
          <w:p w14:paraId="2F9B4FDC" w14:textId="77777777" w:rsidR="00BD7E6B" w:rsidRPr="002E4977" w:rsidRDefault="004109D4" w:rsidP="000428D6">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w:t>
            </w:r>
            <w:r w:rsidR="008D5B75" w:rsidRPr="002E4977">
              <w:rPr>
                <w:rFonts w:ascii="Segoe UI" w:eastAsia="Times New Roman" w:hAnsi="Segoe UI" w:cs="Segoe UI"/>
                <w:sz w:val="20"/>
                <w:szCs w:val="20"/>
              </w:rPr>
              <w:t>163,0</w:t>
            </w:r>
          </w:p>
        </w:tc>
        <w:tc>
          <w:tcPr>
            <w:tcW w:w="1276" w:type="dxa"/>
            <w:tcBorders>
              <w:top w:val="nil"/>
              <w:left w:val="nil"/>
              <w:bottom w:val="single" w:sz="4" w:space="0" w:color="auto"/>
              <w:right w:val="single" w:sz="4" w:space="0" w:color="auto"/>
            </w:tcBorders>
            <w:shd w:val="clear" w:color="auto" w:fill="auto"/>
            <w:noWrap/>
            <w:vAlign w:val="center"/>
            <w:hideMark/>
          </w:tcPr>
          <w:p w14:paraId="74537B51" w14:textId="77777777" w:rsidR="00BD7E6B" w:rsidRPr="002E4977" w:rsidRDefault="004109D4" w:rsidP="000428D6">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w:t>
            </w:r>
            <w:r w:rsidR="00AF5124" w:rsidRPr="002E4977">
              <w:rPr>
                <w:rFonts w:ascii="Segoe UI" w:eastAsia="Times New Roman" w:hAnsi="Segoe UI" w:cs="Segoe UI"/>
                <w:sz w:val="20"/>
                <w:szCs w:val="20"/>
              </w:rPr>
              <w:t>3,4</w:t>
            </w:r>
          </w:p>
        </w:tc>
      </w:tr>
      <w:tr w:rsidR="00342BE8" w:rsidRPr="008A65E9" w14:paraId="5F1C7FAE" w14:textId="77777777" w:rsidTr="00A855FB">
        <w:trPr>
          <w:trHeight w:val="57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6A40A2C1" w14:textId="77777777" w:rsidR="0040105B" w:rsidRPr="002E4977" w:rsidRDefault="0015077C" w:rsidP="0040105B">
            <w:pPr>
              <w:spacing w:after="0" w:line="240" w:lineRule="auto"/>
              <w:rPr>
                <w:rFonts w:ascii="Segoe UI" w:eastAsia="Times New Roman" w:hAnsi="Segoe UI" w:cs="Segoe UI"/>
                <w:sz w:val="20"/>
                <w:szCs w:val="20"/>
              </w:rPr>
            </w:pPr>
            <w:r w:rsidRPr="002E4977">
              <w:rPr>
                <w:rFonts w:ascii="Segoe UI" w:eastAsia="Times New Roman" w:hAnsi="Segoe UI" w:cs="Segoe UI"/>
                <w:sz w:val="20"/>
                <w:szCs w:val="20"/>
              </w:rPr>
              <w:t>Fonds R</w:t>
            </w:r>
            <w:r w:rsidR="0040105B" w:rsidRPr="002E4977">
              <w:rPr>
                <w:rFonts w:ascii="Segoe UI" w:eastAsia="Times New Roman" w:hAnsi="Segoe UI" w:cs="Segoe UI"/>
                <w:sz w:val="20"/>
                <w:szCs w:val="20"/>
              </w:rPr>
              <w:t>outier</w:t>
            </w:r>
          </w:p>
          <w:p w14:paraId="4CB0B1DC" w14:textId="77777777" w:rsidR="00342BE8" w:rsidRPr="002E4977" w:rsidRDefault="00342BE8" w:rsidP="0040105B">
            <w:pPr>
              <w:spacing w:after="0" w:line="240" w:lineRule="auto"/>
              <w:rPr>
                <w:rFonts w:ascii="Segoe UI" w:eastAsia="Times New Roman" w:hAnsi="Segoe UI" w:cs="Segoe UI"/>
                <w:sz w:val="20"/>
                <w:szCs w:val="20"/>
              </w:rPr>
            </w:pPr>
            <w:r w:rsidRPr="002E4977">
              <w:rPr>
                <w:rFonts w:ascii="Segoe UI" w:eastAsia="Times New Roman" w:hAnsi="Segoe UI" w:cs="Segoe UI"/>
                <w:sz w:val="20"/>
                <w:szCs w:val="20"/>
              </w:rPr>
              <w:t>(</w:t>
            </w:r>
            <w:r w:rsidR="0040105B" w:rsidRPr="002E4977">
              <w:rPr>
                <w:rFonts w:ascii="Segoe UI" w:eastAsia="Times New Roman" w:hAnsi="Segoe UI" w:cs="Segoe UI"/>
                <w:sz w:val="20"/>
                <w:szCs w:val="20"/>
              </w:rPr>
              <w:t xml:space="preserve">Ressources </w:t>
            </w:r>
            <w:r w:rsidRPr="002E4977">
              <w:rPr>
                <w:rFonts w:ascii="Segoe UI" w:eastAsia="Times New Roman" w:hAnsi="Segoe UI" w:cs="Segoe UI"/>
                <w:sz w:val="20"/>
                <w:szCs w:val="20"/>
              </w:rPr>
              <w:t>propres</w:t>
            </w:r>
            <w:r w:rsidR="0040105B" w:rsidRPr="002E4977">
              <w:rPr>
                <w:rFonts w:ascii="Segoe UI" w:eastAsia="Times New Roman" w:hAnsi="Segoe UI" w:cs="Segoe UI"/>
                <w:sz w:val="20"/>
                <w:szCs w:val="20"/>
              </w:rPr>
              <w:t>)</w:t>
            </w:r>
          </w:p>
        </w:tc>
        <w:tc>
          <w:tcPr>
            <w:tcW w:w="851" w:type="dxa"/>
            <w:tcBorders>
              <w:top w:val="nil"/>
              <w:left w:val="nil"/>
              <w:bottom w:val="single" w:sz="4" w:space="0" w:color="auto"/>
              <w:right w:val="single" w:sz="4" w:space="0" w:color="auto"/>
            </w:tcBorders>
            <w:shd w:val="clear" w:color="auto" w:fill="auto"/>
            <w:noWrap/>
            <w:vAlign w:val="center"/>
            <w:hideMark/>
          </w:tcPr>
          <w:p w14:paraId="31A42668" w14:textId="77777777" w:rsidR="00342BE8" w:rsidRPr="002E4977" w:rsidRDefault="00342BE8" w:rsidP="000428D6">
            <w:pPr>
              <w:jc w:val="center"/>
              <w:rPr>
                <w:rFonts w:ascii="Segoe UI" w:hAnsi="Segoe UI" w:cs="Segoe UI"/>
                <w:sz w:val="20"/>
                <w:szCs w:val="20"/>
              </w:rPr>
            </w:pPr>
            <w:r w:rsidRPr="002E4977">
              <w:rPr>
                <w:rFonts w:ascii="Segoe UI" w:hAnsi="Segoe UI" w:cs="Segoe UI"/>
                <w:sz w:val="20"/>
                <w:szCs w:val="20"/>
              </w:rPr>
              <w:t>3 456</w:t>
            </w:r>
          </w:p>
        </w:tc>
        <w:tc>
          <w:tcPr>
            <w:tcW w:w="1176" w:type="dxa"/>
            <w:tcBorders>
              <w:top w:val="nil"/>
              <w:left w:val="nil"/>
              <w:bottom w:val="single" w:sz="4" w:space="0" w:color="auto"/>
              <w:right w:val="single" w:sz="4" w:space="0" w:color="auto"/>
            </w:tcBorders>
            <w:shd w:val="clear" w:color="auto" w:fill="auto"/>
            <w:noWrap/>
            <w:vAlign w:val="center"/>
            <w:hideMark/>
          </w:tcPr>
          <w:p w14:paraId="01622353" w14:textId="77777777" w:rsidR="00342BE8" w:rsidRPr="002E4977" w:rsidRDefault="00342BE8" w:rsidP="000428D6">
            <w:pPr>
              <w:jc w:val="center"/>
              <w:rPr>
                <w:rFonts w:ascii="Segoe UI" w:hAnsi="Segoe UI" w:cs="Segoe UI"/>
                <w:sz w:val="20"/>
                <w:szCs w:val="20"/>
              </w:rPr>
            </w:pPr>
            <w:r w:rsidRPr="002E4977">
              <w:rPr>
                <w:rFonts w:ascii="Segoe UI" w:hAnsi="Segoe UI" w:cs="Segoe UI"/>
                <w:sz w:val="20"/>
                <w:szCs w:val="20"/>
              </w:rPr>
              <w:t>872,2</w:t>
            </w:r>
          </w:p>
        </w:tc>
        <w:tc>
          <w:tcPr>
            <w:tcW w:w="810" w:type="dxa"/>
            <w:tcBorders>
              <w:top w:val="nil"/>
              <w:left w:val="nil"/>
              <w:bottom w:val="single" w:sz="4" w:space="0" w:color="auto"/>
              <w:right w:val="single" w:sz="4" w:space="0" w:color="auto"/>
            </w:tcBorders>
            <w:shd w:val="clear" w:color="auto" w:fill="auto"/>
            <w:noWrap/>
            <w:vAlign w:val="center"/>
            <w:hideMark/>
          </w:tcPr>
          <w:p w14:paraId="2CF1DBD4" w14:textId="77777777" w:rsidR="00342BE8" w:rsidRPr="002E4977" w:rsidRDefault="00342BE8" w:rsidP="000428D6">
            <w:pPr>
              <w:jc w:val="center"/>
              <w:rPr>
                <w:rFonts w:ascii="Segoe UI" w:hAnsi="Segoe UI" w:cs="Segoe UI"/>
                <w:sz w:val="20"/>
                <w:szCs w:val="20"/>
              </w:rPr>
            </w:pPr>
            <w:r w:rsidRPr="002E4977">
              <w:rPr>
                <w:rFonts w:ascii="Segoe UI" w:hAnsi="Segoe UI" w:cs="Segoe UI"/>
                <w:sz w:val="20"/>
                <w:szCs w:val="20"/>
              </w:rPr>
              <w:t>25,2</w:t>
            </w:r>
          </w:p>
        </w:tc>
        <w:tc>
          <w:tcPr>
            <w:tcW w:w="991" w:type="dxa"/>
            <w:tcBorders>
              <w:top w:val="nil"/>
              <w:left w:val="nil"/>
              <w:bottom w:val="single" w:sz="4" w:space="0" w:color="auto"/>
              <w:right w:val="single" w:sz="4" w:space="0" w:color="auto"/>
            </w:tcBorders>
            <w:shd w:val="clear" w:color="auto" w:fill="auto"/>
            <w:noWrap/>
            <w:vAlign w:val="center"/>
            <w:hideMark/>
          </w:tcPr>
          <w:p w14:paraId="558B2217" w14:textId="77777777" w:rsidR="00342BE8" w:rsidRPr="002E4977" w:rsidRDefault="00342BE8" w:rsidP="000428D6">
            <w:pPr>
              <w:jc w:val="center"/>
              <w:rPr>
                <w:rFonts w:ascii="Segoe UI" w:hAnsi="Segoe UI" w:cs="Segoe UI"/>
                <w:sz w:val="20"/>
                <w:szCs w:val="20"/>
              </w:rPr>
            </w:pPr>
            <w:r w:rsidRPr="002E4977">
              <w:rPr>
                <w:rFonts w:ascii="Segoe UI" w:hAnsi="Segoe UI" w:cs="Segoe UI"/>
                <w:sz w:val="20"/>
                <w:szCs w:val="20"/>
              </w:rPr>
              <w:t>4 400</w:t>
            </w:r>
          </w:p>
        </w:tc>
        <w:tc>
          <w:tcPr>
            <w:tcW w:w="1134" w:type="dxa"/>
            <w:tcBorders>
              <w:top w:val="nil"/>
              <w:left w:val="nil"/>
              <w:bottom w:val="single" w:sz="4" w:space="0" w:color="auto"/>
              <w:right w:val="single" w:sz="4" w:space="0" w:color="auto"/>
            </w:tcBorders>
            <w:shd w:val="clear" w:color="auto" w:fill="auto"/>
            <w:noWrap/>
            <w:vAlign w:val="center"/>
            <w:hideMark/>
          </w:tcPr>
          <w:p w14:paraId="55A7BC09" w14:textId="77777777" w:rsidR="00342BE8" w:rsidRPr="002E4977" w:rsidRDefault="00342BE8" w:rsidP="000428D6">
            <w:pPr>
              <w:jc w:val="center"/>
              <w:rPr>
                <w:rFonts w:ascii="Segoe UI" w:hAnsi="Segoe UI" w:cs="Segoe UI"/>
                <w:sz w:val="20"/>
                <w:szCs w:val="20"/>
              </w:rPr>
            </w:pPr>
            <w:r w:rsidRPr="002E4977">
              <w:rPr>
                <w:rFonts w:ascii="Segoe UI" w:hAnsi="Segoe UI" w:cs="Segoe UI"/>
                <w:sz w:val="20"/>
                <w:szCs w:val="20"/>
              </w:rPr>
              <w:t>520,0</w:t>
            </w:r>
          </w:p>
        </w:tc>
        <w:tc>
          <w:tcPr>
            <w:tcW w:w="992" w:type="dxa"/>
            <w:tcBorders>
              <w:top w:val="nil"/>
              <w:left w:val="nil"/>
              <w:bottom w:val="single" w:sz="4" w:space="0" w:color="auto"/>
              <w:right w:val="single" w:sz="4" w:space="0" w:color="auto"/>
            </w:tcBorders>
            <w:shd w:val="clear" w:color="auto" w:fill="auto"/>
            <w:noWrap/>
            <w:vAlign w:val="center"/>
            <w:hideMark/>
          </w:tcPr>
          <w:p w14:paraId="1EE5882D" w14:textId="77777777" w:rsidR="00342BE8" w:rsidRPr="002E4977" w:rsidRDefault="00342BE8" w:rsidP="000428D6">
            <w:pPr>
              <w:jc w:val="center"/>
              <w:rPr>
                <w:rFonts w:ascii="Segoe UI" w:hAnsi="Segoe UI" w:cs="Segoe UI"/>
                <w:sz w:val="20"/>
                <w:szCs w:val="20"/>
              </w:rPr>
            </w:pPr>
            <w:r w:rsidRPr="002E4977">
              <w:rPr>
                <w:rFonts w:ascii="Segoe UI" w:hAnsi="Segoe UI" w:cs="Segoe UI"/>
                <w:sz w:val="20"/>
                <w:szCs w:val="20"/>
              </w:rPr>
              <w:t>11,8</w:t>
            </w:r>
          </w:p>
        </w:tc>
        <w:tc>
          <w:tcPr>
            <w:tcW w:w="992" w:type="dxa"/>
            <w:tcBorders>
              <w:top w:val="nil"/>
              <w:left w:val="nil"/>
              <w:bottom w:val="single" w:sz="4" w:space="0" w:color="auto"/>
              <w:right w:val="single" w:sz="4" w:space="0" w:color="auto"/>
            </w:tcBorders>
            <w:shd w:val="clear" w:color="auto" w:fill="auto"/>
            <w:noWrap/>
            <w:vAlign w:val="center"/>
            <w:hideMark/>
          </w:tcPr>
          <w:p w14:paraId="66A5F731" w14:textId="77777777" w:rsidR="00342BE8" w:rsidRPr="002E4977" w:rsidRDefault="00342BE8" w:rsidP="000428D6">
            <w:pPr>
              <w:jc w:val="center"/>
              <w:rPr>
                <w:rFonts w:ascii="Segoe UI" w:hAnsi="Segoe UI" w:cs="Segoe UI"/>
                <w:sz w:val="20"/>
                <w:szCs w:val="20"/>
              </w:rPr>
            </w:pPr>
            <w:r w:rsidRPr="002E4977">
              <w:rPr>
                <w:rFonts w:ascii="Segoe UI" w:hAnsi="Segoe UI" w:cs="Segoe UI"/>
                <w:sz w:val="20"/>
                <w:szCs w:val="20"/>
              </w:rPr>
              <w:t>-</w:t>
            </w:r>
            <w:r w:rsidR="00B5625D" w:rsidRPr="002E4977">
              <w:rPr>
                <w:rFonts w:ascii="Segoe UI" w:hAnsi="Segoe UI" w:cs="Segoe UI"/>
                <w:sz w:val="20"/>
                <w:szCs w:val="20"/>
              </w:rPr>
              <w:t>352,2</w:t>
            </w:r>
          </w:p>
        </w:tc>
        <w:tc>
          <w:tcPr>
            <w:tcW w:w="1276" w:type="dxa"/>
            <w:tcBorders>
              <w:top w:val="nil"/>
              <w:left w:val="nil"/>
              <w:bottom w:val="single" w:sz="4" w:space="0" w:color="auto"/>
              <w:right w:val="single" w:sz="4" w:space="0" w:color="auto"/>
            </w:tcBorders>
            <w:shd w:val="clear" w:color="auto" w:fill="auto"/>
            <w:noWrap/>
            <w:vAlign w:val="center"/>
            <w:hideMark/>
          </w:tcPr>
          <w:p w14:paraId="080912A2" w14:textId="77777777" w:rsidR="00342BE8" w:rsidRPr="002E4977" w:rsidRDefault="00580505" w:rsidP="000428D6">
            <w:pPr>
              <w:jc w:val="center"/>
              <w:rPr>
                <w:rFonts w:ascii="Segoe UI" w:hAnsi="Segoe UI" w:cs="Segoe UI"/>
                <w:sz w:val="20"/>
                <w:szCs w:val="20"/>
              </w:rPr>
            </w:pPr>
            <w:r w:rsidRPr="002E4977">
              <w:rPr>
                <w:rFonts w:ascii="Segoe UI" w:hAnsi="Segoe UI" w:cs="Segoe UI"/>
                <w:sz w:val="20"/>
                <w:szCs w:val="20"/>
              </w:rPr>
              <w:t>- 40,4</w:t>
            </w:r>
          </w:p>
        </w:tc>
      </w:tr>
      <w:tr w:rsidR="00342BE8" w:rsidRPr="008A65E9" w14:paraId="13D43735" w14:textId="77777777" w:rsidTr="00DF00CA">
        <w:trPr>
          <w:trHeight w:val="39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635B2434" w14:textId="77777777" w:rsidR="00342BE8" w:rsidRPr="002E4977" w:rsidRDefault="00342BE8" w:rsidP="00DF00CA">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 xml:space="preserve">C A </w:t>
            </w:r>
            <w:proofErr w:type="spellStart"/>
            <w:r w:rsidRPr="002E4977">
              <w:rPr>
                <w:rFonts w:ascii="Segoe UI" w:eastAsia="Times New Roman" w:hAnsi="Segoe UI" w:cs="Segoe UI"/>
                <w:sz w:val="20"/>
                <w:szCs w:val="20"/>
              </w:rPr>
              <w:t>A</w:t>
            </w:r>
            <w:proofErr w:type="spellEnd"/>
          </w:p>
        </w:tc>
        <w:tc>
          <w:tcPr>
            <w:tcW w:w="851" w:type="dxa"/>
            <w:tcBorders>
              <w:top w:val="nil"/>
              <w:left w:val="nil"/>
              <w:bottom w:val="single" w:sz="4" w:space="0" w:color="auto"/>
              <w:right w:val="single" w:sz="4" w:space="0" w:color="auto"/>
            </w:tcBorders>
            <w:shd w:val="clear" w:color="auto" w:fill="auto"/>
            <w:noWrap/>
            <w:vAlign w:val="center"/>
            <w:hideMark/>
          </w:tcPr>
          <w:p w14:paraId="3A88D19B" w14:textId="77777777" w:rsidR="00342BE8" w:rsidRPr="002E4977" w:rsidRDefault="00342BE8" w:rsidP="00DF00CA">
            <w:pPr>
              <w:jc w:val="center"/>
              <w:rPr>
                <w:rFonts w:ascii="Segoe UI" w:hAnsi="Segoe UI" w:cs="Segoe UI"/>
                <w:sz w:val="20"/>
                <w:szCs w:val="20"/>
              </w:rPr>
            </w:pPr>
            <w:r w:rsidRPr="002E4977">
              <w:rPr>
                <w:rFonts w:ascii="Segoe UI" w:hAnsi="Segoe UI" w:cs="Segoe UI"/>
                <w:sz w:val="20"/>
                <w:szCs w:val="20"/>
              </w:rPr>
              <w:t>4 000</w:t>
            </w:r>
          </w:p>
        </w:tc>
        <w:tc>
          <w:tcPr>
            <w:tcW w:w="1176" w:type="dxa"/>
            <w:tcBorders>
              <w:top w:val="nil"/>
              <w:left w:val="nil"/>
              <w:bottom w:val="single" w:sz="4" w:space="0" w:color="auto"/>
              <w:right w:val="single" w:sz="4" w:space="0" w:color="auto"/>
            </w:tcBorders>
            <w:shd w:val="clear" w:color="auto" w:fill="auto"/>
            <w:noWrap/>
            <w:vAlign w:val="center"/>
            <w:hideMark/>
          </w:tcPr>
          <w:p w14:paraId="2DDE04AC" w14:textId="77777777" w:rsidR="00342BE8" w:rsidRPr="002E4977" w:rsidRDefault="00342BE8" w:rsidP="00DF00CA">
            <w:pPr>
              <w:jc w:val="center"/>
              <w:rPr>
                <w:rFonts w:ascii="Segoe UI" w:hAnsi="Segoe UI" w:cs="Segoe UI"/>
                <w:sz w:val="20"/>
                <w:szCs w:val="20"/>
              </w:rPr>
            </w:pPr>
            <w:r w:rsidRPr="002E4977">
              <w:rPr>
                <w:rFonts w:ascii="Segoe UI" w:hAnsi="Segoe UI" w:cs="Segoe UI"/>
                <w:sz w:val="20"/>
                <w:szCs w:val="20"/>
              </w:rPr>
              <w:t>504,4</w:t>
            </w:r>
          </w:p>
        </w:tc>
        <w:tc>
          <w:tcPr>
            <w:tcW w:w="810" w:type="dxa"/>
            <w:tcBorders>
              <w:top w:val="nil"/>
              <w:left w:val="nil"/>
              <w:bottom w:val="single" w:sz="4" w:space="0" w:color="auto"/>
              <w:right w:val="single" w:sz="4" w:space="0" w:color="auto"/>
            </w:tcBorders>
            <w:shd w:val="clear" w:color="auto" w:fill="auto"/>
            <w:noWrap/>
            <w:vAlign w:val="center"/>
            <w:hideMark/>
          </w:tcPr>
          <w:p w14:paraId="3965FA66" w14:textId="77777777" w:rsidR="00342BE8" w:rsidRPr="002E4977" w:rsidRDefault="00342BE8" w:rsidP="00DF00CA">
            <w:pPr>
              <w:jc w:val="center"/>
              <w:rPr>
                <w:rFonts w:ascii="Segoe UI" w:hAnsi="Segoe UI" w:cs="Segoe UI"/>
                <w:sz w:val="20"/>
                <w:szCs w:val="20"/>
              </w:rPr>
            </w:pPr>
            <w:r w:rsidRPr="002E4977">
              <w:rPr>
                <w:rFonts w:ascii="Segoe UI" w:hAnsi="Segoe UI" w:cs="Segoe UI"/>
                <w:sz w:val="20"/>
                <w:szCs w:val="20"/>
              </w:rPr>
              <w:t>12,6</w:t>
            </w:r>
          </w:p>
        </w:tc>
        <w:tc>
          <w:tcPr>
            <w:tcW w:w="991" w:type="dxa"/>
            <w:tcBorders>
              <w:top w:val="nil"/>
              <w:left w:val="nil"/>
              <w:bottom w:val="single" w:sz="4" w:space="0" w:color="auto"/>
              <w:right w:val="single" w:sz="4" w:space="0" w:color="auto"/>
            </w:tcBorders>
            <w:shd w:val="clear" w:color="auto" w:fill="auto"/>
            <w:noWrap/>
            <w:vAlign w:val="center"/>
            <w:hideMark/>
          </w:tcPr>
          <w:p w14:paraId="1843F293" w14:textId="77777777" w:rsidR="00342BE8" w:rsidRPr="002E4977" w:rsidRDefault="00342BE8" w:rsidP="00DF00CA">
            <w:pPr>
              <w:jc w:val="center"/>
              <w:rPr>
                <w:rFonts w:ascii="Segoe UI" w:hAnsi="Segoe UI" w:cs="Segoe UI"/>
                <w:sz w:val="20"/>
                <w:szCs w:val="20"/>
              </w:rPr>
            </w:pPr>
            <w:r w:rsidRPr="002E4977">
              <w:rPr>
                <w:rFonts w:ascii="Segoe UI" w:hAnsi="Segoe UI" w:cs="Segoe UI"/>
                <w:sz w:val="20"/>
                <w:szCs w:val="20"/>
              </w:rPr>
              <w:t>3 300</w:t>
            </w:r>
          </w:p>
        </w:tc>
        <w:tc>
          <w:tcPr>
            <w:tcW w:w="1134" w:type="dxa"/>
            <w:tcBorders>
              <w:top w:val="nil"/>
              <w:left w:val="nil"/>
              <w:bottom w:val="single" w:sz="4" w:space="0" w:color="auto"/>
              <w:right w:val="single" w:sz="4" w:space="0" w:color="auto"/>
            </w:tcBorders>
            <w:shd w:val="clear" w:color="auto" w:fill="auto"/>
            <w:noWrap/>
            <w:vAlign w:val="center"/>
            <w:hideMark/>
          </w:tcPr>
          <w:p w14:paraId="01BDAAE0" w14:textId="77777777" w:rsidR="00342BE8" w:rsidRPr="002E4977" w:rsidRDefault="00342BE8" w:rsidP="00DF00CA">
            <w:pPr>
              <w:jc w:val="center"/>
              <w:rPr>
                <w:rFonts w:ascii="Segoe UI" w:hAnsi="Segoe UI" w:cs="Segoe UI"/>
                <w:sz w:val="20"/>
                <w:szCs w:val="20"/>
              </w:rPr>
            </w:pPr>
            <w:r w:rsidRPr="002E4977">
              <w:rPr>
                <w:rFonts w:ascii="Segoe UI" w:hAnsi="Segoe UI" w:cs="Segoe UI"/>
                <w:sz w:val="20"/>
                <w:szCs w:val="20"/>
              </w:rPr>
              <w:t>6 595,3</w:t>
            </w:r>
          </w:p>
        </w:tc>
        <w:tc>
          <w:tcPr>
            <w:tcW w:w="992" w:type="dxa"/>
            <w:tcBorders>
              <w:top w:val="nil"/>
              <w:left w:val="nil"/>
              <w:bottom w:val="single" w:sz="4" w:space="0" w:color="auto"/>
              <w:right w:val="single" w:sz="4" w:space="0" w:color="auto"/>
            </w:tcBorders>
            <w:shd w:val="clear" w:color="auto" w:fill="auto"/>
            <w:noWrap/>
            <w:vAlign w:val="center"/>
            <w:hideMark/>
          </w:tcPr>
          <w:p w14:paraId="64511310" w14:textId="77777777" w:rsidR="00342BE8" w:rsidRPr="002E4977" w:rsidRDefault="00342BE8" w:rsidP="00DF00CA">
            <w:pPr>
              <w:jc w:val="center"/>
              <w:rPr>
                <w:rFonts w:ascii="Segoe UI" w:hAnsi="Segoe UI" w:cs="Segoe UI"/>
                <w:sz w:val="20"/>
                <w:szCs w:val="20"/>
              </w:rPr>
            </w:pPr>
            <w:r w:rsidRPr="002E4977">
              <w:rPr>
                <w:rFonts w:ascii="Segoe UI" w:hAnsi="Segoe UI" w:cs="Segoe UI"/>
                <w:sz w:val="20"/>
                <w:szCs w:val="20"/>
              </w:rPr>
              <w:t>199,9</w:t>
            </w:r>
          </w:p>
        </w:tc>
        <w:tc>
          <w:tcPr>
            <w:tcW w:w="992" w:type="dxa"/>
            <w:tcBorders>
              <w:top w:val="nil"/>
              <w:left w:val="nil"/>
              <w:bottom w:val="single" w:sz="4" w:space="0" w:color="auto"/>
              <w:right w:val="single" w:sz="4" w:space="0" w:color="auto"/>
            </w:tcBorders>
            <w:shd w:val="clear" w:color="auto" w:fill="auto"/>
            <w:noWrap/>
            <w:vAlign w:val="center"/>
            <w:hideMark/>
          </w:tcPr>
          <w:p w14:paraId="155535CB" w14:textId="77777777" w:rsidR="00342BE8" w:rsidRPr="002E4977" w:rsidRDefault="00B5625D" w:rsidP="00DF00CA">
            <w:pPr>
              <w:jc w:val="center"/>
              <w:rPr>
                <w:rFonts w:ascii="Segoe UI" w:hAnsi="Segoe UI" w:cs="Segoe UI"/>
                <w:sz w:val="20"/>
                <w:szCs w:val="20"/>
              </w:rPr>
            </w:pPr>
            <w:r w:rsidRPr="002E4977">
              <w:rPr>
                <w:rFonts w:ascii="Segoe UI" w:hAnsi="Segoe UI" w:cs="Segoe UI"/>
                <w:sz w:val="20"/>
                <w:szCs w:val="20"/>
              </w:rPr>
              <w:t>6 090,9</w:t>
            </w:r>
          </w:p>
        </w:tc>
        <w:tc>
          <w:tcPr>
            <w:tcW w:w="1276" w:type="dxa"/>
            <w:tcBorders>
              <w:top w:val="nil"/>
              <w:left w:val="nil"/>
              <w:bottom w:val="single" w:sz="4" w:space="0" w:color="auto"/>
              <w:right w:val="single" w:sz="4" w:space="0" w:color="auto"/>
            </w:tcBorders>
            <w:shd w:val="clear" w:color="auto" w:fill="auto"/>
            <w:noWrap/>
            <w:vAlign w:val="center"/>
            <w:hideMark/>
          </w:tcPr>
          <w:p w14:paraId="00FD6339" w14:textId="77777777" w:rsidR="00342BE8" w:rsidRPr="002E4977" w:rsidRDefault="00B5625D" w:rsidP="00DF00CA">
            <w:pPr>
              <w:jc w:val="center"/>
              <w:rPr>
                <w:rFonts w:ascii="Segoe UI" w:hAnsi="Segoe UI" w:cs="Segoe UI"/>
                <w:sz w:val="20"/>
                <w:szCs w:val="20"/>
              </w:rPr>
            </w:pPr>
            <w:r w:rsidRPr="002E4977">
              <w:rPr>
                <w:rFonts w:ascii="Segoe UI" w:hAnsi="Segoe UI" w:cs="Segoe UI"/>
                <w:sz w:val="20"/>
                <w:szCs w:val="20"/>
              </w:rPr>
              <w:t>1 207,6</w:t>
            </w:r>
          </w:p>
        </w:tc>
      </w:tr>
      <w:tr w:rsidR="00342BE8" w:rsidRPr="008A65E9" w14:paraId="72A70EC8" w14:textId="77777777" w:rsidTr="00A855FB">
        <w:trPr>
          <w:trHeight w:val="46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4F56BA41" w14:textId="77777777" w:rsidR="00342BE8" w:rsidRPr="002E4977" w:rsidRDefault="00342BE8" w:rsidP="000428D6">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TOTAL</w:t>
            </w:r>
          </w:p>
        </w:tc>
        <w:tc>
          <w:tcPr>
            <w:tcW w:w="851" w:type="dxa"/>
            <w:tcBorders>
              <w:top w:val="nil"/>
              <w:left w:val="nil"/>
              <w:bottom w:val="single" w:sz="4" w:space="0" w:color="auto"/>
              <w:right w:val="single" w:sz="4" w:space="0" w:color="auto"/>
            </w:tcBorders>
            <w:shd w:val="clear" w:color="auto" w:fill="auto"/>
            <w:noWrap/>
            <w:vAlign w:val="center"/>
            <w:hideMark/>
          </w:tcPr>
          <w:p w14:paraId="4D343853" w14:textId="77777777" w:rsidR="00342BE8" w:rsidRPr="002E4977" w:rsidRDefault="00121F86" w:rsidP="00141275">
            <w:pPr>
              <w:rPr>
                <w:rFonts w:ascii="Segoe UI" w:hAnsi="Segoe UI" w:cs="Segoe UI"/>
                <w:sz w:val="20"/>
                <w:szCs w:val="20"/>
              </w:rPr>
            </w:pPr>
            <w:r w:rsidRPr="002E4977">
              <w:rPr>
                <w:rFonts w:ascii="Segoe UI" w:hAnsi="Segoe UI" w:cs="Segoe UI"/>
                <w:sz w:val="20"/>
                <w:szCs w:val="20"/>
              </w:rPr>
              <w:t>33</w:t>
            </w:r>
            <w:r w:rsidR="00342BE8" w:rsidRPr="002E4977">
              <w:rPr>
                <w:rFonts w:ascii="Segoe UI" w:hAnsi="Segoe UI" w:cs="Segoe UI"/>
                <w:sz w:val="20"/>
                <w:szCs w:val="20"/>
              </w:rPr>
              <w:t>177</w:t>
            </w:r>
          </w:p>
        </w:tc>
        <w:tc>
          <w:tcPr>
            <w:tcW w:w="1176" w:type="dxa"/>
            <w:tcBorders>
              <w:top w:val="nil"/>
              <w:left w:val="nil"/>
              <w:bottom w:val="single" w:sz="4" w:space="0" w:color="auto"/>
              <w:right w:val="single" w:sz="4" w:space="0" w:color="auto"/>
            </w:tcBorders>
            <w:shd w:val="clear" w:color="auto" w:fill="auto"/>
            <w:noWrap/>
            <w:vAlign w:val="center"/>
            <w:hideMark/>
          </w:tcPr>
          <w:p w14:paraId="6761AF1A" w14:textId="77777777" w:rsidR="00342BE8" w:rsidRPr="002E4977" w:rsidRDefault="00342BE8" w:rsidP="000428D6">
            <w:pPr>
              <w:jc w:val="center"/>
              <w:rPr>
                <w:rFonts w:ascii="Segoe UI" w:hAnsi="Segoe UI" w:cs="Segoe UI"/>
                <w:sz w:val="20"/>
                <w:szCs w:val="20"/>
              </w:rPr>
            </w:pPr>
            <w:r w:rsidRPr="002E4977">
              <w:rPr>
                <w:rFonts w:ascii="Segoe UI" w:hAnsi="Segoe UI" w:cs="Segoe UI"/>
                <w:sz w:val="20"/>
                <w:szCs w:val="20"/>
              </w:rPr>
              <w:t>6 189,5</w:t>
            </w:r>
          </w:p>
        </w:tc>
        <w:tc>
          <w:tcPr>
            <w:tcW w:w="810" w:type="dxa"/>
            <w:tcBorders>
              <w:top w:val="nil"/>
              <w:left w:val="nil"/>
              <w:bottom w:val="single" w:sz="4" w:space="0" w:color="auto"/>
              <w:right w:val="single" w:sz="4" w:space="0" w:color="auto"/>
            </w:tcBorders>
            <w:shd w:val="clear" w:color="auto" w:fill="auto"/>
            <w:noWrap/>
            <w:vAlign w:val="center"/>
            <w:hideMark/>
          </w:tcPr>
          <w:p w14:paraId="29876851" w14:textId="77777777" w:rsidR="00342BE8" w:rsidRPr="002E4977" w:rsidRDefault="00342BE8" w:rsidP="000428D6">
            <w:pPr>
              <w:jc w:val="center"/>
              <w:rPr>
                <w:rFonts w:ascii="Segoe UI" w:hAnsi="Segoe UI" w:cs="Segoe UI"/>
                <w:sz w:val="20"/>
                <w:szCs w:val="20"/>
              </w:rPr>
            </w:pPr>
            <w:r w:rsidRPr="002E4977">
              <w:rPr>
                <w:rFonts w:ascii="Segoe UI" w:hAnsi="Segoe UI" w:cs="Segoe UI"/>
                <w:sz w:val="20"/>
                <w:szCs w:val="20"/>
              </w:rPr>
              <w:t>18,7</w:t>
            </w:r>
          </w:p>
        </w:tc>
        <w:tc>
          <w:tcPr>
            <w:tcW w:w="991" w:type="dxa"/>
            <w:tcBorders>
              <w:top w:val="nil"/>
              <w:left w:val="nil"/>
              <w:bottom w:val="single" w:sz="4" w:space="0" w:color="auto"/>
              <w:right w:val="single" w:sz="4" w:space="0" w:color="auto"/>
            </w:tcBorders>
            <w:shd w:val="clear" w:color="auto" w:fill="auto"/>
            <w:noWrap/>
            <w:vAlign w:val="center"/>
            <w:hideMark/>
          </w:tcPr>
          <w:p w14:paraId="4AB9A62B" w14:textId="77777777" w:rsidR="00342BE8" w:rsidRPr="002E4977" w:rsidRDefault="00342BE8" w:rsidP="000428D6">
            <w:pPr>
              <w:jc w:val="center"/>
              <w:rPr>
                <w:rFonts w:ascii="Segoe UI" w:hAnsi="Segoe UI" w:cs="Segoe UI"/>
                <w:sz w:val="20"/>
                <w:szCs w:val="20"/>
              </w:rPr>
            </w:pPr>
            <w:r w:rsidRPr="002E4977">
              <w:rPr>
                <w:rFonts w:ascii="Segoe UI" w:hAnsi="Segoe UI" w:cs="Segoe UI"/>
                <w:sz w:val="20"/>
                <w:szCs w:val="20"/>
              </w:rPr>
              <w:t>33 100</w:t>
            </w:r>
          </w:p>
        </w:tc>
        <w:tc>
          <w:tcPr>
            <w:tcW w:w="1134" w:type="dxa"/>
            <w:tcBorders>
              <w:top w:val="nil"/>
              <w:left w:val="nil"/>
              <w:bottom w:val="single" w:sz="4" w:space="0" w:color="auto"/>
              <w:right w:val="single" w:sz="4" w:space="0" w:color="auto"/>
            </w:tcBorders>
            <w:shd w:val="clear" w:color="auto" w:fill="auto"/>
            <w:noWrap/>
            <w:vAlign w:val="center"/>
            <w:hideMark/>
          </w:tcPr>
          <w:p w14:paraId="4F28A90B" w14:textId="77777777" w:rsidR="00342BE8" w:rsidRPr="002E4977" w:rsidRDefault="00342BE8" w:rsidP="000428D6">
            <w:pPr>
              <w:jc w:val="center"/>
              <w:rPr>
                <w:rFonts w:ascii="Segoe UI" w:hAnsi="Segoe UI" w:cs="Segoe UI"/>
                <w:sz w:val="20"/>
                <w:szCs w:val="20"/>
              </w:rPr>
            </w:pPr>
            <w:r w:rsidRPr="002E4977">
              <w:rPr>
                <w:rFonts w:ascii="Segoe UI" w:hAnsi="Segoe UI" w:cs="Segoe UI"/>
                <w:sz w:val="20"/>
                <w:szCs w:val="20"/>
              </w:rPr>
              <w:t>11 765,2</w:t>
            </w:r>
          </w:p>
        </w:tc>
        <w:tc>
          <w:tcPr>
            <w:tcW w:w="992" w:type="dxa"/>
            <w:tcBorders>
              <w:top w:val="nil"/>
              <w:left w:val="nil"/>
              <w:bottom w:val="single" w:sz="4" w:space="0" w:color="auto"/>
              <w:right w:val="single" w:sz="4" w:space="0" w:color="auto"/>
            </w:tcBorders>
            <w:shd w:val="clear" w:color="auto" w:fill="auto"/>
            <w:noWrap/>
            <w:vAlign w:val="center"/>
            <w:hideMark/>
          </w:tcPr>
          <w:p w14:paraId="65E9FAA3" w14:textId="77777777" w:rsidR="00342BE8" w:rsidRPr="002E4977" w:rsidRDefault="00342BE8" w:rsidP="000428D6">
            <w:pPr>
              <w:jc w:val="center"/>
              <w:rPr>
                <w:rFonts w:ascii="Segoe UI" w:hAnsi="Segoe UI" w:cs="Segoe UI"/>
                <w:sz w:val="20"/>
                <w:szCs w:val="20"/>
              </w:rPr>
            </w:pPr>
            <w:r w:rsidRPr="002E4977">
              <w:rPr>
                <w:rFonts w:ascii="Segoe UI" w:hAnsi="Segoe UI" w:cs="Segoe UI"/>
                <w:sz w:val="20"/>
                <w:szCs w:val="20"/>
              </w:rPr>
              <w:t>35,5</w:t>
            </w:r>
          </w:p>
        </w:tc>
        <w:tc>
          <w:tcPr>
            <w:tcW w:w="992" w:type="dxa"/>
            <w:tcBorders>
              <w:top w:val="nil"/>
              <w:left w:val="nil"/>
              <w:bottom w:val="single" w:sz="4" w:space="0" w:color="auto"/>
              <w:right w:val="single" w:sz="4" w:space="0" w:color="auto"/>
            </w:tcBorders>
            <w:shd w:val="clear" w:color="auto" w:fill="auto"/>
            <w:noWrap/>
            <w:vAlign w:val="center"/>
            <w:hideMark/>
          </w:tcPr>
          <w:p w14:paraId="5C4131C7" w14:textId="77777777" w:rsidR="00342BE8" w:rsidRPr="002E4977" w:rsidRDefault="00010A06" w:rsidP="000428D6">
            <w:pPr>
              <w:jc w:val="center"/>
              <w:rPr>
                <w:rFonts w:ascii="Segoe UI" w:hAnsi="Segoe UI" w:cs="Segoe UI"/>
                <w:sz w:val="20"/>
                <w:szCs w:val="20"/>
              </w:rPr>
            </w:pPr>
            <w:r w:rsidRPr="002E4977">
              <w:rPr>
                <w:rFonts w:ascii="Segoe UI" w:hAnsi="Segoe UI" w:cs="Segoe UI"/>
                <w:sz w:val="20"/>
                <w:szCs w:val="20"/>
              </w:rPr>
              <w:t>5 575,7</w:t>
            </w:r>
          </w:p>
        </w:tc>
        <w:tc>
          <w:tcPr>
            <w:tcW w:w="1276" w:type="dxa"/>
            <w:tcBorders>
              <w:top w:val="nil"/>
              <w:left w:val="nil"/>
              <w:bottom w:val="single" w:sz="4" w:space="0" w:color="auto"/>
              <w:right w:val="single" w:sz="4" w:space="0" w:color="auto"/>
            </w:tcBorders>
            <w:shd w:val="clear" w:color="auto" w:fill="auto"/>
            <w:noWrap/>
            <w:vAlign w:val="center"/>
            <w:hideMark/>
          </w:tcPr>
          <w:p w14:paraId="4C1F9514" w14:textId="77777777" w:rsidR="00342BE8" w:rsidRPr="002E4977" w:rsidRDefault="003D3C95" w:rsidP="000428D6">
            <w:pPr>
              <w:jc w:val="center"/>
              <w:rPr>
                <w:rFonts w:ascii="Segoe UI" w:hAnsi="Segoe UI" w:cs="Segoe UI"/>
                <w:sz w:val="20"/>
                <w:szCs w:val="20"/>
              </w:rPr>
            </w:pPr>
            <w:r w:rsidRPr="002E4977">
              <w:rPr>
                <w:rFonts w:ascii="Segoe UI" w:hAnsi="Segoe UI" w:cs="Segoe UI"/>
                <w:sz w:val="20"/>
                <w:szCs w:val="20"/>
              </w:rPr>
              <w:t>90,1</w:t>
            </w:r>
          </w:p>
        </w:tc>
      </w:tr>
    </w:tbl>
    <w:p w14:paraId="0DEF0BCA" w14:textId="77777777" w:rsidR="00D23496" w:rsidRPr="002E4977" w:rsidRDefault="00D23496" w:rsidP="009B6995">
      <w:pPr>
        <w:spacing w:after="0"/>
        <w:rPr>
          <w:rFonts w:ascii="Segoe UI" w:hAnsi="Segoe UI" w:cs="Segoe UI"/>
          <w:sz w:val="20"/>
          <w:szCs w:val="24"/>
        </w:rPr>
      </w:pPr>
      <w:r w:rsidRPr="002E4977">
        <w:rPr>
          <w:rFonts w:ascii="Segoe UI" w:hAnsi="Segoe UI" w:cs="Segoe UI"/>
          <w:b/>
          <w:sz w:val="20"/>
          <w:szCs w:val="24"/>
          <w:u w:val="single"/>
        </w:rPr>
        <w:t>Source</w:t>
      </w:r>
      <w:r w:rsidRPr="002E4977">
        <w:rPr>
          <w:rFonts w:ascii="Segoe UI" w:hAnsi="Segoe UI" w:cs="Segoe UI"/>
          <w:sz w:val="20"/>
          <w:szCs w:val="24"/>
        </w:rPr>
        <w:t>: MEF/DGB</w:t>
      </w:r>
      <w:r w:rsidR="00787A56" w:rsidRPr="002E4977">
        <w:rPr>
          <w:rFonts w:ascii="Segoe UI" w:hAnsi="Segoe UI" w:cs="Segoe UI"/>
          <w:sz w:val="20"/>
          <w:szCs w:val="24"/>
        </w:rPr>
        <w:t>/CAA/FR</w:t>
      </w:r>
      <w:r w:rsidRPr="002E4977">
        <w:rPr>
          <w:rFonts w:ascii="Segoe UI" w:hAnsi="Segoe UI" w:cs="Segoe UI"/>
          <w:sz w:val="20"/>
          <w:szCs w:val="24"/>
        </w:rPr>
        <w:t xml:space="preserve">, </w:t>
      </w:r>
      <w:r w:rsidR="00A96E3C" w:rsidRPr="002E4977">
        <w:rPr>
          <w:rFonts w:ascii="Segoe UI" w:hAnsi="Segoe UI" w:cs="Segoe UI"/>
          <w:sz w:val="20"/>
          <w:szCs w:val="24"/>
        </w:rPr>
        <w:t>avril</w:t>
      </w:r>
      <w:r w:rsidRPr="002E4977">
        <w:rPr>
          <w:rFonts w:ascii="Segoe UI" w:hAnsi="Segoe UI" w:cs="Segoe UI"/>
          <w:sz w:val="20"/>
          <w:szCs w:val="24"/>
        </w:rPr>
        <w:t xml:space="preserve"> 201</w:t>
      </w:r>
      <w:r w:rsidR="005C53A7" w:rsidRPr="002E4977">
        <w:rPr>
          <w:rFonts w:ascii="Segoe UI" w:hAnsi="Segoe UI" w:cs="Segoe UI"/>
          <w:sz w:val="20"/>
          <w:szCs w:val="24"/>
        </w:rPr>
        <w:t>7</w:t>
      </w:r>
    </w:p>
    <w:p w14:paraId="701E2870" w14:textId="77777777" w:rsidR="00C26A54" w:rsidRDefault="00C26A54" w:rsidP="009B6995">
      <w:pPr>
        <w:spacing w:after="0"/>
        <w:rPr>
          <w:rFonts w:ascii="Segoe UI" w:hAnsi="Segoe UI" w:cs="Segoe UI"/>
          <w:sz w:val="24"/>
          <w:szCs w:val="24"/>
        </w:rPr>
      </w:pPr>
    </w:p>
    <w:p w14:paraId="26A4050C" w14:textId="77777777" w:rsidR="0031784E" w:rsidRPr="00DF00CA" w:rsidRDefault="0031784E" w:rsidP="00EE68AF">
      <w:pPr>
        <w:pStyle w:val="Titre3"/>
        <w:spacing w:before="0"/>
        <w:rPr>
          <w:rFonts w:ascii="Segoe UI" w:hAnsi="Segoe UI" w:cs="Segoe UI"/>
          <w:sz w:val="10"/>
          <w:szCs w:val="24"/>
        </w:rPr>
      </w:pPr>
    </w:p>
    <w:p w14:paraId="567C92FA" w14:textId="041F7796" w:rsidR="0046336F" w:rsidRDefault="00050107" w:rsidP="0046336F">
      <w:pPr>
        <w:pStyle w:val="Titre3"/>
        <w:spacing w:before="0"/>
        <w:rPr>
          <w:rFonts w:ascii="Segoe UI" w:hAnsi="Segoe UI" w:cs="Segoe UI"/>
          <w:sz w:val="24"/>
          <w:szCs w:val="24"/>
        </w:rPr>
      </w:pPr>
      <w:bookmarkStart w:id="14" w:name="_Toc484105607"/>
      <w:r w:rsidRPr="001541CB">
        <w:rPr>
          <w:rFonts w:ascii="Segoe UI" w:hAnsi="Segoe UI" w:cs="Segoe UI"/>
          <w:sz w:val="24"/>
          <w:szCs w:val="24"/>
        </w:rPr>
        <w:t xml:space="preserve">A-3 </w:t>
      </w:r>
      <w:r w:rsidR="007C7AF8" w:rsidRPr="001541CB">
        <w:rPr>
          <w:rFonts w:ascii="Segoe UI" w:hAnsi="Segoe UI" w:cs="Segoe UI"/>
          <w:sz w:val="24"/>
          <w:szCs w:val="24"/>
        </w:rPr>
        <w:t>Comptes d’</w:t>
      </w:r>
      <w:r w:rsidR="00456B26" w:rsidRPr="001541CB">
        <w:rPr>
          <w:rFonts w:ascii="Segoe UI" w:hAnsi="Segoe UI" w:cs="Segoe UI"/>
          <w:sz w:val="24"/>
          <w:szCs w:val="24"/>
        </w:rPr>
        <w:t>A</w:t>
      </w:r>
      <w:r w:rsidR="007C7AF8" w:rsidRPr="001541CB">
        <w:rPr>
          <w:rFonts w:ascii="Segoe UI" w:hAnsi="Segoe UI" w:cs="Segoe UI"/>
          <w:sz w:val="24"/>
          <w:szCs w:val="24"/>
        </w:rPr>
        <w:t>ffectation Spéciale (CAS)</w:t>
      </w:r>
      <w:bookmarkEnd w:id="14"/>
    </w:p>
    <w:p w14:paraId="463B6526" w14:textId="77777777" w:rsidR="0046336F" w:rsidRPr="0046336F" w:rsidRDefault="0046336F" w:rsidP="0046336F">
      <w:pPr>
        <w:rPr>
          <w:sz w:val="6"/>
        </w:rPr>
      </w:pPr>
    </w:p>
    <w:p w14:paraId="441C615D" w14:textId="26EC09B8" w:rsidR="001656E1" w:rsidRPr="001541CB" w:rsidRDefault="003B5834" w:rsidP="00774D09">
      <w:pPr>
        <w:spacing w:line="360" w:lineRule="auto"/>
        <w:jc w:val="both"/>
        <w:rPr>
          <w:rFonts w:ascii="Segoe UI" w:hAnsi="Segoe UI" w:cs="Segoe UI"/>
          <w:sz w:val="24"/>
          <w:szCs w:val="24"/>
        </w:rPr>
      </w:pPr>
      <w:r w:rsidRPr="001541CB">
        <w:rPr>
          <w:rFonts w:ascii="Segoe UI" w:hAnsi="Segoe UI" w:cs="Segoe UI"/>
          <w:sz w:val="24"/>
          <w:szCs w:val="24"/>
        </w:rPr>
        <w:t xml:space="preserve">Les ressources </w:t>
      </w:r>
      <w:r w:rsidR="002A51FF">
        <w:rPr>
          <w:rFonts w:ascii="Segoe UI" w:hAnsi="Segoe UI" w:cs="Segoe UI"/>
          <w:sz w:val="24"/>
          <w:szCs w:val="24"/>
        </w:rPr>
        <w:t xml:space="preserve">inscrites </w:t>
      </w:r>
      <w:r w:rsidR="00B06C29" w:rsidRPr="001541CB">
        <w:rPr>
          <w:rFonts w:ascii="Segoe UI" w:hAnsi="Segoe UI" w:cs="Segoe UI"/>
          <w:sz w:val="24"/>
          <w:szCs w:val="24"/>
        </w:rPr>
        <w:t>au profit des Comptes d’Affectation Spéciale (CAS)</w:t>
      </w:r>
      <w:r w:rsidR="00075E45">
        <w:rPr>
          <w:rFonts w:ascii="Segoe UI" w:hAnsi="Segoe UI" w:cs="Segoe UI"/>
          <w:sz w:val="24"/>
          <w:szCs w:val="24"/>
        </w:rPr>
        <w:t xml:space="preserve"> </w:t>
      </w:r>
      <w:r w:rsidR="00075E45" w:rsidRPr="001541CB">
        <w:rPr>
          <w:rFonts w:ascii="Segoe UI" w:hAnsi="Segoe UI" w:cs="Segoe UI"/>
          <w:sz w:val="24"/>
          <w:szCs w:val="24"/>
        </w:rPr>
        <w:t>comprennent essentiellement les ressources des Opérations Militaires à l’Extérieur (OME) et celles du Partenariat Mondial pour l’Education (PME)</w:t>
      </w:r>
      <w:r w:rsidR="00075E45">
        <w:rPr>
          <w:rFonts w:ascii="Segoe UI" w:hAnsi="Segoe UI" w:cs="Segoe UI"/>
          <w:sz w:val="24"/>
          <w:szCs w:val="24"/>
        </w:rPr>
        <w:t>. A fin mars 2017,</w:t>
      </w:r>
      <w:r w:rsidR="00774D09">
        <w:rPr>
          <w:rFonts w:ascii="Segoe UI" w:hAnsi="Segoe UI" w:cs="Segoe UI"/>
          <w:sz w:val="24"/>
          <w:szCs w:val="24"/>
        </w:rPr>
        <w:t xml:space="preserve"> seulement 1 475,9</w:t>
      </w:r>
      <w:r w:rsidR="00E70CA9">
        <w:rPr>
          <w:rFonts w:ascii="Segoe UI" w:hAnsi="Segoe UI" w:cs="Segoe UI"/>
          <w:sz w:val="24"/>
          <w:szCs w:val="24"/>
        </w:rPr>
        <w:t xml:space="preserve"> millions de FCFA sont mobilisés sur une prévision annuelle de </w:t>
      </w:r>
      <w:r w:rsidR="006C1CA3" w:rsidRPr="002E4977">
        <w:rPr>
          <w:rFonts w:ascii="Segoe UI" w:hAnsi="Segoe UI" w:cs="Segoe UI"/>
          <w:sz w:val="24"/>
          <w:szCs w:val="24"/>
        </w:rPr>
        <w:t>23</w:t>
      </w:r>
      <w:r w:rsidR="006C1CA3">
        <w:rPr>
          <w:rFonts w:ascii="Segoe UI" w:hAnsi="Segoe UI" w:cs="Segoe UI"/>
          <w:sz w:val="24"/>
          <w:szCs w:val="24"/>
        </w:rPr>
        <w:t> </w:t>
      </w:r>
      <w:r w:rsidR="006C1CA3" w:rsidRPr="002E4977">
        <w:rPr>
          <w:rFonts w:ascii="Segoe UI" w:hAnsi="Segoe UI" w:cs="Segoe UI"/>
          <w:sz w:val="24"/>
          <w:szCs w:val="24"/>
        </w:rPr>
        <w:t>784</w:t>
      </w:r>
      <w:r w:rsidR="006C1CA3">
        <w:rPr>
          <w:rFonts w:ascii="Segoe UI" w:hAnsi="Segoe UI" w:cs="Segoe UI"/>
          <w:sz w:val="24"/>
          <w:szCs w:val="24"/>
        </w:rPr>
        <w:t xml:space="preserve"> millions de FCFA</w:t>
      </w:r>
      <w:r w:rsidR="008B4549">
        <w:rPr>
          <w:rFonts w:ascii="Segoe UI" w:hAnsi="Segoe UI" w:cs="Segoe UI"/>
          <w:sz w:val="24"/>
          <w:szCs w:val="24"/>
        </w:rPr>
        <w:t>, s</w:t>
      </w:r>
      <w:r w:rsidR="00774D09">
        <w:rPr>
          <w:rFonts w:ascii="Segoe UI" w:hAnsi="Segoe UI" w:cs="Segoe UI"/>
          <w:sz w:val="24"/>
          <w:szCs w:val="24"/>
        </w:rPr>
        <w:t>oit un taux de réalisation de 6</w:t>
      </w:r>
      <w:r w:rsidR="008B4549">
        <w:rPr>
          <w:rFonts w:ascii="Segoe UI" w:hAnsi="Segoe UI" w:cs="Segoe UI"/>
          <w:sz w:val="24"/>
          <w:szCs w:val="24"/>
        </w:rPr>
        <w:t>,</w:t>
      </w:r>
      <w:r w:rsidR="00774D09">
        <w:rPr>
          <w:rFonts w:ascii="Segoe UI" w:hAnsi="Segoe UI" w:cs="Segoe UI"/>
          <w:sz w:val="24"/>
          <w:szCs w:val="24"/>
        </w:rPr>
        <w:t>2</w:t>
      </w:r>
      <w:r w:rsidR="008B4549">
        <w:rPr>
          <w:rFonts w:ascii="Segoe UI" w:hAnsi="Segoe UI" w:cs="Segoe UI"/>
          <w:sz w:val="24"/>
          <w:szCs w:val="24"/>
        </w:rPr>
        <w:t>%</w:t>
      </w:r>
      <w:r w:rsidR="006C1CA3">
        <w:rPr>
          <w:rFonts w:ascii="Segoe UI" w:hAnsi="Segoe UI" w:cs="Segoe UI"/>
          <w:sz w:val="24"/>
          <w:szCs w:val="24"/>
        </w:rPr>
        <w:t xml:space="preserve">. Il faut souligner que ce niveau de mobilisation </w:t>
      </w:r>
      <w:r w:rsidR="00FC4A9C">
        <w:rPr>
          <w:rFonts w:ascii="Segoe UI" w:hAnsi="Segoe UI" w:cs="Segoe UI"/>
          <w:sz w:val="24"/>
          <w:szCs w:val="24"/>
        </w:rPr>
        <w:t xml:space="preserve">concerne uniquement le compte </w:t>
      </w:r>
      <w:r w:rsidR="00774D09">
        <w:rPr>
          <w:rFonts w:ascii="Segoe UI" w:hAnsi="Segoe UI" w:cs="Segoe UI"/>
          <w:sz w:val="24"/>
          <w:szCs w:val="24"/>
        </w:rPr>
        <w:t>Partenariat Mondial pour l’Education (PME).</w:t>
      </w:r>
      <w:r w:rsidR="002F581F" w:rsidRPr="001541CB">
        <w:rPr>
          <w:rFonts w:ascii="Segoe UI" w:hAnsi="Segoe UI" w:cs="Segoe UI"/>
          <w:sz w:val="24"/>
          <w:szCs w:val="24"/>
        </w:rPr>
        <w:t xml:space="preserve"> </w:t>
      </w:r>
    </w:p>
    <w:p w14:paraId="0FD016A9" w14:textId="77777777" w:rsidR="00F9594F" w:rsidRPr="001541CB" w:rsidRDefault="00230139" w:rsidP="00942A22">
      <w:pPr>
        <w:pStyle w:val="Titre3"/>
        <w:ind w:left="720"/>
        <w:rPr>
          <w:rFonts w:ascii="Segoe UI" w:hAnsi="Segoe UI" w:cs="Segoe UI"/>
          <w:sz w:val="24"/>
          <w:szCs w:val="24"/>
        </w:rPr>
      </w:pPr>
      <w:bookmarkStart w:id="15" w:name="_Toc484105608"/>
      <w:r w:rsidRPr="001541CB">
        <w:rPr>
          <w:rFonts w:ascii="Segoe UI" w:hAnsi="Segoe UI" w:cs="Segoe UI"/>
          <w:sz w:val="24"/>
          <w:szCs w:val="24"/>
        </w:rPr>
        <w:t xml:space="preserve">A-4 </w:t>
      </w:r>
      <w:r w:rsidR="007C7AF8" w:rsidRPr="001541CB">
        <w:rPr>
          <w:rFonts w:ascii="Segoe UI" w:hAnsi="Segoe UI" w:cs="Segoe UI"/>
          <w:sz w:val="24"/>
          <w:szCs w:val="24"/>
        </w:rPr>
        <w:t>A</w:t>
      </w:r>
      <w:r w:rsidR="00456B26" w:rsidRPr="001541CB">
        <w:rPr>
          <w:rFonts w:ascii="Segoe UI" w:hAnsi="Segoe UI" w:cs="Segoe UI"/>
          <w:sz w:val="24"/>
          <w:szCs w:val="24"/>
        </w:rPr>
        <w:t>utres recettes budgétaires</w:t>
      </w:r>
      <w:bookmarkEnd w:id="15"/>
    </w:p>
    <w:p w14:paraId="3D021E1F" w14:textId="77777777" w:rsidR="00395725" w:rsidRDefault="00120275" w:rsidP="00395725">
      <w:pPr>
        <w:spacing w:after="0" w:line="360" w:lineRule="auto"/>
        <w:jc w:val="both"/>
        <w:rPr>
          <w:rFonts w:ascii="Segoe UI" w:hAnsi="Segoe UI" w:cs="Segoe UI"/>
          <w:bCs/>
          <w:iCs/>
          <w:sz w:val="24"/>
          <w:szCs w:val="24"/>
        </w:rPr>
      </w:pPr>
      <w:r w:rsidRPr="001541CB">
        <w:rPr>
          <w:rFonts w:ascii="Segoe UI" w:hAnsi="Segoe UI" w:cs="Segoe UI"/>
          <w:bCs/>
          <w:iCs/>
          <w:sz w:val="24"/>
          <w:szCs w:val="24"/>
        </w:rPr>
        <w:t>Sont classés dans l</w:t>
      </w:r>
      <w:r w:rsidR="00D87365" w:rsidRPr="001541CB">
        <w:rPr>
          <w:rFonts w:ascii="Segoe UI" w:hAnsi="Segoe UI" w:cs="Segoe UI"/>
          <w:bCs/>
          <w:iCs/>
          <w:sz w:val="24"/>
          <w:szCs w:val="24"/>
        </w:rPr>
        <w:t>a catégorie des autres recettes budgétaires</w:t>
      </w:r>
      <w:r w:rsidRPr="001541CB">
        <w:rPr>
          <w:rFonts w:ascii="Segoe UI" w:hAnsi="Segoe UI" w:cs="Segoe UI"/>
          <w:bCs/>
          <w:iCs/>
          <w:sz w:val="24"/>
          <w:szCs w:val="24"/>
        </w:rPr>
        <w:t> :</w:t>
      </w:r>
      <w:r w:rsidR="00931EE8" w:rsidRPr="001541CB">
        <w:rPr>
          <w:rFonts w:ascii="Segoe UI" w:hAnsi="Segoe UI" w:cs="Segoe UI"/>
          <w:bCs/>
          <w:iCs/>
          <w:sz w:val="24"/>
          <w:szCs w:val="24"/>
        </w:rPr>
        <w:t xml:space="preserve"> </w:t>
      </w:r>
      <w:r w:rsidR="00D87365" w:rsidRPr="001541CB">
        <w:rPr>
          <w:rFonts w:ascii="Segoe UI" w:hAnsi="Segoe UI" w:cs="Segoe UI"/>
          <w:bCs/>
          <w:iCs/>
          <w:sz w:val="24"/>
          <w:szCs w:val="24"/>
        </w:rPr>
        <w:t>l</w:t>
      </w:r>
      <w:r w:rsidR="00293D0A" w:rsidRPr="001541CB">
        <w:rPr>
          <w:rFonts w:ascii="Segoe UI" w:hAnsi="Segoe UI" w:cs="Segoe UI"/>
          <w:bCs/>
          <w:iCs/>
          <w:sz w:val="24"/>
          <w:szCs w:val="24"/>
        </w:rPr>
        <w:t>es</w:t>
      </w:r>
      <w:r w:rsidR="00383DEC" w:rsidRPr="001541CB">
        <w:rPr>
          <w:rFonts w:ascii="Segoe UI" w:hAnsi="Segoe UI" w:cs="Segoe UI"/>
          <w:bCs/>
          <w:iCs/>
          <w:sz w:val="24"/>
          <w:szCs w:val="24"/>
        </w:rPr>
        <w:t xml:space="preserve"> produits issus des</w:t>
      </w:r>
      <w:r w:rsidR="00931EE8" w:rsidRPr="001541CB">
        <w:rPr>
          <w:rFonts w:ascii="Segoe UI" w:hAnsi="Segoe UI" w:cs="Segoe UI"/>
          <w:bCs/>
          <w:iCs/>
          <w:sz w:val="24"/>
          <w:szCs w:val="24"/>
        </w:rPr>
        <w:t xml:space="preserve"> </w:t>
      </w:r>
      <w:r w:rsidR="004D4123" w:rsidRPr="001541CB">
        <w:rPr>
          <w:rFonts w:ascii="Segoe UI" w:hAnsi="Segoe UI" w:cs="Segoe UI"/>
          <w:bCs/>
          <w:iCs/>
          <w:sz w:val="24"/>
          <w:szCs w:val="24"/>
        </w:rPr>
        <w:t>allègements de la dette, les dons budgétaires, les fonds de concours et les recettes assimilées</w:t>
      </w:r>
      <w:r w:rsidR="00452CB4" w:rsidRPr="001541CB">
        <w:rPr>
          <w:rFonts w:ascii="Segoe UI" w:hAnsi="Segoe UI" w:cs="Segoe UI"/>
          <w:bCs/>
          <w:iCs/>
          <w:sz w:val="24"/>
          <w:szCs w:val="24"/>
        </w:rPr>
        <w:t>.</w:t>
      </w:r>
    </w:p>
    <w:p w14:paraId="154A651B" w14:textId="0D447CCF" w:rsidR="007D1E20" w:rsidRDefault="00BA50FF" w:rsidP="00293D0A">
      <w:pPr>
        <w:spacing w:line="360" w:lineRule="auto"/>
        <w:jc w:val="both"/>
        <w:rPr>
          <w:rFonts w:ascii="Segoe UI" w:hAnsi="Segoe UI" w:cs="Segoe UI"/>
          <w:bCs/>
          <w:iCs/>
          <w:sz w:val="24"/>
          <w:szCs w:val="24"/>
        </w:rPr>
      </w:pPr>
      <w:r w:rsidRPr="001541CB">
        <w:rPr>
          <w:rFonts w:ascii="Segoe UI" w:hAnsi="Segoe UI" w:cs="Segoe UI"/>
          <w:bCs/>
          <w:iCs/>
          <w:sz w:val="24"/>
          <w:szCs w:val="24"/>
        </w:rPr>
        <w:t>Il est à signal</w:t>
      </w:r>
      <w:r w:rsidR="002D07EC">
        <w:rPr>
          <w:rFonts w:ascii="Segoe UI" w:hAnsi="Segoe UI" w:cs="Segoe UI"/>
          <w:bCs/>
          <w:iCs/>
          <w:sz w:val="24"/>
          <w:szCs w:val="24"/>
        </w:rPr>
        <w:t>er</w:t>
      </w:r>
      <w:r w:rsidRPr="001541CB">
        <w:rPr>
          <w:rFonts w:ascii="Segoe UI" w:hAnsi="Segoe UI" w:cs="Segoe UI"/>
          <w:bCs/>
          <w:iCs/>
          <w:sz w:val="24"/>
          <w:szCs w:val="24"/>
        </w:rPr>
        <w:t xml:space="preserve"> qu’aucune mobilisation n’a été réalisée au titre des dons budgétaires et allègement de la dette (IPPTE). Seuls les fonds de concours et recettes assimilées ont connu un début de mobilisation, soit 6 035 millions de FCFA des prévisions annuelles de 60 300 millions de FCFA</w:t>
      </w:r>
      <w:r w:rsidR="003A7786" w:rsidRPr="001541CB">
        <w:rPr>
          <w:rFonts w:ascii="Segoe UI" w:hAnsi="Segoe UI" w:cs="Segoe UI"/>
          <w:bCs/>
          <w:iCs/>
          <w:sz w:val="24"/>
          <w:szCs w:val="24"/>
        </w:rPr>
        <w:t>,</w:t>
      </w:r>
      <w:r w:rsidRPr="001541CB">
        <w:rPr>
          <w:rFonts w:ascii="Segoe UI" w:hAnsi="Segoe UI" w:cs="Segoe UI"/>
          <w:bCs/>
          <w:iCs/>
          <w:sz w:val="24"/>
          <w:szCs w:val="24"/>
        </w:rPr>
        <w:t xml:space="preserve"> </w:t>
      </w:r>
      <w:r w:rsidR="00680038" w:rsidRPr="001541CB">
        <w:rPr>
          <w:rFonts w:ascii="Segoe UI" w:hAnsi="Segoe UI" w:cs="Segoe UI"/>
          <w:bCs/>
          <w:iCs/>
          <w:sz w:val="24"/>
          <w:szCs w:val="24"/>
        </w:rPr>
        <w:t>correspondant à un taux de réalisation de 10%.</w:t>
      </w:r>
    </w:p>
    <w:p w14:paraId="28425306" w14:textId="7DBCA9FE" w:rsidR="00DB5229" w:rsidRPr="001541CB" w:rsidRDefault="00DB5229" w:rsidP="00293D0A">
      <w:pPr>
        <w:spacing w:line="360" w:lineRule="auto"/>
        <w:jc w:val="both"/>
        <w:rPr>
          <w:rFonts w:ascii="Segoe UI" w:hAnsi="Segoe UI" w:cs="Segoe UI"/>
          <w:bCs/>
          <w:iCs/>
          <w:sz w:val="24"/>
          <w:szCs w:val="24"/>
        </w:rPr>
      </w:pPr>
      <w:r>
        <w:rPr>
          <w:rFonts w:ascii="Segoe UI" w:hAnsi="Segoe UI" w:cs="Segoe UI"/>
          <w:bCs/>
          <w:iCs/>
          <w:sz w:val="24"/>
          <w:szCs w:val="24"/>
        </w:rPr>
        <w:lastRenderedPageBreak/>
        <w:t xml:space="preserve">Somme toute, sur une prévision globale de </w:t>
      </w:r>
      <w:r w:rsidR="007859C6">
        <w:rPr>
          <w:rFonts w:ascii="Segoe UI" w:hAnsi="Segoe UI" w:cs="Segoe UI"/>
          <w:bCs/>
          <w:iCs/>
          <w:sz w:val="24"/>
          <w:szCs w:val="24"/>
        </w:rPr>
        <w:t>84</w:t>
      </w:r>
      <w:r w:rsidR="008249E6">
        <w:rPr>
          <w:rFonts w:ascii="Segoe UI" w:hAnsi="Segoe UI" w:cs="Segoe UI"/>
          <w:bCs/>
          <w:iCs/>
          <w:sz w:val="24"/>
          <w:szCs w:val="24"/>
        </w:rPr>
        <w:t> </w:t>
      </w:r>
      <w:r w:rsidR="007859C6">
        <w:rPr>
          <w:rFonts w:ascii="Segoe UI" w:hAnsi="Segoe UI" w:cs="Segoe UI"/>
          <w:bCs/>
          <w:iCs/>
          <w:sz w:val="24"/>
          <w:szCs w:val="24"/>
        </w:rPr>
        <w:t>140</w:t>
      </w:r>
      <w:r w:rsidR="008249E6">
        <w:rPr>
          <w:rFonts w:ascii="Segoe UI" w:hAnsi="Segoe UI" w:cs="Segoe UI"/>
          <w:bCs/>
          <w:iCs/>
          <w:sz w:val="24"/>
          <w:szCs w:val="24"/>
        </w:rPr>
        <w:t xml:space="preserve"> millions de FCFA, les autres ressources budgétaires affichent un taux de 7, 2% à fin mars 2017.</w:t>
      </w:r>
    </w:p>
    <w:p w14:paraId="6215681E" w14:textId="77777777" w:rsidR="00B45FF7" w:rsidRDefault="007D1E20" w:rsidP="000C178C">
      <w:pPr>
        <w:spacing w:after="0" w:line="360" w:lineRule="auto"/>
        <w:jc w:val="both"/>
        <w:rPr>
          <w:rFonts w:ascii="Segoe UI" w:hAnsi="Segoe UI" w:cs="Segoe UI"/>
          <w:bCs/>
          <w:iCs/>
          <w:sz w:val="24"/>
          <w:szCs w:val="24"/>
        </w:rPr>
      </w:pPr>
      <w:r w:rsidRPr="001541CB">
        <w:rPr>
          <w:rFonts w:ascii="Segoe UI" w:hAnsi="Segoe UI" w:cs="Segoe UI"/>
          <w:bCs/>
          <w:iCs/>
          <w:sz w:val="24"/>
          <w:szCs w:val="24"/>
        </w:rPr>
        <w:t xml:space="preserve">Le </w:t>
      </w:r>
      <w:r w:rsidR="00D6545F" w:rsidRPr="001541CB">
        <w:rPr>
          <w:rFonts w:ascii="Segoe UI" w:hAnsi="Segoe UI" w:cs="Segoe UI"/>
          <w:bCs/>
          <w:iCs/>
          <w:sz w:val="24"/>
          <w:szCs w:val="24"/>
        </w:rPr>
        <w:t xml:space="preserve">tableau n° </w:t>
      </w:r>
      <w:r w:rsidR="00DB61B3" w:rsidRPr="001541CB">
        <w:rPr>
          <w:rFonts w:ascii="Segoe UI" w:hAnsi="Segoe UI" w:cs="Segoe UI"/>
          <w:bCs/>
          <w:iCs/>
          <w:sz w:val="24"/>
          <w:szCs w:val="24"/>
        </w:rPr>
        <w:t xml:space="preserve">3 ci-après </w:t>
      </w:r>
      <w:r w:rsidRPr="001541CB">
        <w:rPr>
          <w:rFonts w:ascii="Segoe UI" w:hAnsi="Segoe UI" w:cs="Segoe UI"/>
          <w:bCs/>
          <w:iCs/>
          <w:sz w:val="24"/>
          <w:szCs w:val="24"/>
        </w:rPr>
        <w:t>détail</w:t>
      </w:r>
      <w:r w:rsidR="00DB61B3" w:rsidRPr="001541CB">
        <w:rPr>
          <w:rFonts w:ascii="Segoe UI" w:hAnsi="Segoe UI" w:cs="Segoe UI"/>
          <w:bCs/>
          <w:iCs/>
          <w:sz w:val="24"/>
          <w:szCs w:val="24"/>
        </w:rPr>
        <w:t>le</w:t>
      </w:r>
      <w:r w:rsidR="00931EE8" w:rsidRPr="001541CB">
        <w:rPr>
          <w:rFonts w:ascii="Segoe UI" w:hAnsi="Segoe UI" w:cs="Segoe UI"/>
          <w:bCs/>
          <w:iCs/>
          <w:sz w:val="24"/>
          <w:szCs w:val="24"/>
        </w:rPr>
        <w:t xml:space="preserve"> </w:t>
      </w:r>
      <w:r w:rsidR="00DB61B3" w:rsidRPr="001541CB">
        <w:rPr>
          <w:rFonts w:ascii="Segoe UI" w:hAnsi="Segoe UI" w:cs="Segoe UI"/>
          <w:bCs/>
          <w:iCs/>
          <w:sz w:val="24"/>
          <w:szCs w:val="24"/>
        </w:rPr>
        <w:t>l</w:t>
      </w:r>
      <w:r w:rsidR="009C2DFB" w:rsidRPr="001541CB">
        <w:rPr>
          <w:rFonts w:ascii="Segoe UI" w:hAnsi="Segoe UI" w:cs="Segoe UI"/>
          <w:bCs/>
          <w:iCs/>
          <w:sz w:val="24"/>
          <w:szCs w:val="24"/>
        </w:rPr>
        <w:t>e niveau</w:t>
      </w:r>
      <w:r w:rsidR="00DB61B3" w:rsidRPr="001541CB">
        <w:rPr>
          <w:rFonts w:ascii="Segoe UI" w:hAnsi="Segoe UI" w:cs="Segoe UI"/>
          <w:bCs/>
          <w:iCs/>
          <w:sz w:val="24"/>
          <w:szCs w:val="24"/>
        </w:rPr>
        <w:t xml:space="preserve"> de mobilisation d</w:t>
      </w:r>
      <w:r w:rsidRPr="001541CB">
        <w:rPr>
          <w:rFonts w:ascii="Segoe UI" w:hAnsi="Segoe UI" w:cs="Segoe UI"/>
          <w:bCs/>
          <w:iCs/>
          <w:sz w:val="24"/>
          <w:szCs w:val="24"/>
        </w:rPr>
        <w:t xml:space="preserve">es autres recettes </w:t>
      </w:r>
      <w:r w:rsidR="00DB61B3" w:rsidRPr="001541CB">
        <w:rPr>
          <w:rFonts w:ascii="Segoe UI" w:hAnsi="Segoe UI" w:cs="Segoe UI"/>
          <w:bCs/>
          <w:iCs/>
          <w:sz w:val="24"/>
          <w:szCs w:val="24"/>
        </w:rPr>
        <w:t xml:space="preserve">budgétaires </w:t>
      </w:r>
      <w:r w:rsidR="009216F5" w:rsidRPr="001541CB">
        <w:rPr>
          <w:rFonts w:ascii="Segoe UI" w:hAnsi="Segoe UI" w:cs="Segoe UI"/>
          <w:bCs/>
          <w:iCs/>
          <w:sz w:val="24"/>
          <w:szCs w:val="24"/>
        </w:rPr>
        <w:t xml:space="preserve">à fin </w:t>
      </w:r>
      <w:r w:rsidR="00207359" w:rsidRPr="001541CB">
        <w:rPr>
          <w:rFonts w:ascii="Segoe UI" w:hAnsi="Segoe UI" w:cs="Segoe UI"/>
          <w:bCs/>
          <w:iCs/>
          <w:sz w:val="24"/>
          <w:szCs w:val="24"/>
        </w:rPr>
        <w:t>mars</w:t>
      </w:r>
      <w:r w:rsidR="00D6545F" w:rsidRPr="001541CB">
        <w:rPr>
          <w:rFonts w:ascii="Segoe UI" w:hAnsi="Segoe UI" w:cs="Segoe UI"/>
          <w:bCs/>
          <w:iCs/>
          <w:sz w:val="24"/>
          <w:szCs w:val="24"/>
        </w:rPr>
        <w:t xml:space="preserve"> </w:t>
      </w:r>
      <w:r w:rsidR="00DB61B3" w:rsidRPr="001541CB">
        <w:rPr>
          <w:rFonts w:ascii="Segoe UI" w:hAnsi="Segoe UI" w:cs="Segoe UI"/>
          <w:bCs/>
          <w:iCs/>
          <w:sz w:val="24"/>
          <w:szCs w:val="24"/>
        </w:rPr>
        <w:t>201</w:t>
      </w:r>
      <w:r w:rsidR="007735BF" w:rsidRPr="001541CB">
        <w:rPr>
          <w:rFonts w:ascii="Segoe UI" w:hAnsi="Segoe UI" w:cs="Segoe UI"/>
          <w:bCs/>
          <w:iCs/>
          <w:sz w:val="24"/>
          <w:szCs w:val="24"/>
        </w:rPr>
        <w:t>6</w:t>
      </w:r>
      <w:r w:rsidR="00DB61B3" w:rsidRPr="001541CB">
        <w:rPr>
          <w:rFonts w:ascii="Segoe UI" w:hAnsi="Segoe UI" w:cs="Segoe UI"/>
          <w:bCs/>
          <w:iCs/>
          <w:sz w:val="24"/>
          <w:szCs w:val="24"/>
        </w:rPr>
        <w:t xml:space="preserve"> et </w:t>
      </w:r>
      <w:r w:rsidRPr="001541CB">
        <w:rPr>
          <w:rFonts w:ascii="Segoe UI" w:hAnsi="Segoe UI" w:cs="Segoe UI"/>
          <w:bCs/>
          <w:iCs/>
          <w:sz w:val="24"/>
          <w:szCs w:val="24"/>
        </w:rPr>
        <w:t>201</w:t>
      </w:r>
      <w:r w:rsidR="007735BF" w:rsidRPr="001541CB">
        <w:rPr>
          <w:rFonts w:ascii="Segoe UI" w:hAnsi="Segoe UI" w:cs="Segoe UI"/>
          <w:bCs/>
          <w:iCs/>
          <w:sz w:val="24"/>
          <w:szCs w:val="24"/>
        </w:rPr>
        <w:t>7</w:t>
      </w:r>
      <w:r w:rsidR="00DB61B3" w:rsidRPr="001541CB">
        <w:rPr>
          <w:rFonts w:ascii="Segoe UI" w:hAnsi="Segoe UI" w:cs="Segoe UI"/>
          <w:bCs/>
          <w:iCs/>
          <w:sz w:val="24"/>
          <w:szCs w:val="24"/>
        </w:rPr>
        <w:t>.</w:t>
      </w:r>
    </w:p>
    <w:p w14:paraId="15BB9ECC" w14:textId="77777777" w:rsidR="00CF62E7" w:rsidRPr="001541CB" w:rsidRDefault="00CF62E7" w:rsidP="000C178C">
      <w:pPr>
        <w:spacing w:after="0" w:line="360" w:lineRule="auto"/>
        <w:jc w:val="both"/>
        <w:rPr>
          <w:rFonts w:ascii="Segoe UI" w:hAnsi="Segoe UI" w:cs="Segoe UI"/>
          <w:bCs/>
          <w:iCs/>
          <w:sz w:val="24"/>
          <w:szCs w:val="24"/>
        </w:rPr>
      </w:pPr>
    </w:p>
    <w:p w14:paraId="6A482049" w14:textId="77777777" w:rsidR="0031784E" w:rsidRDefault="00E96F11" w:rsidP="000F63AF">
      <w:pPr>
        <w:pStyle w:val="Listedestableaux"/>
        <w:spacing w:line="240" w:lineRule="auto"/>
        <w:ind w:left="0"/>
        <w:rPr>
          <w:rFonts w:ascii="Segoe UI" w:hAnsi="Segoe UI" w:cs="Segoe UI"/>
          <w:sz w:val="24"/>
          <w:szCs w:val="24"/>
        </w:rPr>
      </w:pPr>
      <w:bookmarkStart w:id="16" w:name="_Toc481952106"/>
      <w:r w:rsidRPr="001541CB">
        <w:rPr>
          <w:rFonts w:ascii="Segoe UI" w:hAnsi="Segoe UI" w:cs="Segoe UI"/>
          <w:sz w:val="24"/>
          <w:szCs w:val="24"/>
          <w:u w:val="single"/>
        </w:rPr>
        <w:t xml:space="preserve">Tableau </w:t>
      </w:r>
      <w:r w:rsidR="001A645B" w:rsidRPr="001541CB">
        <w:rPr>
          <w:rFonts w:ascii="Segoe UI" w:hAnsi="Segoe UI" w:cs="Segoe UI"/>
          <w:sz w:val="24"/>
          <w:szCs w:val="24"/>
          <w:u w:val="single"/>
        </w:rPr>
        <w:t>3</w:t>
      </w:r>
      <w:r w:rsidRPr="001541CB">
        <w:rPr>
          <w:rFonts w:ascii="Segoe UI" w:hAnsi="Segoe UI" w:cs="Segoe UI"/>
          <w:sz w:val="24"/>
          <w:szCs w:val="24"/>
        </w:rPr>
        <w:t xml:space="preserve"> : Récapitulatif de la mobilisation des autres ressources budgétaires à fin </w:t>
      </w:r>
      <w:r w:rsidR="00207359" w:rsidRPr="001541CB">
        <w:rPr>
          <w:rFonts w:ascii="Segoe UI" w:hAnsi="Segoe UI" w:cs="Segoe UI"/>
          <w:sz w:val="24"/>
          <w:szCs w:val="24"/>
        </w:rPr>
        <w:t>mars</w:t>
      </w:r>
      <w:r w:rsidRPr="001541CB">
        <w:rPr>
          <w:rFonts w:ascii="Segoe UI" w:hAnsi="Segoe UI" w:cs="Segoe UI"/>
          <w:sz w:val="24"/>
          <w:szCs w:val="24"/>
        </w:rPr>
        <w:t xml:space="preserve"> 201</w:t>
      </w:r>
      <w:r w:rsidR="000B2A16" w:rsidRPr="001541CB">
        <w:rPr>
          <w:rFonts w:ascii="Segoe UI" w:hAnsi="Segoe UI" w:cs="Segoe UI"/>
          <w:sz w:val="24"/>
          <w:szCs w:val="24"/>
        </w:rPr>
        <w:t>6</w:t>
      </w:r>
      <w:r w:rsidRPr="001541CB">
        <w:rPr>
          <w:rFonts w:ascii="Segoe UI" w:hAnsi="Segoe UI" w:cs="Segoe UI"/>
          <w:sz w:val="24"/>
          <w:szCs w:val="24"/>
        </w:rPr>
        <w:t xml:space="preserve"> et 201</w:t>
      </w:r>
      <w:r w:rsidR="000B2A16" w:rsidRPr="001541CB">
        <w:rPr>
          <w:rFonts w:ascii="Segoe UI" w:hAnsi="Segoe UI" w:cs="Segoe UI"/>
          <w:sz w:val="24"/>
          <w:szCs w:val="24"/>
        </w:rPr>
        <w:t>7</w:t>
      </w:r>
      <w:bookmarkEnd w:id="16"/>
    </w:p>
    <w:p w14:paraId="6C0B851B" w14:textId="77777777" w:rsidR="002E68EF" w:rsidRPr="002E68EF" w:rsidRDefault="002E68EF" w:rsidP="000F63AF">
      <w:pPr>
        <w:pStyle w:val="Listedestableaux"/>
        <w:spacing w:line="240" w:lineRule="auto"/>
        <w:ind w:left="0"/>
        <w:rPr>
          <w:rFonts w:ascii="Segoe UI" w:hAnsi="Segoe UI" w:cs="Segoe UI"/>
          <w:b w:val="0"/>
          <w:sz w:val="24"/>
          <w:szCs w:val="24"/>
        </w:rPr>
      </w:pPr>
      <w:r>
        <w:rPr>
          <w:rFonts w:ascii="Segoe UI" w:hAnsi="Segoe UI" w:cs="Segoe UI"/>
          <w:sz w:val="24"/>
          <w:szCs w:val="24"/>
        </w:rPr>
        <w:t xml:space="preserve">                                                                                    </w:t>
      </w:r>
      <w:bookmarkStart w:id="17" w:name="_Toc481952107"/>
      <w:r w:rsidRPr="002E68EF">
        <w:rPr>
          <w:rFonts w:ascii="Segoe UI" w:hAnsi="Segoe UI" w:cs="Segoe UI"/>
          <w:b w:val="0"/>
          <w:sz w:val="24"/>
          <w:szCs w:val="24"/>
        </w:rPr>
        <w:t>En millions de FCFA</w:t>
      </w:r>
      <w:bookmarkEnd w:id="17"/>
    </w:p>
    <w:tbl>
      <w:tblPr>
        <w:tblpPr w:leftFromText="141" w:rightFromText="141" w:vertAnchor="text" w:horzAnchor="margin" w:tblpXSpec="center" w:tblpY="175"/>
        <w:tblW w:w="10135" w:type="dxa"/>
        <w:tblLayout w:type="fixed"/>
        <w:tblCellMar>
          <w:left w:w="70" w:type="dxa"/>
          <w:right w:w="70" w:type="dxa"/>
        </w:tblCellMar>
        <w:tblLook w:val="04A0" w:firstRow="1" w:lastRow="0" w:firstColumn="1" w:lastColumn="0" w:noHBand="0" w:noVBand="1"/>
      </w:tblPr>
      <w:tblGrid>
        <w:gridCol w:w="1489"/>
        <w:gridCol w:w="1134"/>
        <w:gridCol w:w="1134"/>
        <w:gridCol w:w="860"/>
        <w:gridCol w:w="1125"/>
        <w:gridCol w:w="1200"/>
        <w:gridCol w:w="737"/>
        <w:gridCol w:w="1110"/>
        <w:gridCol w:w="1346"/>
      </w:tblGrid>
      <w:tr w:rsidR="002E68EF" w:rsidRPr="008A65E9" w14:paraId="66789A0D" w14:textId="77777777" w:rsidTr="002E4977">
        <w:trPr>
          <w:trHeight w:val="600"/>
        </w:trPr>
        <w:tc>
          <w:tcPr>
            <w:tcW w:w="14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FE4EED" w14:textId="77777777" w:rsidR="002E68EF" w:rsidRPr="002E4977" w:rsidRDefault="002E68EF" w:rsidP="002E68EF">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Nature des Ressources</w:t>
            </w:r>
          </w:p>
        </w:tc>
        <w:tc>
          <w:tcPr>
            <w:tcW w:w="3128" w:type="dxa"/>
            <w:gridSpan w:val="3"/>
            <w:tcBorders>
              <w:top w:val="single" w:sz="4" w:space="0" w:color="auto"/>
              <w:left w:val="nil"/>
              <w:bottom w:val="single" w:sz="4" w:space="0" w:color="auto"/>
              <w:right w:val="single" w:sz="4" w:space="0" w:color="auto"/>
            </w:tcBorders>
            <w:shd w:val="clear" w:color="auto" w:fill="auto"/>
            <w:noWrap/>
            <w:vAlign w:val="center"/>
            <w:hideMark/>
          </w:tcPr>
          <w:p w14:paraId="0726A627" w14:textId="77777777" w:rsidR="002E68EF" w:rsidRPr="002E4977" w:rsidRDefault="002E68EF" w:rsidP="002E68EF">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2016</w:t>
            </w:r>
          </w:p>
        </w:tc>
        <w:tc>
          <w:tcPr>
            <w:tcW w:w="3062" w:type="dxa"/>
            <w:gridSpan w:val="3"/>
            <w:tcBorders>
              <w:top w:val="single" w:sz="4" w:space="0" w:color="auto"/>
              <w:left w:val="nil"/>
              <w:bottom w:val="single" w:sz="4" w:space="0" w:color="auto"/>
              <w:right w:val="single" w:sz="4" w:space="0" w:color="auto"/>
            </w:tcBorders>
            <w:shd w:val="clear" w:color="000000" w:fill="DBE5F1"/>
            <w:noWrap/>
            <w:vAlign w:val="center"/>
            <w:hideMark/>
          </w:tcPr>
          <w:p w14:paraId="70C0E7A7" w14:textId="77777777" w:rsidR="002E68EF" w:rsidRPr="002E4977" w:rsidRDefault="002E68EF" w:rsidP="002E68EF">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2017</w:t>
            </w:r>
          </w:p>
        </w:tc>
        <w:tc>
          <w:tcPr>
            <w:tcW w:w="2456" w:type="dxa"/>
            <w:gridSpan w:val="2"/>
            <w:tcBorders>
              <w:top w:val="single" w:sz="4" w:space="0" w:color="auto"/>
              <w:left w:val="nil"/>
              <w:bottom w:val="single" w:sz="4" w:space="0" w:color="auto"/>
              <w:right w:val="single" w:sz="4" w:space="0" w:color="auto"/>
            </w:tcBorders>
            <w:shd w:val="clear" w:color="auto" w:fill="auto"/>
            <w:vAlign w:val="center"/>
            <w:hideMark/>
          </w:tcPr>
          <w:p w14:paraId="3383E86E" w14:textId="77777777" w:rsidR="002E68EF" w:rsidRPr="002E4977" w:rsidRDefault="002E68EF" w:rsidP="002E68EF">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Ecarts de réalisation</w:t>
            </w:r>
          </w:p>
        </w:tc>
      </w:tr>
      <w:tr w:rsidR="002E68EF" w:rsidRPr="008A65E9" w14:paraId="6828F2B4" w14:textId="77777777" w:rsidTr="002E4977">
        <w:trPr>
          <w:trHeight w:val="329"/>
        </w:trPr>
        <w:tc>
          <w:tcPr>
            <w:tcW w:w="1489" w:type="dxa"/>
            <w:vMerge/>
            <w:tcBorders>
              <w:top w:val="single" w:sz="4" w:space="0" w:color="auto"/>
              <w:left w:val="single" w:sz="4" w:space="0" w:color="auto"/>
              <w:bottom w:val="single" w:sz="4" w:space="0" w:color="auto"/>
              <w:right w:val="single" w:sz="4" w:space="0" w:color="auto"/>
            </w:tcBorders>
            <w:vAlign w:val="center"/>
            <w:hideMark/>
          </w:tcPr>
          <w:p w14:paraId="3BBAD99D" w14:textId="77777777" w:rsidR="002E68EF" w:rsidRPr="002E4977" w:rsidRDefault="002E68EF" w:rsidP="002E68EF">
            <w:pPr>
              <w:spacing w:after="0" w:line="240" w:lineRule="auto"/>
              <w:rPr>
                <w:rFonts w:ascii="Segoe UI" w:eastAsia="Times New Roman" w:hAnsi="Segoe UI" w:cs="Segoe UI"/>
                <w:b/>
                <w:bCs/>
                <w:sz w:val="20"/>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A3B1D4D" w14:textId="77777777" w:rsidR="002E68EF" w:rsidRPr="002E4977" w:rsidRDefault="002E68EF" w:rsidP="002E68E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 xml:space="preserve">PREV. Annuelles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8DFCE78" w14:textId="77777777" w:rsidR="002E68EF" w:rsidRPr="002E4977" w:rsidRDefault="002E68EF" w:rsidP="002E68E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REAL. au 31 mars</w:t>
            </w:r>
          </w:p>
        </w:tc>
        <w:tc>
          <w:tcPr>
            <w:tcW w:w="860" w:type="dxa"/>
            <w:vMerge w:val="restart"/>
            <w:tcBorders>
              <w:top w:val="nil"/>
              <w:left w:val="single" w:sz="4" w:space="0" w:color="auto"/>
              <w:bottom w:val="single" w:sz="4" w:space="0" w:color="auto"/>
              <w:right w:val="single" w:sz="4" w:space="0" w:color="auto"/>
            </w:tcBorders>
            <w:shd w:val="clear" w:color="auto" w:fill="auto"/>
            <w:vAlign w:val="center"/>
            <w:hideMark/>
          </w:tcPr>
          <w:p w14:paraId="5D008D9C" w14:textId="77777777" w:rsidR="002E68EF" w:rsidRPr="002E4977" w:rsidRDefault="002E68EF" w:rsidP="002E68E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TAUX (%)</w:t>
            </w:r>
          </w:p>
        </w:tc>
        <w:tc>
          <w:tcPr>
            <w:tcW w:w="1125" w:type="dxa"/>
            <w:vMerge w:val="restart"/>
            <w:tcBorders>
              <w:top w:val="nil"/>
              <w:left w:val="single" w:sz="4" w:space="0" w:color="auto"/>
              <w:bottom w:val="single" w:sz="4" w:space="0" w:color="auto"/>
              <w:right w:val="single" w:sz="4" w:space="0" w:color="auto"/>
            </w:tcBorders>
            <w:shd w:val="clear" w:color="000000" w:fill="DBE5F1"/>
            <w:vAlign w:val="center"/>
            <w:hideMark/>
          </w:tcPr>
          <w:p w14:paraId="79458677" w14:textId="77777777" w:rsidR="002E68EF" w:rsidRPr="002E4977" w:rsidRDefault="002E68EF" w:rsidP="002E68E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 xml:space="preserve">PREV. Annuelles  </w:t>
            </w:r>
          </w:p>
        </w:tc>
        <w:tc>
          <w:tcPr>
            <w:tcW w:w="1200" w:type="dxa"/>
            <w:vMerge w:val="restart"/>
            <w:tcBorders>
              <w:top w:val="nil"/>
              <w:left w:val="single" w:sz="4" w:space="0" w:color="auto"/>
              <w:bottom w:val="single" w:sz="4" w:space="0" w:color="auto"/>
              <w:right w:val="single" w:sz="4" w:space="0" w:color="auto"/>
            </w:tcBorders>
            <w:shd w:val="clear" w:color="000000" w:fill="DBE5F1"/>
            <w:vAlign w:val="center"/>
            <w:hideMark/>
          </w:tcPr>
          <w:p w14:paraId="7B44798A" w14:textId="77777777" w:rsidR="002E68EF" w:rsidRPr="002E4977" w:rsidRDefault="002E68EF" w:rsidP="002E68E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REAL. au 31 mars</w:t>
            </w:r>
          </w:p>
        </w:tc>
        <w:tc>
          <w:tcPr>
            <w:tcW w:w="737" w:type="dxa"/>
            <w:vMerge w:val="restart"/>
            <w:tcBorders>
              <w:top w:val="nil"/>
              <w:left w:val="single" w:sz="4" w:space="0" w:color="auto"/>
              <w:bottom w:val="single" w:sz="4" w:space="0" w:color="auto"/>
              <w:right w:val="single" w:sz="4" w:space="0" w:color="auto"/>
            </w:tcBorders>
            <w:shd w:val="clear" w:color="000000" w:fill="DBE5F1"/>
            <w:vAlign w:val="center"/>
            <w:hideMark/>
          </w:tcPr>
          <w:p w14:paraId="0CF79C25" w14:textId="77777777" w:rsidR="002E68EF" w:rsidRPr="002E4977" w:rsidRDefault="002E68EF" w:rsidP="002E68E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TAUX (%)</w:t>
            </w:r>
          </w:p>
        </w:tc>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2DF868" w14:textId="1774CCB2" w:rsidR="002E68EF" w:rsidRPr="002E4977" w:rsidRDefault="008A65E9" w:rsidP="002E68EF">
            <w:pPr>
              <w:spacing w:after="0" w:line="240" w:lineRule="auto"/>
              <w:jc w:val="center"/>
              <w:rPr>
                <w:rFonts w:ascii="Segoe UI" w:eastAsia="Times New Roman" w:hAnsi="Segoe UI" w:cs="Segoe UI"/>
                <w:sz w:val="20"/>
                <w:szCs w:val="20"/>
              </w:rPr>
            </w:pPr>
            <w:r>
              <w:rPr>
                <w:rFonts w:ascii="Segoe UI" w:eastAsia="Times New Roman" w:hAnsi="Segoe UI" w:cs="Segoe UI"/>
                <w:sz w:val="20"/>
                <w:szCs w:val="20"/>
              </w:rPr>
              <w:t>En valeur</w:t>
            </w:r>
          </w:p>
        </w:tc>
        <w:tc>
          <w:tcPr>
            <w:tcW w:w="1346" w:type="dxa"/>
            <w:vMerge w:val="restart"/>
            <w:tcBorders>
              <w:top w:val="nil"/>
              <w:left w:val="single" w:sz="4" w:space="0" w:color="auto"/>
              <w:bottom w:val="single" w:sz="4" w:space="0" w:color="auto"/>
              <w:right w:val="single" w:sz="4" w:space="0" w:color="auto"/>
            </w:tcBorders>
            <w:shd w:val="clear" w:color="auto" w:fill="auto"/>
            <w:vAlign w:val="center"/>
            <w:hideMark/>
          </w:tcPr>
          <w:p w14:paraId="089F73C5" w14:textId="77777777" w:rsidR="002E68EF" w:rsidRPr="002E4977" w:rsidRDefault="002E68EF" w:rsidP="002E68E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Taux d'accroissement</w:t>
            </w:r>
          </w:p>
        </w:tc>
      </w:tr>
      <w:tr w:rsidR="002E68EF" w:rsidRPr="008A65E9" w14:paraId="187C5DB7" w14:textId="77777777" w:rsidTr="002E4977">
        <w:trPr>
          <w:trHeight w:val="600"/>
        </w:trPr>
        <w:tc>
          <w:tcPr>
            <w:tcW w:w="1489" w:type="dxa"/>
            <w:vMerge/>
            <w:tcBorders>
              <w:top w:val="single" w:sz="4" w:space="0" w:color="auto"/>
              <w:left w:val="single" w:sz="4" w:space="0" w:color="auto"/>
              <w:bottom w:val="single" w:sz="4" w:space="0" w:color="auto"/>
              <w:right w:val="single" w:sz="4" w:space="0" w:color="auto"/>
            </w:tcBorders>
            <w:vAlign w:val="center"/>
            <w:hideMark/>
          </w:tcPr>
          <w:p w14:paraId="05F3CEB1" w14:textId="77777777" w:rsidR="002E68EF" w:rsidRPr="002E4977" w:rsidRDefault="002E68EF" w:rsidP="002E68EF">
            <w:pPr>
              <w:spacing w:after="0" w:line="240" w:lineRule="auto"/>
              <w:rPr>
                <w:rFonts w:ascii="Segoe UI" w:eastAsia="Times New Roman" w:hAnsi="Segoe UI" w:cs="Segoe UI"/>
                <w:b/>
                <w:bCs/>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754D13F8" w14:textId="77777777" w:rsidR="002E68EF" w:rsidRPr="002E4977" w:rsidRDefault="002E68EF" w:rsidP="002E68EF">
            <w:pPr>
              <w:spacing w:after="0" w:line="240" w:lineRule="auto"/>
              <w:rPr>
                <w:rFonts w:ascii="Segoe UI" w:eastAsia="Times New Roman" w:hAnsi="Segoe UI" w:cs="Segoe UI"/>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29040FB9" w14:textId="77777777" w:rsidR="002E68EF" w:rsidRPr="002E4977" w:rsidRDefault="002E68EF" w:rsidP="002E68EF">
            <w:pPr>
              <w:spacing w:after="0" w:line="240" w:lineRule="auto"/>
              <w:rPr>
                <w:rFonts w:ascii="Segoe UI" w:eastAsia="Times New Roman" w:hAnsi="Segoe UI" w:cs="Segoe UI"/>
                <w:sz w:val="20"/>
                <w:szCs w:val="20"/>
              </w:rPr>
            </w:pPr>
          </w:p>
        </w:tc>
        <w:tc>
          <w:tcPr>
            <w:tcW w:w="860" w:type="dxa"/>
            <w:vMerge/>
            <w:tcBorders>
              <w:top w:val="nil"/>
              <w:left w:val="single" w:sz="4" w:space="0" w:color="auto"/>
              <w:bottom w:val="single" w:sz="4" w:space="0" w:color="auto"/>
              <w:right w:val="single" w:sz="4" w:space="0" w:color="auto"/>
            </w:tcBorders>
            <w:vAlign w:val="center"/>
            <w:hideMark/>
          </w:tcPr>
          <w:p w14:paraId="1BDC0526" w14:textId="77777777" w:rsidR="002E68EF" w:rsidRPr="002E4977" w:rsidRDefault="002E68EF" w:rsidP="002E68EF">
            <w:pPr>
              <w:spacing w:after="0" w:line="240" w:lineRule="auto"/>
              <w:rPr>
                <w:rFonts w:ascii="Segoe UI" w:eastAsia="Times New Roman" w:hAnsi="Segoe UI" w:cs="Segoe UI"/>
                <w:sz w:val="20"/>
                <w:szCs w:val="20"/>
              </w:rPr>
            </w:pPr>
          </w:p>
        </w:tc>
        <w:tc>
          <w:tcPr>
            <w:tcW w:w="1125" w:type="dxa"/>
            <w:vMerge/>
            <w:tcBorders>
              <w:top w:val="nil"/>
              <w:left w:val="single" w:sz="4" w:space="0" w:color="auto"/>
              <w:bottom w:val="single" w:sz="4" w:space="0" w:color="auto"/>
              <w:right w:val="single" w:sz="4" w:space="0" w:color="auto"/>
            </w:tcBorders>
            <w:vAlign w:val="center"/>
            <w:hideMark/>
          </w:tcPr>
          <w:p w14:paraId="62BE4D95" w14:textId="77777777" w:rsidR="002E68EF" w:rsidRPr="002E4977" w:rsidRDefault="002E68EF" w:rsidP="002E68EF">
            <w:pPr>
              <w:spacing w:after="0" w:line="240" w:lineRule="auto"/>
              <w:rPr>
                <w:rFonts w:ascii="Segoe UI" w:eastAsia="Times New Roman" w:hAnsi="Segoe UI" w:cs="Segoe UI"/>
                <w:sz w:val="20"/>
                <w:szCs w:val="20"/>
              </w:rPr>
            </w:pPr>
          </w:p>
        </w:tc>
        <w:tc>
          <w:tcPr>
            <w:tcW w:w="1200" w:type="dxa"/>
            <w:vMerge/>
            <w:tcBorders>
              <w:top w:val="nil"/>
              <w:left w:val="single" w:sz="4" w:space="0" w:color="auto"/>
              <w:bottom w:val="single" w:sz="4" w:space="0" w:color="auto"/>
              <w:right w:val="single" w:sz="4" w:space="0" w:color="auto"/>
            </w:tcBorders>
            <w:vAlign w:val="center"/>
            <w:hideMark/>
          </w:tcPr>
          <w:p w14:paraId="39B3319C" w14:textId="77777777" w:rsidR="002E68EF" w:rsidRPr="002E4977" w:rsidRDefault="002E68EF" w:rsidP="002E68EF">
            <w:pPr>
              <w:spacing w:after="0" w:line="240" w:lineRule="auto"/>
              <w:rPr>
                <w:rFonts w:ascii="Segoe UI" w:eastAsia="Times New Roman" w:hAnsi="Segoe UI" w:cs="Segoe UI"/>
                <w:sz w:val="20"/>
                <w:szCs w:val="20"/>
              </w:rPr>
            </w:pPr>
          </w:p>
        </w:tc>
        <w:tc>
          <w:tcPr>
            <w:tcW w:w="737" w:type="dxa"/>
            <w:vMerge/>
            <w:tcBorders>
              <w:top w:val="nil"/>
              <w:left w:val="single" w:sz="4" w:space="0" w:color="auto"/>
              <w:bottom w:val="single" w:sz="4" w:space="0" w:color="auto"/>
              <w:right w:val="single" w:sz="4" w:space="0" w:color="auto"/>
            </w:tcBorders>
            <w:vAlign w:val="center"/>
            <w:hideMark/>
          </w:tcPr>
          <w:p w14:paraId="2A82F767" w14:textId="77777777" w:rsidR="002E68EF" w:rsidRPr="002E4977" w:rsidRDefault="002E68EF" w:rsidP="002E68EF">
            <w:pPr>
              <w:spacing w:after="0" w:line="240" w:lineRule="auto"/>
              <w:rPr>
                <w:rFonts w:ascii="Segoe UI" w:eastAsia="Times New Roman" w:hAnsi="Segoe UI" w:cs="Segoe UI"/>
                <w:sz w:val="20"/>
                <w:szCs w:val="20"/>
              </w:rPr>
            </w:pPr>
          </w:p>
        </w:tc>
        <w:tc>
          <w:tcPr>
            <w:tcW w:w="1110" w:type="dxa"/>
            <w:vMerge/>
            <w:tcBorders>
              <w:top w:val="nil"/>
              <w:left w:val="single" w:sz="4" w:space="0" w:color="auto"/>
              <w:bottom w:val="single" w:sz="4" w:space="0" w:color="auto"/>
              <w:right w:val="single" w:sz="4" w:space="0" w:color="auto"/>
            </w:tcBorders>
            <w:vAlign w:val="center"/>
            <w:hideMark/>
          </w:tcPr>
          <w:p w14:paraId="7D59FA10" w14:textId="77777777" w:rsidR="002E68EF" w:rsidRPr="002E4977" w:rsidRDefault="002E68EF" w:rsidP="002E68EF">
            <w:pPr>
              <w:spacing w:after="0" w:line="240" w:lineRule="auto"/>
              <w:rPr>
                <w:rFonts w:ascii="Segoe UI" w:eastAsia="Times New Roman" w:hAnsi="Segoe UI" w:cs="Segoe UI"/>
                <w:sz w:val="20"/>
                <w:szCs w:val="20"/>
              </w:rPr>
            </w:pPr>
          </w:p>
        </w:tc>
        <w:tc>
          <w:tcPr>
            <w:tcW w:w="1346" w:type="dxa"/>
            <w:vMerge/>
            <w:tcBorders>
              <w:top w:val="nil"/>
              <w:left w:val="single" w:sz="4" w:space="0" w:color="auto"/>
              <w:bottom w:val="single" w:sz="4" w:space="0" w:color="auto"/>
              <w:right w:val="single" w:sz="4" w:space="0" w:color="auto"/>
            </w:tcBorders>
            <w:vAlign w:val="center"/>
            <w:hideMark/>
          </w:tcPr>
          <w:p w14:paraId="7FDB3B3C" w14:textId="77777777" w:rsidR="002E68EF" w:rsidRPr="002E4977" w:rsidRDefault="002E68EF" w:rsidP="002E68EF">
            <w:pPr>
              <w:spacing w:after="0" w:line="240" w:lineRule="auto"/>
              <w:rPr>
                <w:rFonts w:ascii="Segoe UI" w:eastAsia="Times New Roman" w:hAnsi="Segoe UI" w:cs="Segoe UI"/>
                <w:sz w:val="20"/>
                <w:szCs w:val="20"/>
              </w:rPr>
            </w:pPr>
          </w:p>
        </w:tc>
      </w:tr>
      <w:tr w:rsidR="002E68EF" w:rsidRPr="008A65E9" w14:paraId="3838F8A6" w14:textId="77777777" w:rsidTr="002E4977">
        <w:trPr>
          <w:trHeight w:val="315"/>
        </w:trPr>
        <w:tc>
          <w:tcPr>
            <w:tcW w:w="1489" w:type="dxa"/>
            <w:tcBorders>
              <w:top w:val="nil"/>
              <w:left w:val="single" w:sz="4" w:space="0" w:color="auto"/>
              <w:bottom w:val="single" w:sz="4" w:space="0" w:color="auto"/>
              <w:right w:val="single" w:sz="4" w:space="0" w:color="auto"/>
            </w:tcBorders>
            <w:shd w:val="clear" w:color="auto" w:fill="auto"/>
            <w:vAlign w:val="bottom"/>
            <w:hideMark/>
          </w:tcPr>
          <w:p w14:paraId="76240520" w14:textId="77777777" w:rsidR="002E68EF" w:rsidRPr="002E4977" w:rsidRDefault="002E68EF" w:rsidP="002E68EF">
            <w:pPr>
              <w:spacing w:after="0" w:line="240" w:lineRule="auto"/>
              <w:rPr>
                <w:rFonts w:ascii="Segoe UI" w:eastAsia="Times New Roman" w:hAnsi="Segoe UI" w:cs="Segoe UI"/>
                <w:sz w:val="20"/>
                <w:szCs w:val="20"/>
              </w:rPr>
            </w:pPr>
            <w:r w:rsidRPr="002E4977">
              <w:rPr>
                <w:rFonts w:ascii="Segoe UI" w:eastAsia="Times New Roman" w:hAnsi="Segoe UI" w:cs="Segoe UI"/>
                <w:sz w:val="20"/>
                <w:szCs w:val="20"/>
              </w:rPr>
              <w:t>Dons budgétaires</w:t>
            </w:r>
          </w:p>
        </w:tc>
        <w:tc>
          <w:tcPr>
            <w:tcW w:w="1134" w:type="dxa"/>
            <w:tcBorders>
              <w:top w:val="nil"/>
              <w:left w:val="nil"/>
              <w:bottom w:val="single" w:sz="4" w:space="0" w:color="auto"/>
              <w:right w:val="single" w:sz="4" w:space="0" w:color="auto"/>
            </w:tcBorders>
            <w:shd w:val="clear" w:color="auto" w:fill="auto"/>
            <w:noWrap/>
            <w:vAlign w:val="center"/>
            <w:hideMark/>
          </w:tcPr>
          <w:p w14:paraId="5EE5A00C" w14:textId="77777777" w:rsidR="002E68EF" w:rsidRPr="002E4977" w:rsidRDefault="002E68EF" w:rsidP="002E68EF">
            <w:pPr>
              <w:jc w:val="center"/>
              <w:rPr>
                <w:rFonts w:ascii="Segoe UI" w:hAnsi="Segoe UI" w:cs="Segoe UI"/>
                <w:i/>
                <w:iCs/>
                <w:sz w:val="20"/>
                <w:szCs w:val="20"/>
              </w:rPr>
            </w:pPr>
            <w:r w:rsidRPr="002E4977">
              <w:rPr>
                <w:rFonts w:ascii="Segoe UI" w:hAnsi="Segoe UI" w:cs="Segoe UI"/>
                <w:i/>
                <w:iCs/>
                <w:sz w:val="20"/>
                <w:szCs w:val="20"/>
              </w:rPr>
              <w:t>0</w:t>
            </w:r>
          </w:p>
        </w:tc>
        <w:tc>
          <w:tcPr>
            <w:tcW w:w="1134" w:type="dxa"/>
            <w:tcBorders>
              <w:top w:val="nil"/>
              <w:left w:val="nil"/>
              <w:bottom w:val="single" w:sz="4" w:space="0" w:color="auto"/>
              <w:right w:val="single" w:sz="4" w:space="0" w:color="auto"/>
            </w:tcBorders>
            <w:shd w:val="clear" w:color="auto" w:fill="auto"/>
            <w:noWrap/>
            <w:vAlign w:val="center"/>
            <w:hideMark/>
          </w:tcPr>
          <w:p w14:paraId="2A39DD47" w14:textId="77777777" w:rsidR="002E68EF" w:rsidRPr="002E4977" w:rsidRDefault="002E68EF" w:rsidP="002E68EF">
            <w:pPr>
              <w:jc w:val="center"/>
              <w:rPr>
                <w:rFonts w:ascii="Segoe UI" w:hAnsi="Segoe UI" w:cs="Segoe UI"/>
                <w:i/>
                <w:iCs/>
                <w:sz w:val="20"/>
                <w:szCs w:val="20"/>
              </w:rPr>
            </w:pPr>
            <w:r w:rsidRPr="002E4977">
              <w:rPr>
                <w:rFonts w:ascii="Segoe UI" w:hAnsi="Segoe UI" w:cs="Segoe UI"/>
                <w:i/>
                <w:iCs/>
                <w:sz w:val="20"/>
                <w:szCs w:val="20"/>
              </w:rPr>
              <w:t>0,0</w:t>
            </w:r>
          </w:p>
        </w:tc>
        <w:tc>
          <w:tcPr>
            <w:tcW w:w="860" w:type="dxa"/>
            <w:tcBorders>
              <w:top w:val="nil"/>
              <w:left w:val="nil"/>
              <w:bottom w:val="single" w:sz="4" w:space="0" w:color="auto"/>
              <w:right w:val="single" w:sz="4" w:space="0" w:color="auto"/>
            </w:tcBorders>
            <w:shd w:val="clear" w:color="auto" w:fill="auto"/>
            <w:noWrap/>
            <w:vAlign w:val="center"/>
            <w:hideMark/>
          </w:tcPr>
          <w:p w14:paraId="08EABC5F" w14:textId="77777777" w:rsidR="002E68EF" w:rsidRPr="002E4977" w:rsidRDefault="002E68EF" w:rsidP="002E68EF">
            <w:pPr>
              <w:jc w:val="center"/>
              <w:rPr>
                <w:rFonts w:ascii="Segoe UI" w:hAnsi="Segoe UI" w:cs="Segoe UI"/>
                <w:sz w:val="20"/>
                <w:szCs w:val="20"/>
              </w:rPr>
            </w:pPr>
            <w:r w:rsidRPr="002E4977">
              <w:rPr>
                <w:rFonts w:ascii="Segoe UI" w:hAnsi="Segoe UI" w:cs="Segoe UI"/>
                <w:sz w:val="20"/>
                <w:szCs w:val="20"/>
              </w:rPr>
              <w:t>0,0</w:t>
            </w:r>
          </w:p>
        </w:tc>
        <w:tc>
          <w:tcPr>
            <w:tcW w:w="1125" w:type="dxa"/>
            <w:tcBorders>
              <w:top w:val="nil"/>
              <w:left w:val="nil"/>
              <w:bottom w:val="single" w:sz="4" w:space="0" w:color="auto"/>
              <w:right w:val="single" w:sz="4" w:space="0" w:color="auto"/>
            </w:tcBorders>
            <w:shd w:val="clear" w:color="000000" w:fill="DBE5F1"/>
            <w:noWrap/>
            <w:vAlign w:val="center"/>
            <w:hideMark/>
          </w:tcPr>
          <w:p w14:paraId="3049383E" w14:textId="77777777" w:rsidR="002E68EF" w:rsidRPr="002E4977" w:rsidRDefault="002E68EF" w:rsidP="002E68EF">
            <w:pPr>
              <w:jc w:val="center"/>
              <w:rPr>
                <w:rFonts w:ascii="Segoe UI" w:hAnsi="Segoe UI" w:cs="Segoe UI"/>
                <w:i/>
                <w:iCs/>
                <w:sz w:val="20"/>
                <w:szCs w:val="20"/>
              </w:rPr>
            </w:pPr>
            <w:r w:rsidRPr="002E4977">
              <w:rPr>
                <w:rFonts w:ascii="Segoe UI" w:hAnsi="Segoe UI" w:cs="Segoe UI"/>
                <w:i/>
                <w:iCs/>
                <w:sz w:val="20"/>
                <w:szCs w:val="20"/>
              </w:rPr>
              <w:t>15 840</w:t>
            </w:r>
          </w:p>
        </w:tc>
        <w:tc>
          <w:tcPr>
            <w:tcW w:w="1200" w:type="dxa"/>
            <w:tcBorders>
              <w:top w:val="nil"/>
              <w:left w:val="nil"/>
              <w:bottom w:val="single" w:sz="4" w:space="0" w:color="auto"/>
              <w:right w:val="single" w:sz="4" w:space="0" w:color="auto"/>
            </w:tcBorders>
            <w:shd w:val="clear" w:color="000000" w:fill="DBE5F1"/>
            <w:noWrap/>
            <w:vAlign w:val="center"/>
            <w:hideMark/>
          </w:tcPr>
          <w:p w14:paraId="03FF710D" w14:textId="77777777" w:rsidR="002E68EF" w:rsidRPr="002E4977" w:rsidRDefault="002E68EF" w:rsidP="002E68EF">
            <w:pPr>
              <w:jc w:val="center"/>
              <w:rPr>
                <w:rFonts w:ascii="Segoe UI" w:hAnsi="Segoe UI" w:cs="Segoe UI"/>
                <w:i/>
                <w:iCs/>
                <w:sz w:val="20"/>
                <w:szCs w:val="20"/>
              </w:rPr>
            </w:pPr>
            <w:r w:rsidRPr="002E4977">
              <w:rPr>
                <w:rFonts w:ascii="Segoe UI" w:hAnsi="Segoe UI" w:cs="Segoe UI"/>
                <w:i/>
                <w:iCs/>
                <w:sz w:val="20"/>
                <w:szCs w:val="20"/>
              </w:rPr>
              <w:t>0,0</w:t>
            </w:r>
          </w:p>
        </w:tc>
        <w:tc>
          <w:tcPr>
            <w:tcW w:w="737" w:type="dxa"/>
            <w:tcBorders>
              <w:top w:val="nil"/>
              <w:left w:val="nil"/>
              <w:bottom w:val="single" w:sz="4" w:space="0" w:color="auto"/>
              <w:right w:val="single" w:sz="4" w:space="0" w:color="auto"/>
            </w:tcBorders>
            <w:shd w:val="clear" w:color="000000" w:fill="DBE5F1"/>
            <w:noWrap/>
            <w:vAlign w:val="center"/>
            <w:hideMark/>
          </w:tcPr>
          <w:p w14:paraId="79A0C0FB" w14:textId="77777777" w:rsidR="002E68EF" w:rsidRPr="002E4977" w:rsidRDefault="002E68EF" w:rsidP="002E68EF">
            <w:pPr>
              <w:jc w:val="center"/>
              <w:rPr>
                <w:rFonts w:ascii="Segoe UI" w:hAnsi="Segoe UI" w:cs="Segoe UI"/>
                <w:sz w:val="20"/>
                <w:szCs w:val="20"/>
              </w:rPr>
            </w:pPr>
            <w:r w:rsidRPr="002E4977">
              <w:rPr>
                <w:rFonts w:ascii="Segoe UI" w:hAnsi="Segoe UI" w:cs="Segoe UI"/>
                <w:sz w:val="20"/>
                <w:szCs w:val="20"/>
              </w:rPr>
              <w:t>0</w:t>
            </w:r>
          </w:p>
        </w:tc>
        <w:tc>
          <w:tcPr>
            <w:tcW w:w="1110" w:type="dxa"/>
            <w:tcBorders>
              <w:top w:val="nil"/>
              <w:left w:val="nil"/>
              <w:bottom w:val="single" w:sz="4" w:space="0" w:color="auto"/>
              <w:right w:val="single" w:sz="4" w:space="0" w:color="auto"/>
            </w:tcBorders>
            <w:shd w:val="clear" w:color="auto" w:fill="auto"/>
            <w:noWrap/>
            <w:vAlign w:val="center"/>
            <w:hideMark/>
          </w:tcPr>
          <w:p w14:paraId="27186568" w14:textId="77777777" w:rsidR="002E68EF" w:rsidRPr="002E4977" w:rsidRDefault="002E68EF" w:rsidP="002E68EF">
            <w:pPr>
              <w:jc w:val="center"/>
              <w:rPr>
                <w:rFonts w:ascii="Segoe UI" w:hAnsi="Segoe UI" w:cs="Segoe UI"/>
                <w:sz w:val="20"/>
                <w:szCs w:val="20"/>
              </w:rPr>
            </w:pPr>
            <w:r w:rsidRPr="002E4977">
              <w:rPr>
                <w:rFonts w:ascii="Segoe UI" w:hAnsi="Segoe UI" w:cs="Segoe UI"/>
                <w:sz w:val="20"/>
                <w:szCs w:val="20"/>
              </w:rPr>
              <w:t>0,0</w:t>
            </w:r>
          </w:p>
        </w:tc>
        <w:tc>
          <w:tcPr>
            <w:tcW w:w="1346" w:type="dxa"/>
            <w:tcBorders>
              <w:top w:val="nil"/>
              <w:left w:val="nil"/>
              <w:bottom w:val="single" w:sz="4" w:space="0" w:color="auto"/>
              <w:right w:val="single" w:sz="4" w:space="0" w:color="auto"/>
            </w:tcBorders>
            <w:shd w:val="clear" w:color="auto" w:fill="auto"/>
            <w:noWrap/>
            <w:vAlign w:val="center"/>
            <w:hideMark/>
          </w:tcPr>
          <w:p w14:paraId="6DF702F2" w14:textId="77777777" w:rsidR="002E68EF" w:rsidRPr="002E4977" w:rsidRDefault="002E68EF" w:rsidP="002E68EF">
            <w:pPr>
              <w:jc w:val="center"/>
              <w:rPr>
                <w:rFonts w:ascii="Segoe UI" w:hAnsi="Segoe UI" w:cs="Segoe UI"/>
                <w:sz w:val="20"/>
                <w:szCs w:val="20"/>
              </w:rPr>
            </w:pPr>
            <w:r w:rsidRPr="002E4977">
              <w:rPr>
                <w:rFonts w:ascii="Segoe UI" w:hAnsi="Segoe UI" w:cs="Segoe UI"/>
                <w:sz w:val="20"/>
                <w:szCs w:val="20"/>
              </w:rPr>
              <w:t>-</w:t>
            </w:r>
          </w:p>
        </w:tc>
      </w:tr>
      <w:tr w:rsidR="002E68EF" w:rsidRPr="008A65E9" w14:paraId="093C907E" w14:textId="77777777" w:rsidTr="002E4977">
        <w:trPr>
          <w:trHeight w:val="630"/>
        </w:trPr>
        <w:tc>
          <w:tcPr>
            <w:tcW w:w="1489" w:type="dxa"/>
            <w:tcBorders>
              <w:top w:val="nil"/>
              <w:left w:val="single" w:sz="4" w:space="0" w:color="auto"/>
              <w:bottom w:val="single" w:sz="4" w:space="0" w:color="auto"/>
              <w:right w:val="single" w:sz="4" w:space="0" w:color="auto"/>
            </w:tcBorders>
            <w:shd w:val="clear" w:color="auto" w:fill="auto"/>
            <w:vAlign w:val="bottom"/>
            <w:hideMark/>
          </w:tcPr>
          <w:p w14:paraId="7CA7C028" w14:textId="77777777" w:rsidR="002E68EF" w:rsidRPr="002E4977" w:rsidRDefault="002E68EF" w:rsidP="002E68EF">
            <w:pPr>
              <w:spacing w:after="0" w:line="240" w:lineRule="auto"/>
              <w:rPr>
                <w:rFonts w:ascii="Segoe UI" w:eastAsia="Times New Roman" w:hAnsi="Segoe UI" w:cs="Segoe UI"/>
                <w:sz w:val="20"/>
                <w:szCs w:val="20"/>
              </w:rPr>
            </w:pPr>
            <w:r w:rsidRPr="002E4977">
              <w:rPr>
                <w:rFonts w:ascii="Segoe UI" w:eastAsia="Times New Roman" w:hAnsi="Segoe UI" w:cs="Segoe UI"/>
                <w:sz w:val="20"/>
                <w:szCs w:val="20"/>
              </w:rPr>
              <w:t>Allègement de la dette (IPPTE)</w:t>
            </w:r>
          </w:p>
        </w:tc>
        <w:tc>
          <w:tcPr>
            <w:tcW w:w="1134" w:type="dxa"/>
            <w:tcBorders>
              <w:top w:val="nil"/>
              <w:left w:val="nil"/>
              <w:bottom w:val="single" w:sz="4" w:space="0" w:color="auto"/>
              <w:right w:val="single" w:sz="4" w:space="0" w:color="auto"/>
            </w:tcBorders>
            <w:shd w:val="clear" w:color="auto" w:fill="auto"/>
            <w:noWrap/>
            <w:vAlign w:val="center"/>
            <w:hideMark/>
          </w:tcPr>
          <w:p w14:paraId="4A83C627" w14:textId="77777777" w:rsidR="002E68EF" w:rsidRPr="002E4977" w:rsidRDefault="002E68EF" w:rsidP="002E68EF">
            <w:pPr>
              <w:jc w:val="center"/>
              <w:rPr>
                <w:rFonts w:ascii="Segoe UI" w:hAnsi="Segoe UI" w:cs="Segoe UI"/>
                <w:i/>
                <w:iCs/>
                <w:sz w:val="20"/>
                <w:szCs w:val="20"/>
              </w:rPr>
            </w:pPr>
            <w:r w:rsidRPr="002E4977">
              <w:rPr>
                <w:rFonts w:ascii="Segoe UI" w:hAnsi="Segoe UI" w:cs="Segoe UI"/>
                <w:i/>
                <w:iCs/>
                <w:sz w:val="20"/>
                <w:szCs w:val="20"/>
              </w:rPr>
              <w:t>8 469</w:t>
            </w:r>
          </w:p>
        </w:tc>
        <w:tc>
          <w:tcPr>
            <w:tcW w:w="1134" w:type="dxa"/>
            <w:tcBorders>
              <w:top w:val="nil"/>
              <w:left w:val="nil"/>
              <w:bottom w:val="single" w:sz="4" w:space="0" w:color="auto"/>
              <w:right w:val="single" w:sz="4" w:space="0" w:color="auto"/>
            </w:tcBorders>
            <w:shd w:val="clear" w:color="auto" w:fill="auto"/>
            <w:noWrap/>
            <w:vAlign w:val="center"/>
            <w:hideMark/>
          </w:tcPr>
          <w:p w14:paraId="3C559751" w14:textId="77777777" w:rsidR="002E68EF" w:rsidRPr="002E4977" w:rsidRDefault="002E68EF" w:rsidP="002E68EF">
            <w:pPr>
              <w:jc w:val="center"/>
              <w:rPr>
                <w:rFonts w:ascii="Segoe UI" w:hAnsi="Segoe UI" w:cs="Segoe UI"/>
                <w:i/>
                <w:iCs/>
                <w:sz w:val="20"/>
                <w:szCs w:val="20"/>
              </w:rPr>
            </w:pPr>
            <w:r w:rsidRPr="002E4977">
              <w:rPr>
                <w:rFonts w:ascii="Segoe UI" w:hAnsi="Segoe UI" w:cs="Segoe UI"/>
                <w:i/>
                <w:iCs/>
                <w:sz w:val="20"/>
                <w:szCs w:val="20"/>
              </w:rPr>
              <w:t>190,8</w:t>
            </w:r>
          </w:p>
        </w:tc>
        <w:tc>
          <w:tcPr>
            <w:tcW w:w="860" w:type="dxa"/>
            <w:tcBorders>
              <w:top w:val="nil"/>
              <w:left w:val="nil"/>
              <w:bottom w:val="single" w:sz="4" w:space="0" w:color="auto"/>
              <w:right w:val="single" w:sz="4" w:space="0" w:color="auto"/>
            </w:tcBorders>
            <w:shd w:val="clear" w:color="auto" w:fill="auto"/>
            <w:noWrap/>
            <w:vAlign w:val="center"/>
            <w:hideMark/>
          </w:tcPr>
          <w:p w14:paraId="3A9ACD67" w14:textId="77777777" w:rsidR="002E68EF" w:rsidRPr="002E4977" w:rsidRDefault="002E68EF" w:rsidP="002E68EF">
            <w:pPr>
              <w:jc w:val="center"/>
              <w:rPr>
                <w:rFonts w:ascii="Segoe UI" w:hAnsi="Segoe UI" w:cs="Segoe UI"/>
                <w:sz w:val="20"/>
                <w:szCs w:val="20"/>
              </w:rPr>
            </w:pPr>
            <w:r w:rsidRPr="002E4977">
              <w:rPr>
                <w:rFonts w:ascii="Segoe UI" w:hAnsi="Segoe UI" w:cs="Segoe UI"/>
                <w:sz w:val="20"/>
                <w:szCs w:val="20"/>
              </w:rPr>
              <w:t>2,3</w:t>
            </w:r>
          </w:p>
        </w:tc>
        <w:tc>
          <w:tcPr>
            <w:tcW w:w="1125" w:type="dxa"/>
            <w:tcBorders>
              <w:top w:val="nil"/>
              <w:left w:val="nil"/>
              <w:bottom w:val="single" w:sz="4" w:space="0" w:color="auto"/>
              <w:right w:val="single" w:sz="4" w:space="0" w:color="auto"/>
            </w:tcBorders>
            <w:shd w:val="clear" w:color="000000" w:fill="DBE5F1"/>
            <w:noWrap/>
            <w:vAlign w:val="center"/>
            <w:hideMark/>
          </w:tcPr>
          <w:p w14:paraId="5FC6AD20" w14:textId="77777777" w:rsidR="002E68EF" w:rsidRPr="002E4977" w:rsidRDefault="002E68EF" w:rsidP="002E68EF">
            <w:pPr>
              <w:jc w:val="center"/>
              <w:rPr>
                <w:rFonts w:ascii="Segoe UI" w:hAnsi="Segoe UI" w:cs="Segoe UI"/>
                <w:i/>
                <w:iCs/>
                <w:sz w:val="20"/>
                <w:szCs w:val="20"/>
              </w:rPr>
            </w:pPr>
            <w:r w:rsidRPr="002E4977">
              <w:rPr>
                <w:rFonts w:ascii="Segoe UI" w:hAnsi="Segoe UI" w:cs="Segoe UI"/>
                <w:i/>
                <w:iCs/>
                <w:sz w:val="20"/>
                <w:szCs w:val="20"/>
              </w:rPr>
              <w:t>8 000</w:t>
            </w:r>
          </w:p>
        </w:tc>
        <w:tc>
          <w:tcPr>
            <w:tcW w:w="1200" w:type="dxa"/>
            <w:tcBorders>
              <w:top w:val="nil"/>
              <w:left w:val="nil"/>
              <w:bottom w:val="single" w:sz="4" w:space="0" w:color="auto"/>
              <w:right w:val="single" w:sz="4" w:space="0" w:color="auto"/>
            </w:tcBorders>
            <w:shd w:val="clear" w:color="000000" w:fill="DBE5F1"/>
            <w:noWrap/>
            <w:vAlign w:val="center"/>
            <w:hideMark/>
          </w:tcPr>
          <w:p w14:paraId="63EC941E" w14:textId="77777777" w:rsidR="002E68EF" w:rsidRPr="002E4977" w:rsidRDefault="002E68EF" w:rsidP="002E68EF">
            <w:pPr>
              <w:jc w:val="center"/>
              <w:rPr>
                <w:rFonts w:ascii="Segoe UI" w:hAnsi="Segoe UI" w:cs="Segoe UI"/>
                <w:i/>
                <w:iCs/>
                <w:sz w:val="20"/>
                <w:szCs w:val="20"/>
              </w:rPr>
            </w:pPr>
            <w:r w:rsidRPr="002E4977">
              <w:rPr>
                <w:rFonts w:ascii="Segoe UI" w:hAnsi="Segoe UI" w:cs="Segoe UI"/>
                <w:i/>
                <w:iCs/>
                <w:sz w:val="20"/>
                <w:szCs w:val="20"/>
              </w:rPr>
              <w:t>0,0</w:t>
            </w:r>
          </w:p>
        </w:tc>
        <w:tc>
          <w:tcPr>
            <w:tcW w:w="737" w:type="dxa"/>
            <w:tcBorders>
              <w:top w:val="nil"/>
              <w:left w:val="nil"/>
              <w:bottom w:val="single" w:sz="4" w:space="0" w:color="auto"/>
              <w:right w:val="single" w:sz="4" w:space="0" w:color="auto"/>
            </w:tcBorders>
            <w:shd w:val="clear" w:color="000000" w:fill="DBE5F1"/>
            <w:noWrap/>
            <w:vAlign w:val="center"/>
            <w:hideMark/>
          </w:tcPr>
          <w:p w14:paraId="05FB2788" w14:textId="77777777" w:rsidR="002E68EF" w:rsidRPr="002E4977" w:rsidRDefault="002E68EF" w:rsidP="002E68EF">
            <w:pPr>
              <w:jc w:val="center"/>
              <w:rPr>
                <w:rFonts w:ascii="Segoe UI" w:hAnsi="Segoe UI" w:cs="Segoe UI"/>
                <w:sz w:val="20"/>
                <w:szCs w:val="20"/>
              </w:rPr>
            </w:pPr>
            <w:r w:rsidRPr="002E4977">
              <w:rPr>
                <w:rFonts w:ascii="Segoe UI" w:hAnsi="Segoe UI" w:cs="Segoe UI"/>
                <w:sz w:val="20"/>
                <w:szCs w:val="20"/>
              </w:rPr>
              <w:t>0</w:t>
            </w:r>
          </w:p>
        </w:tc>
        <w:tc>
          <w:tcPr>
            <w:tcW w:w="1110" w:type="dxa"/>
            <w:tcBorders>
              <w:top w:val="nil"/>
              <w:left w:val="nil"/>
              <w:bottom w:val="single" w:sz="4" w:space="0" w:color="auto"/>
              <w:right w:val="single" w:sz="4" w:space="0" w:color="auto"/>
            </w:tcBorders>
            <w:shd w:val="clear" w:color="auto" w:fill="auto"/>
            <w:noWrap/>
            <w:vAlign w:val="center"/>
            <w:hideMark/>
          </w:tcPr>
          <w:p w14:paraId="0F283DB6" w14:textId="77777777" w:rsidR="002E68EF" w:rsidRPr="002E4977" w:rsidRDefault="002E68EF" w:rsidP="002E68EF">
            <w:pPr>
              <w:jc w:val="center"/>
              <w:rPr>
                <w:rFonts w:ascii="Segoe UI" w:hAnsi="Segoe UI" w:cs="Segoe UI"/>
                <w:sz w:val="20"/>
                <w:szCs w:val="20"/>
              </w:rPr>
            </w:pPr>
            <w:r w:rsidRPr="002E4977">
              <w:rPr>
                <w:rFonts w:ascii="Segoe UI" w:hAnsi="Segoe UI" w:cs="Segoe UI"/>
                <w:sz w:val="20"/>
                <w:szCs w:val="20"/>
              </w:rPr>
              <w:t>-190,8</w:t>
            </w:r>
          </w:p>
        </w:tc>
        <w:tc>
          <w:tcPr>
            <w:tcW w:w="1346" w:type="dxa"/>
            <w:tcBorders>
              <w:top w:val="nil"/>
              <w:left w:val="nil"/>
              <w:bottom w:val="single" w:sz="4" w:space="0" w:color="auto"/>
              <w:right w:val="single" w:sz="4" w:space="0" w:color="auto"/>
            </w:tcBorders>
            <w:shd w:val="clear" w:color="auto" w:fill="auto"/>
            <w:noWrap/>
            <w:vAlign w:val="center"/>
            <w:hideMark/>
          </w:tcPr>
          <w:p w14:paraId="15D43687" w14:textId="2B37F402" w:rsidR="002E68EF" w:rsidRPr="002E4977" w:rsidRDefault="002E68EF" w:rsidP="005E70B6">
            <w:pPr>
              <w:jc w:val="center"/>
              <w:rPr>
                <w:rFonts w:ascii="Segoe UI" w:hAnsi="Segoe UI" w:cs="Segoe UI"/>
                <w:sz w:val="20"/>
                <w:szCs w:val="20"/>
              </w:rPr>
            </w:pPr>
            <w:r w:rsidRPr="002E4977">
              <w:rPr>
                <w:rFonts w:ascii="Segoe UI" w:hAnsi="Segoe UI" w:cs="Segoe UI"/>
                <w:sz w:val="20"/>
                <w:szCs w:val="20"/>
              </w:rPr>
              <w:t>-100,0</w:t>
            </w:r>
          </w:p>
        </w:tc>
      </w:tr>
      <w:tr w:rsidR="002E68EF" w:rsidRPr="008A65E9" w14:paraId="1407CFDE" w14:textId="77777777" w:rsidTr="002E4977">
        <w:trPr>
          <w:trHeight w:val="630"/>
        </w:trPr>
        <w:tc>
          <w:tcPr>
            <w:tcW w:w="1489" w:type="dxa"/>
            <w:tcBorders>
              <w:top w:val="nil"/>
              <w:left w:val="single" w:sz="4" w:space="0" w:color="auto"/>
              <w:bottom w:val="single" w:sz="4" w:space="0" w:color="auto"/>
              <w:right w:val="single" w:sz="4" w:space="0" w:color="auto"/>
            </w:tcBorders>
            <w:shd w:val="clear" w:color="auto" w:fill="auto"/>
            <w:vAlign w:val="bottom"/>
            <w:hideMark/>
          </w:tcPr>
          <w:p w14:paraId="737FF522" w14:textId="77777777" w:rsidR="002E68EF" w:rsidRPr="002E4977" w:rsidRDefault="002E68EF" w:rsidP="002E68EF">
            <w:pPr>
              <w:spacing w:after="0" w:line="240" w:lineRule="auto"/>
              <w:rPr>
                <w:rFonts w:ascii="Segoe UI" w:eastAsia="Times New Roman" w:hAnsi="Segoe UI" w:cs="Segoe UI"/>
                <w:sz w:val="20"/>
                <w:szCs w:val="20"/>
              </w:rPr>
            </w:pPr>
            <w:r w:rsidRPr="002E4977">
              <w:rPr>
                <w:rFonts w:ascii="Segoe UI" w:eastAsia="Times New Roman" w:hAnsi="Segoe UI" w:cs="Segoe UI"/>
                <w:sz w:val="20"/>
                <w:szCs w:val="20"/>
              </w:rPr>
              <w:t>Fonds de concours + recettes assimilées</w:t>
            </w:r>
          </w:p>
        </w:tc>
        <w:tc>
          <w:tcPr>
            <w:tcW w:w="1134" w:type="dxa"/>
            <w:tcBorders>
              <w:top w:val="nil"/>
              <w:left w:val="nil"/>
              <w:bottom w:val="single" w:sz="4" w:space="0" w:color="auto"/>
              <w:right w:val="single" w:sz="4" w:space="0" w:color="auto"/>
            </w:tcBorders>
            <w:shd w:val="clear" w:color="auto" w:fill="auto"/>
            <w:noWrap/>
            <w:vAlign w:val="center"/>
            <w:hideMark/>
          </w:tcPr>
          <w:p w14:paraId="0EEBFE82" w14:textId="6C51F9A9" w:rsidR="002E68EF" w:rsidRPr="002E4977" w:rsidRDefault="00932DFC" w:rsidP="002E68EF">
            <w:pPr>
              <w:jc w:val="center"/>
              <w:rPr>
                <w:rFonts w:ascii="Segoe UI" w:hAnsi="Segoe UI" w:cs="Segoe UI"/>
                <w:i/>
                <w:iCs/>
                <w:sz w:val="20"/>
                <w:szCs w:val="20"/>
              </w:rPr>
            </w:pPr>
            <w:r>
              <w:rPr>
                <w:rFonts w:ascii="Segoe UI" w:hAnsi="Segoe UI" w:cs="Segoe UI"/>
                <w:i/>
                <w:iCs/>
                <w:sz w:val="20"/>
                <w:szCs w:val="20"/>
              </w:rPr>
              <w:t>42 830</w:t>
            </w:r>
          </w:p>
        </w:tc>
        <w:tc>
          <w:tcPr>
            <w:tcW w:w="1134" w:type="dxa"/>
            <w:tcBorders>
              <w:top w:val="nil"/>
              <w:left w:val="nil"/>
              <w:bottom w:val="single" w:sz="4" w:space="0" w:color="auto"/>
              <w:right w:val="single" w:sz="4" w:space="0" w:color="auto"/>
            </w:tcBorders>
            <w:shd w:val="clear" w:color="auto" w:fill="auto"/>
            <w:noWrap/>
            <w:vAlign w:val="center"/>
            <w:hideMark/>
          </w:tcPr>
          <w:p w14:paraId="0E8F7D19" w14:textId="77777777" w:rsidR="002E68EF" w:rsidRPr="002E4977" w:rsidRDefault="002E68EF" w:rsidP="002E68EF">
            <w:pPr>
              <w:jc w:val="center"/>
              <w:rPr>
                <w:rFonts w:ascii="Segoe UI" w:hAnsi="Segoe UI" w:cs="Segoe UI"/>
                <w:i/>
                <w:iCs/>
                <w:sz w:val="20"/>
                <w:szCs w:val="20"/>
              </w:rPr>
            </w:pPr>
            <w:r w:rsidRPr="002E4977">
              <w:rPr>
                <w:rFonts w:ascii="Segoe UI" w:hAnsi="Segoe UI" w:cs="Segoe UI"/>
                <w:i/>
                <w:iCs/>
                <w:sz w:val="20"/>
                <w:szCs w:val="20"/>
              </w:rPr>
              <w:t>0,0</w:t>
            </w:r>
          </w:p>
        </w:tc>
        <w:tc>
          <w:tcPr>
            <w:tcW w:w="860" w:type="dxa"/>
            <w:tcBorders>
              <w:top w:val="nil"/>
              <w:left w:val="nil"/>
              <w:bottom w:val="single" w:sz="4" w:space="0" w:color="auto"/>
              <w:right w:val="single" w:sz="4" w:space="0" w:color="auto"/>
            </w:tcBorders>
            <w:shd w:val="clear" w:color="auto" w:fill="auto"/>
            <w:noWrap/>
            <w:vAlign w:val="center"/>
            <w:hideMark/>
          </w:tcPr>
          <w:p w14:paraId="31BEE094" w14:textId="77777777" w:rsidR="002E68EF" w:rsidRPr="002E4977" w:rsidRDefault="002E68EF" w:rsidP="002E68EF">
            <w:pPr>
              <w:jc w:val="center"/>
              <w:rPr>
                <w:rFonts w:ascii="Segoe UI" w:hAnsi="Segoe UI" w:cs="Segoe UI"/>
                <w:sz w:val="20"/>
                <w:szCs w:val="20"/>
              </w:rPr>
            </w:pPr>
            <w:r w:rsidRPr="002E4977">
              <w:rPr>
                <w:rFonts w:ascii="Segoe UI" w:hAnsi="Segoe UI" w:cs="Segoe UI"/>
                <w:sz w:val="20"/>
                <w:szCs w:val="20"/>
              </w:rPr>
              <w:t>0,0</w:t>
            </w:r>
          </w:p>
        </w:tc>
        <w:tc>
          <w:tcPr>
            <w:tcW w:w="1125" w:type="dxa"/>
            <w:tcBorders>
              <w:top w:val="nil"/>
              <w:left w:val="nil"/>
              <w:bottom w:val="single" w:sz="4" w:space="0" w:color="auto"/>
              <w:right w:val="single" w:sz="4" w:space="0" w:color="auto"/>
            </w:tcBorders>
            <w:shd w:val="clear" w:color="000000" w:fill="DBE5F1"/>
            <w:noWrap/>
            <w:vAlign w:val="center"/>
            <w:hideMark/>
          </w:tcPr>
          <w:p w14:paraId="02BA65F6" w14:textId="77777777" w:rsidR="002E68EF" w:rsidRPr="002E4977" w:rsidRDefault="002E68EF" w:rsidP="002E68EF">
            <w:pPr>
              <w:jc w:val="center"/>
              <w:rPr>
                <w:rFonts w:ascii="Segoe UI" w:hAnsi="Segoe UI" w:cs="Segoe UI"/>
                <w:i/>
                <w:iCs/>
                <w:sz w:val="20"/>
                <w:szCs w:val="20"/>
              </w:rPr>
            </w:pPr>
            <w:r w:rsidRPr="002E4977">
              <w:rPr>
                <w:rFonts w:ascii="Segoe UI" w:hAnsi="Segoe UI" w:cs="Segoe UI"/>
                <w:i/>
                <w:iCs/>
                <w:sz w:val="20"/>
                <w:szCs w:val="20"/>
              </w:rPr>
              <w:t>60 300</w:t>
            </w:r>
          </w:p>
        </w:tc>
        <w:tc>
          <w:tcPr>
            <w:tcW w:w="1200" w:type="dxa"/>
            <w:tcBorders>
              <w:top w:val="nil"/>
              <w:left w:val="nil"/>
              <w:bottom w:val="single" w:sz="4" w:space="0" w:color="auto"/>
              <w:right w:val="single" w:sz="4" w:space="0" w:color="auto"/>
            </w:tcBorders>
            <w:shd w:val="clear" w:color="000000" w:fill="DBE5F1"/>
            <w:noWrap/>
            <w:vAlign w:val="center"/>
            <w:hideMark/>
          </w:tcPr>
          <w:p w14:paraId="43E639D3" w14:textId="77777777" w:rsidR="002E68EF" w:rsidRPr="002E4977" w:rsidRDefault="002E68EF" w:rsidP="002E68EF">
            <w:pPr>
              <w:jc w:val="center"/>
              <w:rPr>
                <w:rFonts w:ascii="Segoe UI" w:hAnsi="Segoe UI" w:cs="Segoe UI"/>
                <w:i/>
                <w:iCs/>
                <w:sz w:val="20"/>
                <w:szCs w:val="20"/>
              </w:rPr>
            </w:pPr>
            <w:r w:rsidRPr="002E4977">
              <w:rPr>
                <w:rFonts w:ascii="Segoe UI" w:hAnsi="Segoe UI" w:cs="Segoe UI"/>
                <w:i/>
                <w:iCs/>
                <w:sz w:val="20"/>
                <w:szCs w:val="20"/>
              </w:rPr>
              <w:t>6 035,0</w:t>
            </w:r>
          </w:p>
        </w:tc>
        <w:tc>
          <w:tcPr>
            <w:tcW w:w="737" w:type="dxa"/>
            <w:tcBorders>
              <w:top w:val="nil"/>
              <w:left w:val="nil"/>
              <w:bottom w:val="single" w:sz="4" w:space="0" w:color="auto"/>
              <w:right w:val="single" w:sz="4" w:space="0" w:color="auto"/>
            </w:tcBorders>
            <w:shd w:val="clear" w:color="000000" w:fill="DBE5F1"/>
            <w:noWrap/>
            <w:vAlign w:val="center"/>
            <w:hideMark/>
          </w:tcPr>
          <w:p w14:paraId="72453AFA" w14:textId="77777777" w:rsidR="002E68EF" w:rsidRPr="002E4977" w:rsidRDefault="002E68EF" w:rsidP="002E68EF">
            <w:pPr>
              <w:jc w:val="center"/>
              <w:rPr>
                <w:rFonts w:ascii="Segoe UI" w:hAnsi="Segoe UI" w:cs="Segoe UI"/>
                <w:sz w:val="20"/>
                <w:szCs w:val="20"/>
              </w:rPr>
            </w:pPr>
            <w:r w:rsidRPr="002E4977">
              <w:rPr>
                <w:rFonts w:ascii="Segoe UI" w:hAnsi="Segoe UI" w:cs="Segoe UI"/>
                <w:sz w:val="20"/>
                <w:szCs w:val="20"/>
              </w:rPr>
              <w:t>10,0</w:t>
            </w:r>
          </w:p>
        </w:tc>
        <w:tc>
          <w:tcPr>
            <w:tcW w:w="1110" w:type="dxa"/>
            <w:tcBorders>
              <w:top w:val="nil"/>
              <w:left w:val="nil"/>
              <w:bottom w:val="single" w:sz="4" w:space="0" w:color="auto"/>
              <w:right w:val="single" w:sz="4" w:space="0" w:color="auto"/>
            </w:tcBorders>
            <w:shd w:val="clear" w:color="auto" w:fill="auto"/>
            <w:noWrap/>
            <w:vAlign w:val="center"/>
            <w:hideMark/>
          </w:tcPr>
          <w:p w14:paraId="64F48C2B" w14:textId="77777777" w:rsidR="002E68EF" w:rsidRPr="002E4977" w:rsidRDefault="002E68EF" w:rsidP="002E68EF">
            <w:pPr>
              <w:jc w:val="center"/>
              <w:rPr>
                <w:rFonts w:ascii="Segoe UI" w:hAnsi="Segoe UI" w:cs="Segoe UI"/>
                <w:sz w:val="20"/>
                <w:szCs w:val="20"/>
              </w:rPr>
            </w:pPr>
            <w:r w:rsidRPr="002E4977">
              <w:rPr>
                <w:rFonts w:ascii="Segoe UI" w:hAnsi="Segoe UI" w:cs="Segoe UI"/>
                <w:sz w:val="20"/>
                <w:szCs w:val="20"/>
              </w:rPr>
              <w:t>6 035,0</w:t>
            </w:r>
          </w:p>
        </w:tc>
        <w:tc>
          <w:tcPr>
            <w:tcW w:w="1346" w:type="dxa"/>
            <w:tcBorders>
              <w:top w:val="nil"/>
              <w:left w:val="nil"/>
              <w:bottom w:val="single" w:sz="4" w:space="0" w:color="auto"/>
              <w:right w:val="single" w:sz="4" w:space="0" w:color="auto"/>
            </w:tcBorders>
            <w:shd w:val="clear" w:color="auto" w:fill="auto"/>
            <w:noWrap/>
            <w:vAlign w:val="center"/>
            <w:hideMark/>
          </w:tcPr>
          <w:p w14:paraId="14B2377F" w14:textId="77777777" w:rsidR="002E68EF" w:rsidRPr="002E4977" w:rsidRDefault="002E68EF" w:rsidP="002E68EF">
            <w:pPr>
              <w:jc w:val="center"/>
              <w:rPr>
                <w:rFonts w:ascii="Segoe UI" w:hAnsi="Segoe UI" w:cs="Segoe UI"/>
                <w:sz w:val="20"/>
                <w:szCs w:val="20"/>
              </w:rPr>
            </w:pPr>
            <w:r w:rsidRPr="002E4977">
              <w:rPr>
                <w:rFonts w:ascii="Segoe UI" w:hAnsi="Segoe UI" w:cs="Segoe UI"/>
                <w:sz w:val="20"/>
                <w:szCs w:val="20"/>
              </w:rPr>
              <w:t>-</w:t>
            </w:r>
          </w:p>
        </w:tc>
      </w:tr>
      <w:tr w:rsidR="002E68EF" w:rsidRPr="008A65E9" w14:paraId="28F4634D" w14:textId="77777777" w:rsidTr="002E4977">
        <w:trPr>
          <w:trHeight w:val="435"/>
        </w:trPr>
        <w:tc>
          <w:tcPr>
            <w:tcW w:w="1489" w:type="dxa"/>
            <w:tcBorders>
              <w:top w:val="nil"/>
              <w:left w:val="single" w:sz="4" w:space="0" w:color="auto"/>
              <w:bottom w:val="single" w:sz="4" w:space="0" w:color="auto"/>
              <w:right w:val="single" w:sz="4" w:space="0" w:color="auto"/>
            </w:tcBorders>
            <w:shd w:val="clear" w:color="auto" w:fill="auto"/>
            <w:noWrap/>
            <w:hideMark/>
          </w:tcPr>
          <w:p w14:paraId="0ABE2B21" w14:textId="77777777" w:rsidR="002E68EF" w:rsidRPr="002E4977" w:rsidRDefault="002E68EF" w:rsidP="000F63AF">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TOTAL</w:t>
            </w:r>
          </w:p>
        </w:tc>
        <w:tc>
          <w:tcPr>
            <w:tcW w:w="1134" w:type="dxa"/>
            <w:tcBorders>
              <w:top w:val="nil"/>
              <w:left w:val="nil"/>
              <w:bottom w:val="single" w:sz="4" w:space="0" w:color="auto"/>
              <w:right w:val="single" w:sz="4" w:space="0" w:color="auto"/>
            </w:tcBorders>
            <w:shd w:val="clear" w:color="auto" w:fill="auto"/>
            <w:noWrap/>
            <w:hideMark/>
          </w:tcPr>
          <w:p w14:paraId="3C893C4C" w14:textId="7FE12F58" w:rsidR="002E68EF" w:rsidRPr="002E4977" w:rsidRDefault="00932DFC" w:rsidP="000F63AF">
            <w:pPr>
              <w:jc w:val="center"/>
              <w:rPr>
                <w:rFonts w:ascii="Segoe UI" w:hAnsi="Segoe UI" w:cs="Segoe UI"/>
                <w:sz w:val="20"/>
                <w:szCs w:val="20"/>
              </w:rPr>
            </w:pPr>
            <w:r>
              <w:rPr>
                <w:rFonts w:ascii="Segoe UI" w:hAnsi="Segoe UI" w:cs="Segoe UI"/>
                <w:sz w:val="20"/>
                <w:szCs w:val="20"/>
              </w:rPr>
              <w:t>51 299</w:t>
            </w:r>
          </w:p>
        </w:tc>
        <w:tc>
          <w:tcPr>
            <w:tcW w:w="1134" w:type="dxa"/>
            <w:tcBorders>
              <w:top w:val="nil"/>
              <w:left w:val="nil"/>
              <w:bottom w:val="single" w:sz="4" w:space="0" w:color="auto"/>
              <w:right w:val="single" w:sz="4" w:space="0" w:color="auto"/>
            </w:tcBorders>
            <w:shd w:val="clear" w:color="auto" w:fill="auto"/>
            <w:noWrap/>
            <w:hideMark/>
          </w:tcPr>
          <w:p w14:paraId="77DB08FF" w14:textId="1A81EB25" w:rsidR="002E68EF" w:rsidRPr="002E4977" w:rsidRDefault="00B01CE8" w:rsidP="00B01CE8">
            <w:pPr>
              <w:jc w:val="center"/>
              <w:rPr>
                <w:rFonts w:ascii="Segoe UI" w:hAnsi="Segoe UI" w:cs="Segoe UI"/>
                <w:sz w:val="20"/>
                <w:szCs w:val="20"/>
              </w:rPr>
            </w:pPr>
            <w:r>
              <w:rPr>
                <w:rFonts w:ascii="Segoe UI" w:hAnsi="Segoe UI" w:cs="Segoe UI"/>
                <w:sz w:val="20"/>
                <w:szCs w:val="20"/>
              </w:rPr>
              <w:t>190,8</w:t>
            </w:r>
          </w:p>
        </w:tc>
        <w:tc>
          <w:tcPr>
            <w:tcW w:w="860" w:type="dxa"/>
            <w:tcBorders>
              <w:top w:val="nil"/>
              <w:left w:val="nil"/>
              <w:bottom w:val="single" w:sz="4" w:space="0" w:color="auto"/>
              <w:right w:val="single" w:sz="4" w:space="0" w:color="auto"/>
            </w:tcBorders>
            <w:shd w:val="clear" w:color="auto" w:fill="auto"/>
            <w:noWrap/>
            <w:hideMark/>
          </w:tcPr>
          <w:p w14:paraId="28F5133A" w14:textId="0E3DABE9" w:rsidR="002E68EF" w:rsidRPr="002E4977" w:rsidRDefault="00932DFC" w:rsidP="000F63AF">
            <w:pPr>
              <w:jc w:val="center"/>
              <w:rPr>
                <w:rFonts w:ascii="Segoe UI" w:hAnsi="Segoe UI" w:cs="Segoe UI"/>
                <w:sz w:val="20"/>
                <w:szCs w:val="20"/>
              </w:rPr>
            </w:pPr>
            <w:r>
              <w:rPr>
                <w:rFonts w:ascii="Segoe UI" w:hAnsi="Segoe UI" w:cs="Segoe UI"/>
                <w:sz w:val="20"/>
                <w:szCs w:val="20"/>
              </w:rPr>
              <w:t>0,4</w:t>
            </w:r>
          </w:p>
        </w:tc>
        <w:tc>
          <w:tcPr>
            <w:tcW w:w="1125" w:type="dxa"/>
            <w:tcBorders>
              <w:top w:val="nil"/>
              <w:left w:val="nil"/>
              <w:bottom w:val="single" w:sz="4" w:space="0" w:color="auto"/>
              <w:right w:val="single" w:sz="4" w:space="0" w:color="auto"/>
            </w:tcBorders>
            <w:shd w:val="clear" w:color="000000" w:fill="DBE5F1"/>
            <w:noWrap/>
            <w:hideMark/>
          </w:tcPr>
          <w:p w14:paraId="5CEF63D2" w14:textId="77777777" w:rsidR="002E68EF" w:rsidRPr="002E4977" w:rsidRDefault="002E68EF" w:rsidP="000F63AF">
            <w:pPr>
              <w:jc w:val="center"/>
              <w:rPr>
                <w:rFonts w:ascii="Segoe UI" w:hAnsi="Segoe UI" w:cs="Segoe UI"/>
                <w:sz w:val="20"/>
                <w:szCs w:val="20"/>
              </w:rPr>
            </w:pPr>
            <w:r w:rsidRPr="002E4977">
              <w:rPr>
                <w:rFonts w:ascii="Segoe UI" w:hAnsi="Segoe UI" w:cs="Segoe UI"/>
                <w:sz w:val="20"/>
                <w:szCs w:val="20"/>
              </w:rPr>
              <w:t>84 140</w:t>
            </w:r>
          </w:p>
        </w:tc>
        <w:tc>
          <w:tcPr>
            <w:tcW w:w="1200" w:type="dxa"/>
            <w:tcBorders>
              <w:top w:val="nil"/>
              <w:left w:val="nil"/>
              <w:bottom w:val="single" w:sz="4" w:space="0" w:color="auto"/>
              <w:right w:val="single" w:sz="4" w:space="0" w:color="auto"/>
            </w:tcBorders>
            <w:shd w:val="clear" w:color="000000" w:fill="DBE5F1"/>
            <w:noWrap/>
            <w:hideMark/>
          </w:tcPr>
          <w:p w14:paraId="66D561A1" w14:textId="77777777" w:rsidR="002E68EF" w:rsidRPr="002E4977" w:rsidRDefault="002E68EF" w:rsidP="000F63AF">
            <w:pPr>
              <w:jc w:val="center"/>
              <w:rPr>
                <w:rFonts w:ascii="Segoe UI" w:hAnsi="Segoe UI" w:cs="Segoe UI"/>
                <w:sz w:val="20"/>
                <w:szCs w:val="20"/>
              </w:rPr>
            </w:pPr>
            <w:r w:rsidRPr="002E4977">
              <w:rPr>
                <w:rFonts w:ascii="Segoe UI" w:hAnsi="Segoe UI" w:cs="Segoe UI"/>
                <w:sz w:val="20"/>
                <w:szCs w:val="20"/>
              </w:rPr>
              <w:t>6 035,0</w:t>
            </w:r>
          </w:p>
        </w:tc>
        <w:tc>
          <w:tcPr>
            <w:tcW w:w="737" w:type="dxa"/>
            <w:tcBorders>
              <w:top w:val="nil"/>
              <w:left w:val="nil"/>
              <w:bottom w:val="single" w:sz="4" w:space="0" w:color="auto"/>
              <w:right w:val="single" w:sz="4" w:space="0" w:color="auto"/>
            </w:tcBorders>
            <w:shd w:val="clear" w:color="000000" w:fill="DBE5F1"/>
            <w:noWrap/>
            <w:hideMark/>
          </w:tcPr>
          <w:p w14:paraId="230F3E5F" w14:textId="77777777" w:rsidR="002E68EF" w:rsidRPr="002E4977" w:rsidRDefault="002E68EF" w:rsidP="000F63AF">
            <w:pPr>
              <w:jc w:val="center"/>
              <w:rPr>
                <w:rFonts w:ascii="Segoe UI" w:hAnsi="Segoe UI" w:cs="Segoe UI"/>
                <w:sz w:val="20"/>
                <w:szCs w:val="20"/>
              </w:rPr>
            </w:pPr>
            <w:r w:rsidRPr="002E4977">
              <w:rPr>
                <w:rFonts w:ascii="Segoe UI" w:hAnsi="Segoe UI" w:cs="Segoe UI"/>
                <w:sz w:val="20"/>
                <w:szCs w:val="20"/>
              </w:rPr>
              <w:t>7,2</w:t>
            </w:r>
          </w:p>
        </w:tc>
        <w:tc>
          <w:tcPr>
            <w:tcW w:w="1110" w:type="dxa"/>
            <w:tcBorders>
              <w:top w:val="nil"/>
              <w:left w:val="nil"/>
              <w:bottom w:val="single" w:sz="4" w:space="0" w:color="auto"/>
              <w:right w:val="single" w:sz="4" w:space="0" w:color="auto"/>
            </w:tcBorders>
            <w:shd w:val="clear" w:color="auto" w:fill="auto"/>
            <w:noWrap/>
            <w:hideMark/>
          </w:tcPr>
          <w:p w14:paraId="1AD89709" w14:textId="77777777" w:rsidR="002E68EF" w:rsidRPr="002E4977" w:rsidRDefault="002E68EF" w:rsidP="000F63AF">
            <w:pPr>
              <w:jc w:val="center"/>
              <w:rPr>
                <w:rFonts w:ascii="Segoe UI" w:hAnsi="Segoe UI" w:cs="Segoe UI"/>
                <w:sz w:val="20"/>
                <w:szCs w:val="20"/>
              </w:rPr>
            </w:pPr>
            <w:r w:rsidRPr="002E4977">
              <w:rPr>
                <w:rFonts w:ascii="Segoe UI" w:hAnsi="Segoe UI" w:cs="Segoe UI"/>
                <w:sz w:val="20"/>
                <w:szCs w:val="20"/>
              </w:rPr>
              <w:t>5 844,2</w:t>
            </w:r>
          </w:p>
        </w:tc>
        <w:tc>
          <w:tcPr>
            <w:tcW w:w="1346" w:type="dxa"/>
            <w:tcBorders>
              <w:top w:val="nil"/>
              <w:left w:val="nil"/>
              <w:bottom w:val="single" w:sz="4" w:space="0" w:color="auto"/>
              <w:right w:val="single" w:sz="4" w:space="0" w:color="auto"/>
            </w:tcBorders>
            <w:shd w:val="clear" w:color="auto" w:fill="auto"/>
            <w:noWrap/>
            <w:hideMark/>
          </w:tcPr>
          <w:p w14:paraId="0226E38E" w14:textId="77777777" w:rsidR="002E68EF" w:rsidRPr="002E4977" w:rsidRDefault="002E68EF" w:rsidP="000F63AF">
            <w:pPr>
              <w:jc w:val="center"/>
              <w:rPr>
                <w:rFonts w:ascii="Segoe UI" w:hAnsi="Segoe UI" w:cs="Segoe UI"/>
                <w:sz w:val="20"/>
                <w:szCs w:val="20"/>
              </w:rPr>
            </w:pPr>
            <w:r w:rsidRPr="002E4977">
              <w:rPr>
                <w:rFonts w:ascii="Segoe UI" w:hAnsi="Segoe UI" w:cs="Segoe UI"/>
                <w:sz w:val="20"/>
                <w:szCs w:val="20"/>
              </w:rPr>
              <w:t>3 063,0</w:t>
            </w:r>
          </w:p>
        </w:tc>
      </w:tr>
    </w:tbl>
    <w:p w14:paraId="42925AF7" w14:textId="77777777" w:rsidR="005E6E8C" w:rsidRPr="001541CB" w:rsidRDefault="00E96F11" w:rsidP="002C11DF">
      <w:pPr>
        <w:rPr>
          <w:rFonts w:ascii="Segoe UI" w:hAnsi="Segoe UI" w:cs="Segoe UI"/>
          <w:sz w:val="24"/>
          <w:szCs w:val="24"/>
        </w:rPr>
      </w:pPr>
      <w:r w:rsidRPr="001541CB">
        <w:rPr>
          <w:rFonts w:ascii="Segoe UI" w:hAnsi="Segoe UI" w:cs="Segoe UI"/>
          <w:b/>
          <w:sz w:val="24"/>
          <w:szCs w:val="24"/>
          <w:u w:val="single"/>
        </w:rPr>
        <w:t>Source</w:t>
      </w:r>
      <w:r w:rsidRPr="001541CB">
        <w:rPr>
          <w:rFonts w:ascii="Segoe UI" w:hAnsi="Segoe UI" w:cs="Segoe UI"/>
          <w:sz w:val="24"/>
          <w:szCs w:val="24"/>
        </w:rPr>
        <w:t xml:space="preserve">: MEF/DGB/CAA, </w:t>
      </w:r>
      <w:r w:rsidR="003374B1" w:rsidRPr="001541CB">
        <w:rPr>
          <w:rFonts w:ascii="Segoe UI" w:hAnsi="Segoe UI" w:cs="Segoe UI"/>
          <w:sz w:val="24"/>
          <w:szCs w:val="24"/>
        </w:rPr>
        <w:t>avril</w:t>
      </w:r>
      <w:r w:rsidRPr="001541CB">
        <w:rPr>
          <w:rFonts w:ascii="Segoe UI" w:hAnsi="Segoe UI" w:cs="Segoe UI"/>
          <w:sz w:val="24"/>
          <w:szCs w:val="24"/>
        </w:rPr>
        <w:t xml:space="preserve"> 201</w:t>
      </w:r>
      <w:r w:rsidR="005C53A7" w:rsidRPr="001541CB">
        <w:rPr>
          <w:rFonts w:ascii="Segoe UI" w:hAnsi="Segoe UI" w:cs="Segoe UI"/>
          <w:sz w:val="24"/>
          <w:szCs w:val="24"/>
        </w:rPr>
        <w:t>7</w:t>
      </w:r>
    </w:p>
    <w:p w14:paraId="03B885FC" w14:textId="77777777" w:rsidR="002C11DF" w:rsidRPr="001541CB" w:rsidRDefault="0074747B" w:rsidP="002C11DF">
      <w:pPr>
        <w:pStyle w:val="Titre2"/>
        <w:numPr>
          <w:ilvl w:val="0"/>
          <w:numId w:val="4"/>
        </w:numPr>
        <w:rPr>
          <w:rFonts w:ascii="Segoe UI" w:hAnsi="Segoe UI" w:cs="Segoe UI"/>
          <w:sz w:val="24"/>
          <w:szCs w:val="24"/>
        </w:rPr>
      </w:pPr>
      <w:bookmarkStart w:id="18" w:name="_Toc484105609"/>
      <w:r w:rsidRPr="001541CB">
        <w:rPr>
          <w:rFonts w:ascii="Segoe UI" w:hAnsi="Segoe UI" w:cs="Segoe UI"/>
          <w:sz w:val="24"/>
          <w:szCs w:val="24"/>
        </w:rPr>
        <w:t>D</w:t>
      </w:r>
      <w:r w:rsidR="002C11DF" w:rsidRPr="001541CB">
        <w:rPr>
          <w:rFonts w:ascii="Segoe UI" w:hAnsi="Segoe UI" w:cs="Segoe UI"/>
          <w:sz w:val="24"/>
          <w:szCs w:val="24"/>
        </w:rPr>
        <w:t>épenses budgétaires au 3</w:t>
      </w:r>
      <w:r w:rsidR="001F5B2E" w:rsidRPr="001541CB">
        <w:rPr>
          <w:rFonts w:ascii="Segoe UI" w:hAnsi="Segoe UI" w:cs="Segoe UI"/>
          <w:sz w:val="24"/>
          <w:szCs w:val="24"/>
        </w:rPr>
        <w:t>1</w:t>
      </w:r>
      <w:r w:rsidR="00792ACF" w:rsidRPr="001541CB">
        <w:rPr>
          <w:rFonts w:ascii="Segoe UI" w:hAnsi="Segoe UI" w:cs="Segoe UI"/>
          <w:sz w:val="24"/>
          <w:szCs w:val="24"/>
        </w:rPr>
        <w:t>mars</w:t>
      </w:r>
      <w:r w:rsidR="00540A58" w:rsidRPr="001541CB">
        <w:rPr>
          <w:rFonts w:ascii="Segoe UI" w:hAnsi="Segoe UI" w:cs="Segoe UI"/>
          <w:sz w:val="24"/>
          <w:szCs w:val="24"/>
        </w:rPr>
        <w:t xml:space="preserve"> 2017</w:t>
      </w:r>
      <w:bookmarkEnd w:id="18"/>
    </w:p>
    <w:p w14:paraId="58F8B643" w14:textId="77777777" w:rsidR="00D75C53" w:rsidRPr="001541CB" w:rsidRDefault="00D75C53" w:rsidP="001656E1">
      <w:pPr>
        <w:spacing w:after="0"/>
        <w:rPr>
          <w:rFonts w:ascii="Segoe UI" w:hAnsi="Segoe UI" w:cs="Segoe UI"/>
          <w:sz w:val="24"/>
          <w:szCs w:val="24"/>
        </w:rPr>
      </w:pPr>
    </w:p>
    <w:p w14:paraId="201FFF80" w14:textId="58AAE99F" w:rsidR="00D57D47" w:rsidRPr="001541CB" w:rsidRDefault="00E77EE6" w:rsidP="001E3863">
      <w:pPr>
        <w:spacing w:line="360" w:lineRule="auto"/>
        <w:jc w:val="both"/>
        <w:rPr>
          <w:rFonts w:ascii="Segoe UI" w:hAnsi="Segoe UI" w:cs="Segoe UI"/>
          <w:bCs/>
          <w:iCs/>
          <w:sz w:val="24"/>
          <w:szCs w:val="24"/>
        </w:rPr>
      </w:pPr>
      <w:r w:rsidRPr="001541CB">
        <w:rPr>
          <w:rFonts w:ascii="Segoe UI" w:hAnsi="Segoe UI" w:cs="Segoe UI"/>
          <w:bCs/>
          <w:iCs/>
          <w:sz w:val="24"/>
          <w:szCs w:val="24"/>
        </w:rPr>
        <w:t>L</w:t>
      </w:r>
      <w:r w:rsidR="00664B73" w:rsidRPr="001541CB">
        <w:rPr>
          <w:rFonts w:ascii="Segoe UI" w:hAnsi="Segoe UI" w:cs="Segoe UI"/>
          <w:bCs/>
          <w:iCs/>
          <w:sz w:val="24"/>
          <w:szCs w:val="24"/>
        </w:rPr>
        <w:t xml:space="preserve">’exécution </w:t>
      </w:r>
      <w:r w:rsidR="006D5AE1" w:rsidRPr="001541CB">
        <w:rPr>
          <w:rFonts w:ascii="Segoe UI" w:hAnsi="Segoe UI" w:cs="Segoe UI"/>
          <w:bCs/>
          <w:iCs/>
          <w:sz w:val="24"/>
          <w:szCs w:val="24"/>
        </w:rPr>
        <w:t>d</w:t>
      </w:r>
      <w:r w:rsidR="001E3863" w:rsidRPr="001541CB">
        <w:rPr>
          <w:rFonts w:ascii="Segoe UI" w:hAnsi="Segoe UI" w:cs="Segoe UI"/>
          <w:bCs/>
          <w:iCs/>
          <w:sz w:val="24"/>
          <w:szCs w:val="24"/>
        </w:rPr>
        <w:t xml:space="preserve">es dépenses du budget de l’Etat </w:t>
      </w:r>
      <w:r w:rsidRPr="001541CB">
        <w:rPr>
          <w:rFonts w:ascii="Segoe UI" w:hAnsi="Segoe UI" w:cs="Segoe UI"/>
          <w:bCs/>
          <w:iCs/>
          <w:sz w:val="24"/>
          <w:szCs w:val="24"/>
        </w:rPr>
        <w:t>au titre du</w:t>
      </w:r>
      <w:r w:rsidR="00E14538" w:rsidRPr="001541CB">
        <w:rPr>
          <w:rFonts w:ascii="Segoe UI" w:hAnsi="Segoe UI" w:cs="Segoe UI"/>
          <w:bCs/>
          <w:iCs/>
          <w:sz w:val="24"/>
          <w:szCs w:val="24"/>
        </w:rPr>
        <w:t xml:space="preserve"> premier trimestre de </w:t>
      </w:r>
      <w:r w:rsidR="00FA41E1">
        <w:rPr>
          <w:rFonts w:ascii="Segoe UI" w:hAnsi="Segoe UI" w:cs="Segoe UI"/>
          <w:bCs/>
          <w:iCs/>
          <w:sz w:val="24"/>
          <w:szCs w:val="24"/>
        </w:rPr>
        <w:t>l’année</w:t>
      </w:r>
      <w:r w:rsidR="006D5AE1" w:rsidRPr="001541CB">
        <w:rPr>
          <w:rFonts w:ascii="Segoe UI" w:hAnsi="Segoe UI" w:cs="Segoe UI"/>
          <w:bCs/>
          <w:iCs/>
          <w:sz w:val="24"/>
          <w:szCs w:val="24"/>
        </w:rPr>
        <w:t xml:space="preserve"> 201</w:t>
      </w:r>
      <w:r w:rsidR="00527C5C" w:rsidRPr="001541CB">
        <w:rPr>
          <w:rFonts w:ascii="Segoe UI" w:hAnsi="Segoe UI" w:cs="Segoe UI"/>
          <w:bCs/>
          <w:iCs/>
          <w:sz w:val="24"/>
          <w:szCs w:val="24"/>
        </w:rPr>
        <w:t>7</w:t>
      </w:r>
      <w:r w:rsidR="006D5AE1" w:rsidRPr="001541CB">
        <w:rPr>
          <w:rFonts w:ascii="Segoe UI" w:hAnsi="Segoe UI" w:cs="Segoe UI"/>
          <w:bCs/>
          <w:iCs/>
          <w:sz w:val="24"/>
          <w:szCs w:val="24"/>
        </w:rPr>
        <w:t xml:space="preserve">, </w:t>
      </w:r>
      <w:r w:rsidR="00532D89" w:rsidRPr="001541CB">
        <w:rPr>
          <w:rFonts w:ascii="Segoe UI" w:hAnsi="Segoe UI" w:cs="Segoe UI"/>
          <w:bCs/>
          <w:iCs/>
          <w:sz w:val="24"/>
          <w:szCs w:val="24"/>
        </w:rPr>
        <w:t xml:space="preserve">fait ressortir </w:t>
      </w:r>
      <w:r w:rsidR="006D5AE1" w:rsidRPr="001541CB">
        <w:rPr>
          <w:rFonts w:ascii="Segoe UI" w:hAnsi="Segoe UI" w:cs="Segoe UI"/>
          <w:bCs/>
          <w:iCs/>
          <w:sz w:val="24"/>
          <w:szCs w:val="24"/>
        </w:rPr>
        <w:t xml:space="preserve">les engagements </w:t>
      </w:r>
      <w:r w:rsidR="00532D89" w:rsidRPr="001541CB">
        <w:rPr>
          <w:rFonts w:ascii="Segoe UI" w:hAnsi="Segoe UI" w:cs="Segoe UI"/>
          <w:bCs/>
          <w:iCs/>
          <w:sz w:val="24"/>
          <w:szCs w:val="24"/>
        </w:rPr>
        <w:t>à</w:t>
      </w:r>
      <w:r w:rsidR="00D60C60" w:rsidRPr="001541CB">
        <w:rPr>
          <w:rFonts w:ascii="Segoe UI" w:hAnsi="Segoe UI" w:cs="Segoe UI"/>
          <w:bCs/>
          <w:iCs/>
          <w:sz w:val="24"/>
          <w:szCs w:val="24"/>
        </w:rPr>
        <w:t xml:space="preserve"> un montant de</w:t>
      </w:r>
      <w:r w:rsidR="00931EE8" w:rsidRPr="001541CB">
        <w:rPr>
          <w:rFonts w:ascii="Segoe UI" w:hAnsi="Segoe UI" w:cs="Segoe UI"/>
          <w:bCs/>
          <w:iCs/>
          <w:sz w:val="24"/>
          <w:szCs w:val="24"/>
        </w:rPr>
        <w:t xml:space="preserve"> </w:t>
      </w:r>
      <w:r w:rsidR="00774D09">
        <w:rPr>
          <w:rFonts w:ascii="Segoe UI" w:hAnsi="Segoe UI" w:cs="Segoe UI"/>
          <w:bCs/>
          <w:iCs/>
          <w:sz w:val="24"/>
          <w:szCs w:val="24"/>
        </w:rPr>
        <w:t>291 050</w:t>
      </w:r>
      <w:r w:rsidR="00395981" w:rsidRPr="001541CB">
        <w:rPr>
          <w:rFonts w:ascii="Segoe UI" w:hAnsi="Segoe UI" w:cs="Segoe UI"/>
          <w:bCs/>
          <w:iCs/>
          <w:sz w:val="24"/>
          <w:szCs w:val="24"/>
        </w:rPr>
        <w:t xml:space="preserve"> millions de FCFA </w:t>
      </w:r>
      <w:r w:rsidR="004C1B9F" w:rsidRPr="001541CB">
        <w:rPr>
          <w:rFonts w:ascii="Segoe UI" w:hAnsi="Segoe UI" w:cs="Segoe UI"/>
          <w:bCs/>
          <w:iCs/>
          <w:sz w:val="24"/>
          <w:szCs w:val="24"/>
        </w:rPr>
        <w:t xml:space="preserve">sur une prévision annuelle de </w:t>
      </w:r>
      <w:r w:rsidR="00517A37" w:rsidRPr="001541CB">
        <w:rPr>
          <w:rFonts w:ascii="Segoe UI" w:hAnsi="Segoe UI" w:cs="Segoe UI"/>
          <w:bCs/>
          <w:iCs/>
          <w:sz w:val="24"/>
          <w:szCs w:val="24"/>
        </w:rPr>
        <w:t>1 697 986</w:t>
      </w:r>
      <w:r w:rsidR="004C1B9F" w:rsidRPr="001541CB">
        <w:rPr>
          <w:rFonts w:ascii="Segoe UI" w:hAnsi="Segoe UI" w:cs="Segoe UI"/>
          <w:bCs/>
          <w:iCs/>
          <w:sz w:val="24"/>
          <w:szCs w:val="24"/>
        </w:rPr>
        <w:t xml:space="preserve"> millions de FCFA</w:t>
      </w:r>
      <w:r w:rsidR="00D60C60" w:rsidRPr="001541CB">
        <w:rPr>
          <w:rFonts w:ascii="Segoe UI" w:hAnsi="Segoe UI" w:cs="Segoe UI"/>
          <w:bCs/>
          <w:iCs/>
          <w:sz w:val="24"/>
          <w:szCs w:val="24"/>
        </w:rPr>
        <w:t xml:space="preserve">. A la même période en </w:t>
      </w:r>
      <w:r w:rsidR="00B93BA1" w:rsidRPr="001541CB">
        <w:rPr>
          <w:rFonts w:ascii="Segoe UI" w:hAnsi="Segoe UI" w:cs="Segoe UI"/>
          <w:bCs/>
          <w:iCs/>
          <w:sz w:val="24"/>
          <w:szCs w:val="24"/>
        </w:rPr>
        <w:t>201</w:t>
      </w:r>
      <w:r w:rsidR="00517A37" w:rsidRPr="001541CB">
        <w:rPr>
          <w:rFonts w:ascii="Segoe UI" w:hAnsi="Segoe UI" w:cs="Segoe UI"/>
          <w:bCs/>
          <w:iCs/>
          <w:sz w:val="24"/>
          <w:szCs w:val="24"/>
        </w:rPr>
        <w:t>6</w:t>
      </w:r>
      <w:r w:rsidR="00B93BA1" w:rsidRPr="001541CB">
        <w:rPr>
          <w:rFonts w:ascii="Segoe UI" w:hAnsi="Segoe UI" w:cs="Segoe UI"/>
          <w:bCs/>
          <w:iCs/>
          <w:sz w:val="24"/>
          <w:szCs w:val="24"/>
        </w:rPr>
        <w:t>, l</w:t>
      </w:r>
      <w:r w:rsidR="003A532A" w:rsidRPr="001541CB">
        <w:rPr>
          <w:rFonts w:ascii="Segoe UI" w:hAnsi="Segoe UI" w:cs="Segoe UI"/>
          <w:bCs/>
          <w:iCs/>
          <w:sz w:val="24"/>
          <w:szCs w:val="24"/>
        </w:rPr>
        <w:t xml:space="preserve">e niveau des engagements </w:t>
      </w:r>
      <w:r w:rsidR="007B7CAF">
        <w:rPr>
          <w:rFonts w:ascii="Segoe UI" w:hAnsi="Segoe UI" w:cs="Segoe UI"/>
          <w:bCs/>
          <w:iCs/>
          <w:sz w:val="24"/>
          <w:szCs w:val="24"/>
        </w:rPr>
        <w:t>était de</w:t>
      </w:r>
      <w:r w:rsidR="00931EE8" w:rsidRPr="001541CB">
        <w:rPr>
          <w:rFonts w:ascii="Segoe UI" w:hAnsi="Segoe UI" w:cs="Segoe UI"/>
          <w:bCs/>
          <w:iCs/>
          <w:sz w:val="24"/>
          <w:szCs w:val="24"/>
        </w:rPr>
        <w:t xml:space="preserve"> </w:t>
      </w:r>
      <w:r w:rsidR="00517A37" w:rsidRPr="001541CB">
        <w:rPr>
          <w:rFonts w:ascii="Segoe UI" w:hAnsi="Segoe UI" w:cs="Segoe UI"/>
          <w:bCs/>
          <w:iCs/>
          <w:sz w:val="24"/>
          <w:szCs w:val="24"/>
        </w:rPr>
        <w:t>384 757,5</w:t>
      </w:r>
      <w:r w:rsidR="001E3863" w:rsidRPr="001541CB">
        <w:rPr>
          <w:rFonts w:ascii="Segoe UI" w:hAnsi="Segoe UI" w:cs="Segoe UI"/>
          <w:bCs/>
          <w:iCs/>
          <w:sz w:val="24"/>
          <w:szCs w:val="24"/>
        </w:rPr>
        <w:t xml:space="preserve"> millions de FCFA</w:t>
      </w:r>
      <w:r w:rsidR="00085281" w:rsidRPr="001541CB">
        <w:rPr>
          <w:rFonts w:ascii="Segoe UI" w:hAnsi="Segoe UI" w:cs="Segoe UI"/>
          <w:bCs/>
          <w:iCs/>
          <w:sz w:val="24"/>
          <w:szCs w:val="24"/>
        </w:rPr>
        <w:t xml:space="preserve"> sur</w:t>
      </w:r>
      <w:r w:rsidR="00B93BA1" w:rsidRPr="001541CB">
        <w:rPr>
          <w:rFonts w:ascii="Segoe UI" w:hAnsi="Segoe UI" w:cs="Segoe UI"/>
          <w:bCs/>
          <w:iCs/>
          <w:sz w:val="24"/>
          <w:szCs w:val="24"/>
        </w:rPr>
        <w:t xml:space="preserve"> une prévision</w:t>
      </w:r>
      <w:r w:rsidR="00AD6414">
        <w:rPr>
          <w:rFonts w:ascii="Segoe UI" w:hAnsi="Segoe UI" w:cs="Segoe UI"/>
          <w:bCs/>
          <w:iCs/>
          <w:sz w:val="24"/>
          <w:szCs w:val="24"/>
        </w:rPr>
        <w:t xml:space="preserve"> de</w:t>
      </w:r>
      <w:r w:rsidR="00085281" w:rsidRPr="001541CB">
        <w:rPr>
          <w:rFonts w:ascii="Segoe UI" w:hAnsi="Segoe UI" w:cs="Segoe UI"/>
          <w:bCs/>
          <w:iCs/>
          <w:sz w:val="24"/>
          <w:szCs w:val="24"/>
        </w:rPr>
        <w:t xml:space="preserve"> </w:t>
      </w:r>
      <w:r w:rsidR="00B01CE8">
        <w:rPr>
          <w:rFonts w:ascii="Segoe UI" w:hAnsi="Segoe UI" w:cs="Segoe UI"/>
          <w:bCs/>
          <w:iCs/>
          <w:sz w:val="24"/>
          <w:szCs w:val="24"/>
        </w:rPr>
        <w:t>1 140 346</w:t>
      </w:r>
      <w:r w:rsidR="00085281" w:rsidRPr="001541CB">
        <w:rPr>
          <w:rFonts w:ascii="Segoe UI" w:hAnsi="Segoe UI" w:cs="Segoe UI"/>
          <w:bCs/>
          <w:iCs/>
          <w:sz w:val="24"/>
          <w:szCs w:val="24"/>
        </w:rPr>
        <w:t xml:space="preserve"> millions de FCFA</w:t>
      </w:r>
      <w:r w:rsidR="00395981" w:rsidRPr="001541CB">
        <w:rPr>
          <w:rFonts w:ascii="Segoe UI" w:hAnsi="Segoe UI" w:cs="Segoe UI"/>
          <w:bCs/>
          <w:iCs/>
          <w:sz w:val="24"/>
          <w:szCs w:val="24"/>
        </w:rPr>
        <w:t>.</w:t>
      </w:r>
      <w:r w:rsidR="00B271E6" w:rsidRPr="001541CB">
        <w:rPr>
          <w:rFonts w:ascii="Segoe UI" w:hAnsi="Segoe UI" w:cs="Segoe UI"/>
          <w:bCs/>
          <w:iCs/>
          <w:sz w:val="24"/>
          <w:szCs w:val="24"/>
        </w:rPr>
        <w:t xml:space="preserve"> Les taux d’e</w:t>
      </w:r>
      <w:r w:rsidR="001E3863" w:rsidRPr="001541CB">
        <w:rPr>
          <w:rFonts w:ascii="Segoe UI" w:hAnsi="Segoe UI" w:cs="Segoe UI"/>
          <w:bCs/>
          <w:iCs/>
          <w:sz w:val="24"/>
          <w:szCs w:val="24"/>
        </w:rPr>
        <w:t xml:space="preserve">ngagement </w:t>
      </w:r>
      <w:r w:rsidR="00B271E6" w:rsidRPr="001541CB">
        <w:rPr>
          <w:rFonts w:ascii="Segoe UI" w:hAnsi="Segoe UI" w:cs="Segoe UI"/>
          <w:bCs/>
          <w:iCs/>
          <w:sz w:val="24"/>
          <w:szCs w:val="24"/>
        </w:rPr>
        <w:t>correspondant</w:t>
      </w:r>
      <w:r w:rsidR="00CF182C" w:rsidRPr="001541CB">
        <w:rPr>
          <w:rFonts w:ascii="Segoe UI" w:hAnsi="Segoe UI" w:cs="Segoe UI"/>
          <w:bCs/>
          <w:iCs/>
          <w:sz w:val="24"/>
          <w:szCs w:val="24"/>
        </w:rPr>
        <w:t>s</w:t>
      </w:r>
      <w:r w:rsidR="00B271E6" w:rsidRPr="001541CB">
        <w:rPr>
          <w:rFonts w:ascii="Segoe UI" w:hAnsi="Segoe UI" w:cs="Segoe UI"/>
          <w:bCs/>
          <w:iCs/>
          <w:sz w:val="24"/>
          <w:szCs w:val="24"/>
        </w:rPr>
        <w:t xml:space="preserve"> sont </w:t>
      </w:r>
      <w:r w:rsidR="006D5AE1" w:rsidRPr="001541CB">
        <w:rPr>
          <w:rFonts w:ascii="Segoe UI" w:hAnsi="Segoe UI" w:cs="Segoe UI"/>
          <w:bCs/>
          <w:iCs/>
          <w:sz w:val="24"/>
          <w:szCs w:val="24"/>
        </w:rPr>
        <w:t xml:space="preserve">respectivement </w:t>
      </w:r>
      <w:r w:rsidR="00B271E6" w:rsidRPr="001541CB">
        <w:rPr>
          <w:rFonts w:ascii="Segoe UI" w:hAnsi="Segoe UI" w:cs="Segoe UI"/>
          <w:bCs/>
          <w:iCs/>
          <w:sz w:val="24"/>
          <w:szCs w:val="24"/>
        </w:rPr>
        <w:t xml:space="preserve">de </w:t>
      </w:r>
      <w:r w:rsidR="00DA1769" w:rsidRPr="001541CB">
        <w:rPr>
          <w:rFonts w:ascii="Segoe UI" w:hAnsi="Segoe UI" w:cs="Segoe UI"/>
          <w:bCs/>
          <w:iCs/>
          <w:sz w:val="24"/>
          <w:szCs w:val="24"/>
        </w:rPr>
        <w:t>17</w:t>
      </w:r>
      <w:r w:rsidR="00774D09">
        <w:rPr>
          <w:rFonts w:ascii="Segoe UI" w:hAnsi="Segoe UI" w:cs="Segoe UI"/>
          <w:bCs/>
          <w:iCs/>
          <w:sz w:val="24"/>
          <w:szCs w:val="24"/>
        </w:rPr>
        <w:t>,1</w:t>
      </w:r>
      <w:r w:rsidR="00B271E6" w:rsidRPr="001541CB">
        <w:rPr>
          <w:rFonts w:ascii="Segoe UI" w:hAnsi="Segoe UI" w:cs="Segoe UI"/>
          <w:bCs/>
          <w:iCs/>
          <w:sz w:val="24"/>
          <w:szCs w:val="24"/>
        </w:rPr>
        <w:t xml:space="preserve">% et </w:t>
      </w:r>
      <w:r w:rsidR="001E3863" w:rsidRPr="001541CB">
        <w:rPr>
          <w:rFonts w:ascii="Segoe UI" w:hAnsi="Segoe UI" w:cs="Segoe UI"/>
          <w:bCs/>
          <w:iCs/>
          <w:sz w:val="24"/>
          <w:szCs w:val="24"/>
        </w:rPr>
        <w:t xml:space="preserve">de </w:t>
      </w:r>
      <w:r w:rsidR="00B01CE8">
        <w:rPr>
          <w:rFonts w:ascii="Segoe UI" w:hAnsi="Segoe UI" w:cs="Segoe UI"/>
          <w:bCs/>
          <w:iCs/>
          <w:sz w:val="24"/>
          <w:szCs w:val="24"/>
        </w:rPr>
        <w:t>33,7</w:t>
      </w:r>
      <w:r w:rsidR="001E3863" w:rsidRPr="001541CB">
        <w:rPr>
          <w:rFonts w:ascii="Segoe UI" w:hAnsi="Segoe UI" w:cs="Segoe UI"/>
          <w:bCs/>
          <w:iCs/>
          <w:sz w:val="24"/>
          <w:szCs w:val="24"/>
        </w:rPr>
        <w:t>%</w:t>
      </w:r>
      <w:r w:rsidR="00B271E6" w:rsidRPr="001541CB">
        <w:rPr>
          <w:rFonts w:ascii="Segoe UI" w:hAnsi="Segoe UI" w:cs="Segoe UI"/>
          <w:bCs/>
          <w:iCs/>
          <w:sz w:val="24"/>
          <w:szCs w:val="24"/>
        </w:rPr>
        <w:t xml:space="preserve"> à fin </w:t>
      </w:r>
      <w:r w:rsidR="0057746B" w:rsidRPr="001541CB">
        <w:rPr>
          <w:rFonts w:ascii="Segoe UI" w:hAnsi="Segoe UI" w:cs="Segoe UI"/>
          <w:bCs/>
          <w:iCs/>
          <w:sz w:val="24"/>
          <w:szCs w:val="24"/>
        </w:rPr>
        <w:t>mars</w:t>
      </w:r>
      <w:r w:rsidR="00931EE8" w:rsidRPr="001541CB">
        <w:rPr>
          <w:rFonts w:ascii="Segoe UI" w:hAnsi="Segoe UI" w:cs="Segoe UI"/>
          <w:bCs/>
          <w:iCs/>
          <w:sz w:val="24"/>
          <w:szCs w:val="24"/>
        </w:rPr>
        <w:t xml:space="preserve"> </w:t>
      </w:r>
      <w:r w:rsidR="00B271E6" w:rsidRPr="001541CB">
        <w:rPr>
          <w:rFonts w:ascii="Segoe UI" w:hAnsi="Segoe UI" w:cs="Segoe UI"/>
          <w:bCs/>
          <w:iCs/>
          <w:sz w:val="24"/>
          <w:szCs w:val="24"/>
        </w:rPr>
        <w:t>201</w:t>
      </w:r>
      <w:r w:rsidR="009434FC" w:rsidRPr="001541CB">
        <w:rPr>
          <w:rFonts w:ascii="Segoe UI" w:hAnsi="Segoe UI" w:cs="Segoe UI"/>
          <w:bCs/>
          <w:iCs/>
          <w:sz w:val="24"/>
          <w:szCs w:val="24"/>
        </w:rPr>
        <w:t>7</w:t>
      </w:r>
      <w:r w:rsidR="00B271E6" w:rsidRPr="001541CB">
        <w:rPr>
          <w:rFonts w:ascii="Segoe UI" w:hAnsi="Segoe UI" w:cs="Segoe UI"/>
          <w:bCs/>
          <w:iCs/>
          <w:sz w:val="24"/>
          <w:szCs w:val="24"/>
        </w:rPr>
        <w:t xml:space="preserve"> et 201</w:t>
      </w:r>
      <w:r w:rsidR="009434FC" w:rsidRPr="001541CB">
        <w:rPr>
          <w:rFonts w:ascii="Segoe UI" w:hAnsi="Segoe UI" w:cs="Segoe UI"/>
          <w:bCs/>
          <w:iCs/>
          <w:sz w:val="24"/>
          <w:szCs w:val="24"/>
        </w:rPr>
        <w:t>6</w:t>
      </w:r>
      <w:r w:rsidR="00C153DD" w:rsidRPr="001541CB">
        <w:rPr>
          <w:rFonts w:ascii="Segoe UI" w:hAnsi="Segoe UI" w:cs="Segoe UI"/>
          <w:bCs/>
          <w:iCs/>
          <w:sz w:val="24"/>
          <w:szCs w:val="24"/>
        </w:rPr>
        <w:t>. L</w:t>
      </w:r>
      <w:r w:rsidR="00C26F9E" w:rsidRPr="001541CB">
        <w:rPr>
          <w:rFonts w:ascii="Segoe UI" w:hAnsi="Segoe UI" w:cs="Segoe UI"/>
          <w:bCs/>
          <w:iCs/>
          <w:sz w:val="24"/>
          <w:szCs w:val="24"/>
        </w:rPr>
        <w:t>e rapprochement de l</w:t>
      </w:r>
      <w:r w:rsidR="00C153DD" w:rsidRPr="001541CB">
        <w:rPr>
          <w:rFonts w:ascii="Segoe UI" w:hAnsi="Segoe UI" w:cs="Segoe UI"/>
          <w:bCs/>
          <w:iCs/>
          <w:sz w:val="24"/>
          <w:szCs w:val="24"/>
        </w:rPr>
        <w:t>’exécution des dépenses budgétaires</w:t>
      </w:r>
      <w:r w:rsidR="00C26F9E" w:rsidRPr="001541CB">
        <w:rPr>
          <w:rFonts w:ascii="Segoe UI" w:hAnsi="Segoe UI" w:cs="Segoe UI"/>
          <w:bCs/>
          <w:iCs/>
          <w:sz w:val="24"/>
          <w:szCs w:val="24"/>
        </w:rPr>
        <w:t xml:space="preserve"> au </w:t>
      </w:r>
      <w:r w:rsidR="008A1B78" w:rsidRPr="001541CB">
        <w:rPr>
          <w:rFonts w:ascii="Segoe UI" w:hAnsi="Segoe UI" w:cs="Segoe UI"/>
          <w:bCs/>
          <w:iCs/>
          <w:sz w:val="24"/>
          <w:szCs w:val="24"/>
        </w:rPr>
        <w:t>titre</w:t>
      </w:r>
      <w:r w:rsidR="00C26F9E" w:rsidRPr="001541CB">
        <w:rPr>
          <w:rFonts w:ascii="Segoe UI" w:hAnsi="Segoe UI" w:cs="Segoe UI"/>
          <w:bCs/>
          <w:iCs/>
          <w:sz w:val="24"/>
          <w:szCs w:val="24"/>
        </w:rPr>
        <w:t xml:space="preserve"> des deux (2) années</w:t>
      </w:r>
      <w:r w:rsidR="006164F8" w:rsidRPr="001541CB">
        <w:rPr>
          <w:rFonts w:ascii="Segoe UI" w:hAnsi="Segoe UI" w:cs="Segoe UI"/>
          <w:bCs/>
          <w:iCs/>
          <w:sz w:val="24"/>
          <w:szCs w:val="24"/>
        </w:rPr>
        <w:t xml:space="preserve"> à la même période</w:t>
      </w:r>
      <w:r w:rsidR="00931EE8" w:rsidRPr="001541CB">
        <w:rPr>
          <w:rFonts w:ascii="Segoe UI" w:hAnsi="Segoe UI" w:cs="Segoe UI"/>
          <w:bCs/>
          <w:iCs/>
          <w:sz w:val="24"/>
          <w:szCs w:val="24"/>
        </w:rPr>
        <w:t xml:space="preserve"> </w:t>
      </w:r>
      <w:r w:rsidR="00FC426B">
        <w:rPr>
          <w:rFonts w:ascii="Segoe UI" w:hAnsi="Segoe UI" w:cs="Segoe UI"/>
          <w:bCs/>
          <w:iCs/>
          <w:sz w:val="24"/>
          <w:szCs w:val="24"/>
        </w:rPr>
        <w:t xml:space="preserve">fait ressortir </w:t>
      </w:r>
      <w:r w:rsidR="00187D8D" w:rsidRPr="001541CB">
        <w:rPr>
          <w:rFonts w:ascii="Segoe UI" w:hAnsi="Segoe UI" w:cs="Segoe UI"/>
          <w:bCs/>
          <w:iCs/>
          <w:sz w:val="24"/>
          <w:szCs w:val="24"/>
        </w:rPr>
        <w:t>un écart néga</w:t>
      </w:r>
      <w:r w:rsidR="00300DA3" w:rsidRPr="001541CB">
        <w:rPr>
          <w:rFonts w:ascii="Segoe UI" w:hAnsi="Segoe UI" w:cs="Segoe UI"/>
          <w:bCs/>
          <w:iCs/>
          <w:sz w:val="24"/>
          <w:szCs w:val="24"/>
        </w:rPr>
        <w:t xml:space="preserve">tif de </w:t>
      </w:r>
      <w:r w:rsidR="00774D09">
        <w:rPr>
          <w:rFonts w:ascii="Segoe UI" w:hAnsi="Segoe UI" w:cs="Segoe UI"/>
          <w:bCs/>
          <w:iCs/>
          <w:sz w:val="24"/>
          <w:szCs w:val="24"/>
        </w:rPr>
        <w:t>93 </w:t>
      </w:r>
      <w:r w:rsidR="00CD3C09">
        <w:rPr>
          <w:rFonts w:ascii="Segoe UI" w:hAnsi="Segoe UI" w:cs="Segoe UI"/>
          <w:bCs/>
          <w:iCs/>
          <w:sz w:val="24"/>
          <w:szCs w:val="24"/>
        </w:rPr>
        <w:t>7</w:t>
      </w:r>
      <w:r w:rsidR="00774D09">
        <w:rPr>
          <w:rFonts w:ascii="Segoe UI" w:hAnsi="Segoe UI" w:cs="Segoe UI"/>
          <w:bCs/>
          <w:iCs/>
          <w:sz w:val="24"/>
          <w:szCs w:val="24"/>
        </w:rPr>
        <w:t>07</w:t>
      </w:r>
      <w:r w:rsidR="00CD3C09">
        <w:rPr>
          <w:rFonts w:ascii="Segoe UI" w:hAnsi="Segoe UI" w:cs="Segoe UI"/>
          <w:bCs/>
          <w:iCs/>
          <w:sz w:val="24"/>
          <w:szCs w:val="24"/>
        </w:rPr>
        <w:t>,</w:t>
      </w:r>
      <w:r w:rsidR="00774D09">
        <w:rPr>
          <w:rFonts w:ascii="Segoe UI" w:hAnsi="Segoe UI" w:cs="Segoe UI"/>
          <w:bCs/>
          <w:iCs/>
          <w:sz w:val="24"/>
          <w:szCs w:val="24"/>
        </w:rPr>
        <w:t>5</w:t>
      </w:r>
      <w:r w:rsidR="00300DA3" w:rsidRPr="001541CB">
        <w:rPr>
          <w:rFonts w:ascii="Segoe UI" w:hAnsi="Segoe UI" w:cs="Segoe UI"/>
          <w:bCs/>
          <w:iCs/>
          <w:sz w:val="24"/>
          <w:szCs w:val="24"/>
        </w:rPr>
        <w:t xml:space="preserve"> millions de FCFA</w:t>
      </w:r>
      <w:r w:rsidR="00FC426B">
        <w:rPr>
          <w:rFonts w:ascii="Segoe UI" w:hAnsi="Segoe UI" w:cs="Segoe UI"/>
          <w:bCs/>
          <w:iCs/>
          <w:sz w:val="24"/>
          <w:szCs w:val="24"/>
        </w:rPr>
        <w:t xml:space="preserve">. Cet écart </w:t>
      </w:r>
      <w:r w:rsidR="006164F8" w:rsidRPr="001541CB">
        <w:rPr>
          <w:rFonts w:ascii="Segoe UI" w:hAnsi="Segoe UI" w:cs="Segoe UI"/>
          <w:bCs/>
          <w:iCs/>
          <w:sz w:val="24"/>
          <w:szCs w:val="24"/>
        </w:rPr>
        <w:t xml:space="preserve">pourrait s’expliquer par </w:t>
      </w:r>
      <w:r w:rsidR="00FC426B">
        <w:rPr>
          <w:rFonts w:ascii="Segoe UI" w:hAnsi="Segoe UI" w:cs="Segoe UI"/>
          <w:bCs/>
          <w:iCs/>
          <w:sz w:val="24"/>
          <w:szCs w:val="24"/>
        </w:rPr>
        <w:t xml:space="preserve"> (i)</w:t>
      </w:r>
      <w:r w:rsidR="006164F8" w:rsidRPr="001541CB">
        <w:rPr>
          <w:rFonts w:ascii="Segoe UI" w:hAnsi="Segoe UI" w:cs="Segoe UI"/>
          <w:bCs/>
          <w:iCs/>
          <w:sz w:val="24"/>
          <w:szCs w:val="24"/>
        </w:rPr>
        <w:t xml:space="preserve"> la maîtrise des dépenses publiques</w:t>
      </w:r>
      <w:r w:rsidR="00FC426B">
        <w:rPr>
          <w:rFonts w:ascii="Segoe UI" w:hAnsi="Segoe UI" w:cs="Segoe UI"/>
          <w:bCs/>
          <w:iCs/>
          <w:sz w:val="24"/>
          <w:szCs w:val="24"/>
        </w:rPr>
        <w:t xml:space="preserve">, grâce à la pérennisation de </w:t>
      </w:r>
      <w:r w:rsidR="00FC426B">
        <w:rPr>
          <w:rFonts w:ascii="Segoe UI" w:hAnsi="Segoe UI" w:cs="Segoe UI"/>
          <w:bCs/>
          <w:iCs/>
          <w:sz w:val="24"/>
          <w:szCs w:val="24"/>
        </w:rPr>
        <w:lastRenderedPageBreak/>
        <w:t xml:space="preserve">l’exercice des revues de dépenses, (ii) </w:t>
      </w:r>
      <w:r w:rsidR="006164F8" w:rsidRPr="001541CB">
        <w:rPr>
          <w:rFonts w:ascii="Segoe UI" w:hAnsi="Segoe UI" w:cs="Segoe UI"/>
          <w:bCs/>
          <w:iCs/>
          <w:sz w:val="24"/>
          <w:szCs w:val="24"/>
        </w:rPr>
        <w:t>la revue des outils d’exécution budgétaire (PTA) au titre du premier trimestre 2017</w:t>
      </w:r>
      <w:r w:rsidR="00FC426B">
        <w:rPr>
          <w:rFonts w:ascii="Segoe UI" w:hAnsi="Segoe UI" w:cs="Segoe UI"/>
          <w:bCs/>
          <w:iCs/>
          <w:sz w:val="24"/>
          <w:szCs w:val="24"/>
        </w:rPr>
        <w:t xml:space="preserve"> mais aussi et surtout par l’absence au premier trimestre 2017 de dépenses liées aux élections, contrairement au premier trimestre 2016.</w:t>
      </w:r>
      <w:r w:rsidR="009D2524" w:rsidRPr="001541CB">
        <w:rPr>
          <w:rFonts w:ascii="Segoe UI" w:hAnsi="Segoe UI" w:cs="Segoe UI"/>
          <w:bCs/>
          <w:iCs/>
          <w:sz w:val="24"/>
          <w:szCs w:val="24"/>
        </w:rPr>
        <w:t>L</w:t>
      </w:r>
      <w:r w:rsidR="00664B73" w:rsidRPr="001541CB">
        <w:rPr>
          <w:rFonts w:ascii="Segoe UI" w:hAnsi="Segoe UI" w:cs="Segoe UI"/>
          <w:bCs/>
          <w:iCs/>
          <w:sz w:val="24"/>
          <w:szCs w:val="24"/>
        </w:rPr>
        <w:t>e niveau des</w:t>
      </w:r>
      <w:r w:rsidR="00300DA3" w:rsidRPr="001541CB">
        <w:rPr>
          <w:rFonts w:ascii="Segoe UI" w:hAnsi="Segoe UI" w:cs="Segoe UI"/>
          <w:bCs/>
          <w:iCs/>
          <w:sz w:val="24"/>
          <w:szCs w:val="24"/>
        </w:rPr>
        <w:t xml:space="preserve"> engagement</w:t>
      </w:r>
      <w:r w:rsidR="00664B73" w:rsidRPr="001541CB">
        <w:rPr>
          <w:rFonts w:ascii="Segoe UI" w:hAnsi="Segoe UI" w:cs="Segoe UI"/>
          <w:bCs/>
          <w:iCs/>
          <w:sz w:val="24"/>
          <w:szCs w:val="24"/>
        </w:rPr>
        <w:t>s</w:t>
      </w:r>
      <w:r w:rsidR="00300DA3" w:rsidRPr="001541CB">
        <w:rPr>
          <w:rFonts w:ascii="Segoe UI" w:hAnsi="Segoe UI" w:cs="Segoe UI"/>
          <w:bCs/>
          <w:iCs/>
          <w:sz w:val="24"/>
          <w:szCs w:val="24"/>
        </w:rPr>
        <w:t xml:space="preserve"> des dépenses budgétaires par catégorie à fin </w:t>
      </w:r>
      <w:r w:rsidR="0057746B" w:rsidRPr="001541CB">
        <w:rPr>
          <w:rFonts w:ascii="Segoe UI" w:hAnsi="Segoe UI" w:cs="Segoe UI"/>
          <w:bCs/>
          <w:iCs/>
          <w:sz w:val="24"/>
          <w:szCs w:val="24"/>
        </w:rPr>
        <w:t>mars</w:t>
      </w:r>
      <w:r w:rsidR="00300DA3" w:rsidRPr="001541CB">
        <w:rPr>
          <w:rFonts w:ascii="Segoe UI" w:hAnsi="Segoe UI" w:cs="Segoe UI"/>
          <w:bCs/>
          <w:iCs/>
          <w:sz w:val="24"/>
          <w:szCs w:val="24"/>
        </w:rPr>
        <w:t xml:space="preserve"> 201</w:t>
      </w:r>
      <w:r w:rsidR="00236C12" w:rsidRPr="001541CB">
        <w:rPr>
          <w:rFonts w:ascii="Segoe UI" w:hAnsi="Segoe UI" w:cs="Segoe UI"/>
          <w:bCs/>
          <w:iCs/>
          <w:sz w:val="24"/>
          <w:szCs w:val="24"/>
        </w:rPr>
        <w:t>7</w:t>
      </w:r>
      <w:r w:rsidR="00595513" w:rsidRPr="001541CB">
        <w:rPr>
          <w:rFonts w:ascii="Segoe UI" w:hAnsi="Segoe UI" w:cs="Segoe UI"/>
          <w:bCs/>
          <w:iCs/>
          <w:sz w:val="24"/>
          <w:szCs w:val="24"/>
        </w:rPr>
        <w:t xml:space="preserve"> </w:t>
      </w:r>
      <w:r w:rsidR="008A1B78" w:rsidRPr="001541CB">
        <w:rPr>
          <w:rFonts w:ascii="Segoe UI" w:hAnsi="Segoe UI" w:cs="Segoe UI"/>
          <w:bCs/>
          <w:iCs/>
          <w:sz w:val="24"/>
          <w:szCs w:val="24"/>
        </w:rPr>
        <w:t>se</w:t>
      </w:r>
      <w:r w:rsidR="000D1A61" w:rsidRPr="001541CB">
        <w:rPr>
          <w:rFonts w:ascii="Segoe UI" w:hAnsi="Segoe UI" w:cs="Segoe UI"/>
          <w:bCs/>
          <w:iCs/>
          <w:sz w:val="24"/>
          <w:szCs w:val="24"/>
        </w:rPr>
        <w:t xml:space="preserve"> </w:t>
      </w:r>
      <w:r w:rsidR="00D57D47" w:rsidRPr="001541CB">
        <w:rPr>
          <w:rFonts w:ascii="Segoe UI" w:hAnsi="Segoe UI" w:cs="Segoe UI"/>
          <w:bCs/>
          <w:iCs/>
          <w:sz w:val="24"/>
          <w:szCs w:val="24"/>
        </w:rPr>
        <w:t xml:space="preserve">présente </w:t>
      </w:r>
      <w:r w:rsidR="00C70883" w:rsidRPr="001541CB">
        <w:rPr>
          <w:rFonts w:ascii="Segoe UI" w:hAnsi="Segoe UI" w:cs="Segoe UI"/>
          <w:bCs/>
          <w:iCs/>
          <w:sz w:val="24"/>
          <w:szCs w:val="24"/>
        </w:rPr>
        <w:t>ainsi qu’il suit :</w:t>
      </w:r>
    </w:p>
    <w:p w14:paraId="069993AA" w14:textId="77777777" w:rsidR="00BC5F82" w:rsidRPr="001541CB" w:rsidRDefault="00D57D47" w:rsidP="004A1038">
      <w:pPr>
        <w:pStyle w:val="Titre3"/>
        <w:rPr>
          <w:rFonts w:ascii="Segoe UI" w:hAnsi="Segoe UI" w:cs="Segoe UI"/>
          <w:sz w:val="24"/>
          <w:szCs w:val="24"/>
        </w:rPr>
      </w:pPr>
      <w:bookmarkStart w:id="19" w:name="_Toc484105610"/>
      <w:r w:rsidRPr="001541CB">
        <w:rPr>
          <w:rFonts w:ascii="Segoe UI" w:hAnsi="Segoe UI" w:cs="Segoe UI"/>
          <w:sz w:val="24"/>
          <w:szCs w:val="24"/>
        </w:rPr>
        <w:t>B-1</w:t>
      </w:r>
      <w:r w:rsidR="00BC5F82" w:rsidRPr="001541CB">
        <w:rPr>
          <w:rFonts w:ascii="Segoe UI" w:hAnsi="Segoe UI" w:cs="Segoe UI"/>
          <w:sz w:val="24"/>
          <w:szCs w:val="24"/>
        </w:rPr>
        <w:t xml:space="preserve"> Budget Général</w:t>
      </w:r>
      <w:bookmarkEnd w:id="19"/>
    </w:p>
    <w:p w14:paraId="4CC2A325" w14:textId="77777777" w:rsidR="004A1038" w:rsidRPr="0015077C" w:rsidRDefault="004A1038" w:rsidP="004A1038">
      <w:pPr>
        <w:rPr>
          <w:rFonts w:ascii="Segoe UI" w:hAnsi="Segoe UI" w:cs="Segoe UI"/>
          <w:sz w:val="6"/>
          <w:szCs w:val="24"/>
        </w:rPr>
      </w:pPr>
    </w:p>
    <w:p w14:paraId="61F999BB" w14:textId="77777777" w:rsidR="003729F6" w:rsidRPr="001541CB" w:rsidRDefault="00BD1603" w:rsidP="004A1038">
      <w:pPr>
        <w:ind w:left="360"/>
        <w:rPr>
          <w:rFonts w:ascii="Segoe UI" w:hAnsi="Segoe UI" w:cs="Segoe UI"/>
          <w:b/>
          <w:sz w:val="24"/>
          <w:szCs w:val="24"/>
        </w:rPr>
      </w:pPr>
      <w:r w:rsidRPr="001541CB">
        <w:rPr>
          <w:rFonts w:ascii="Segoe UI" w:hAnsi="Segoe UI" w:cs="Segoe UI"/>
          <w:b/>
          <w:sz w:val="24"/>
          <w:szCs w:val="24"/>
        </w:rPr>
        <w:t xml:space="preserve">B-1-1 </w:t>
      </w:r>
      <w:r w:rsidR="00D57D47" w:rsidRPr="001541CB">
        <w:rPr>
          <w:rFonts w:ascii="Segoe UI" w:hAnsi="Segoe UI" w:cs="Segoe UI"/>
          <w:b/>
          <w:sz w:val="24"/>
          <w:szCs w:val="24"/>
        </w:rPr>
        <w:t>Dépenses ordinaires</w:t>
      </w:r>
    </w:p>
    <w:p w14:paraId="3F8B8C3A" w14:textId="77777777" w:rsidR="00DD33AB" w:rsidRPr="001541CB" w:rsidRDefault="00EA0F3F" w:rsidP="001E3863">
      <w:pPr>
        <w:spacing w:line="360" w:lineRule="auto"/>
        <w:jc w:val="both"/>
        <w:rPr>
          <w:rFonts w:ascii="Segoe UI" w:hAnsi="Segoe UI" w:cs="Segoe UI"/>
          <w:bCs/>
          <w:iCs/>
          <w:sz w:val="24"/>
          <w:szCs w:val="24"/>
        </w:rPr>
      </w:pPr>
      <w:r w:rsidRPr="001541CB">
        <w:rPr>
          <w:rFonts w:ascii="Segoe UI" w:hAnsi="Segoe UI" w:cs="Segoe UI"/>
          <w:bCs/>
          <w:iCs/>
          <w:sz w:val="24"/>
          <w:szCs w:val="24"/>
        </w:rPr>
        <w:t>L</w:t>
      </w:r>
      <w:r w:rsidR="00D57D47" w:rsidRPr="001541CB">
        <w:rPr>
          <w:rFonts w:ascii="Segoe UI" w:hAnsi="Segoe UI" w:cs="Segoe UI"/>
          <w:bCs/>
          <w:iCs/>
          <w:sz w:val="24"/>
          <w:szCs w:val="24"/>
        </w:rPr>
        <w:t>es ch</w:t>
      </w:r>
      <w:r w:rsidRPr="001541CB">
        <w:rPr>
          <w:rFonts w:ascii="Segoe UI" w:hAnsi="Segoe UI" w:cs="Segoe UI"/>
          <w:bCs/>
          <w:iCs/>
          <w:sz w:val="24"/>
          <w:szCs w:val="24"/>
        </w:rPr>
        <w:t>arges financières de la dette, les dépenses de personnel, l</w:t>
      </w:r>
      <w:r w:rsidR="00D57D47" w:rsidRPr="001541CB">
        <w:rPr>
          <w:rFonts w:ascii="Segoe UI" w:hAnsi="Segoe UI" w:cs="Segoe UI"/>
          <w:bCs/>
          <w:iCs/>
          <w:sz w:val="24"/>
          <w:szCs w:val="24"/>
        </w:rPr>
        <w:t xml:space="preserve">es dépenses d’acquisition de biens et services </w:t>
      </w:r>
      <w:r w:rsidR="001270A8" w:rsidRPr="001541CB">
        <w:rPr>
          <w:rFonts w:ascii="Segoe UI" w:hAnsi="Segoe UI" w:cs="Segoe UI"/>
          <w:bCs/>
          <w:iCs/>
          <w:sz w:val="24"/>
          <w:szCs w:val="24"/>
        </w:rPr>
        <w:t>et</w:t>
      </w:r>
      <w:r w:rsidRPr="001541CB">
        <w:rPr>
          <w:rFonts w:ascii="Segoe UI" w:hAnsi="Segoe UI" w:cs="Segoe UI"/>
          <w:bCs/>
          <w:iCs/>
          <w:sz w:val="24"/>
          <w:szCs w:val="24"/>
        </w:rPr>
        <w:t xml:space="preserve"> l</w:t>
      </w:r>
      <w:r w:rsidR="00D57D47" w:rsidRPr="001541CB">
        <w:rPr>
          <w:rFonts w:ascii="Segoe UI" w:hAnsi="Segoe UI" w:cs="Segoe UI"/>
          <w:bCs/>
          <w:iCs/>
          <w:sz w:val="24"/>
          <w:szCs w:val="24"/>
        </w:rPr>
        <w:t>es dépenses de transfert</w:t>
      </w:r>
      <w:r w:rsidRPr="001541CB">
        <w:rPr>
          <w:rFonts w:ascii="Segoe UI" w:hAnsi="Segoe UI" w:cs="Segoe UI"/>
          <w:bCs/>
          <w:iCs/>
          <w:sz w:val="24"/>
          <w:szCs w:val="24"/>
        </w:rPr>
        <w:t xml:space="preserve"> </w:t>
      </w:r>
      <w:r w:rsidR="0066312B" w:rsidRPr="001541CB">
        <w:rPr>
          <w:rFonts w:ascii="Segoe UI" w:hAnsi="Segoe UI" w:cs="Segoe UI"/>
          <w:bCs/>
          <w:iCs/>
          <w:sz w:val="24"/>
          <w:szCs w:val="24"/>
        </w:rPr>
        <w:t>constituent l</w:t>
      </w:r>
      <w:r w:rsidRPr="001541CB">
        <w:rPr>
          <w:rFonts w:ascii="Segoe UI" w:hAnsi="Segoe UI" w:cs="Segoe UI"/>
          <w:bCs/>
          <w:iCs/>
          <w:sz w:val="24"/>
          <w:szCs w:val="24"/>
        </w:rPr>
        <w:t>es dépenses ordinaires.</w:t>
      </w:r>
      <w:r w:rsidR="00D57D47" w:rsidRPr="001541CB">
        <w:rPr>
          <w:rFonts w:ascii="Segoe UI" w:hAnsi="Segoe UI" w:cs="Segoe UI"/>
          <w:bCs/>
          <w:iCs/>
          <w:sz w:val="24"/>
          <w:szCs w:val="24"/>
        </w:rPr>
        <w:t xml:space="preserve"> </w:t>
      </w:r>
    </w:p>
    <w:p w14:paraId="30E2A927" w14:textId="703A5DA1" w:rsidR="008E4D39" w:rsidRPr="008E4D39" w:rsidRDefault="001270A8" w:rsidP="008E4D39">
      <w:pPr>
        <w:jc w:val="both"/>
        <w:rPr>
          <w:rFonts w:ascii="Times New Roman" w:eastAsia="Times New Roman" w:hAnsi="Times New Roman" w:cs="Times New Roman"/>
          <w:b/>
          <w:bCs/>
          <w:sz w:val="12"/>
          <w:szCs w:val="12"/>
        </w:rPr>
      </w:pPr>
      <w:r w:rsidRPr="001541CB">
        <w:rPr>
          <w:rFonts w:ascii="Segoe UI" w:hAnsi="Segoe UI" w:cs="Segoe UI"/>
          <w:bCs/>
          <w:iCs/>
          <w:sz w:val="24"/>
          <w:szCs w:val="24"/>
        </w:rPr>
        <w:t>Au cours du premier trimestre 201</w:t>
      </w:r>
      <w:r w:rsidR="002C68D9" w:rsidRPr="001541CB">
        <w:rPr>
          <w:rFonts w:ascii="Segoe UI" w:hAnsi="Segoe UI" w:cs="Segoe UI"/>
          <w:bCs/>
          <w:iCs/>
          <w:sz w:val="24"/>
          <w:szCs w:val="24"/>
        </w:rPr>
        <w:t>7</w:t>
      </w:r>
      <w:r w:rsidRPr="001541CB">
        <w:rPr>
          <w:rFonts w:ascii="Segoe UI" w:hAnsi="Segoe UI" w:cs="Segoe UI"/>
          <w:bCs/>
          <w:iCs/>
          <w:sz w:val="24"/>
          <w:szCs w:val="24"/>
        </w:rPr>
        <w:t>, l</w:t>
      </w:r>
      <w:r w:rsidR="00774D09">
        <w:rPr>
          <w:rFonts w:ascii="Segoe UI" w:hAnsi="Segoe UI" w:cs="Segoe UI"/>
          <w:bCs/>
          <w:iCs/>
          <w:sz w:val="24"/>
          <w:szCs w:val="24"/>
        </w:rPr>
        <w:t xml:space="preserve">es </w:t>
      </w:r>
      <w:r w:rsidRPr="001541CB">
        <w:rPr>
          <w:rFonts w:ascii="Segoe UI" w:hAnsi="Segoe UI" w:cs="Segoe UI"/>
          <w:bCs/>
          <w:iCs/>
          <w:sz w:val="24"/>
          <w:szCs w:val="24"/>
        </w:rPr>
        <w:t xml:space="preserve">dépenses ordinaires </w:t>
      </w:r>
      <w:r w:rsidR="008C05E1">
        <w:rPr>
          <w:rFonts w:ascii="Segoe UI" w:hAnsi="Segoe UI" w:cs="Segoe UI"/>
          <w:bCs/>
          <w:iCs/>
          <w:sz w:val="24"/>
          <w:szCs w:val="24"/>
        </w:rPr>
        <w:t>ont été</w:t>
      </w:r>
      <w:r w:rsidR="008C05E1" w:rsidRPr="001541CB">
        <w:rPr>
          <w:rFonts w:ascii="Segoe UI" w:hAnsi="Segoe UI" w:cs="Segoe UI"/>
          <w:bCs/>
          <w:iCs/>
          <w:sz w:val="24"/>
          <w:szCs w:val="24"/>
        </w:rPr>
        <w:t xml:space="preserve"> </w:t>
      </w:r>
      <w:r w:rsidR="00915B04" w:rsidRPr="001541CB">
        <w:rPr>
          <w:rFonts w:ascii="Segoe UI" w:hAnsi="Segoe UI" w:cs="Segoe UI"/>
          <w:bCs/>
          <w:iCs/>
          <w:sz w:val="24"/>
          <w:szCs w:val="24"/>
        </w:rPr>
        <w:t xml:space="preserve">globalement </w:t>
      </w:r>
      <w:r w:rsidR="008C05E1">
        <w:rPr>
          <w:rFonts w:ascii="Segoe UI" w:hAnsi="Segoe UI" w:cs="Segoe UI"/>
          <w:bCs/>
          <w:iCs/>
          <w:sz w:val="24"/>
          <w:szCs w:val="24"/>
        </w:rPr>
        <w:t xml:space="preserve">engagées à hauteur de </w:t>
      </w:r>
      <w:r w:rsidR="00774D09">
        <w:rPr>
          <w:rFonts w:ascii="Segoe UI" w:hAnsi="Segoe UI" w:cs="Segoe UI"/>
          <w:bCs/>
          <w:iCs/>
          <w:sz w:val="24"/>
          <w:szCs w:val="24"/>
        </w:rPr>
        <w:t>168 836,8</w:t>
      </w:r>
      <w:r w:rsidR="00931EE8" w:rsidRPr="001541CB">
        <w:rPr>
          <w:rFonts w:ascii="Segoe UI" w:hAnsi="Segoe UI" w:cs="Segoe UI"/>
          <w:bCs/>
          <w:iCs/>
          <w:sz w:val="24"/>
          <w:szCs w:val="24"/>
        </w:rPr>
        <w:t xml:space="preserve"> </w:t>
      </w:r>
      <w:r w:rsidR="00915B04" w:rsidRPr="001541CB">
        <w:rPr>
          <w:rFonts w:ascii="Segoe UI" w:hAnsi="Segoe UI" w:cs="Segoe UI"/>
          <w:bCs/>
          <w:iCs/>
          <w:sz w:val="24"/>
          <w:szCs w:val="24"/>
        </w:rPr>
        <w:t>millions de FCFA</w:t>
      </w:r>
      <w:r w:rsidR="00774D09">
        <w:rPr>
          <w:rFonts w:ascii="Segoe UI" w:hAnsi="Segoe UI" w:cs="Segoe UI"/>
          <w:bCs/>
          <w:iCs/>
          <w:sz w:val="24"/>
          <w:szCs w:val="24"/>
        </w:rPr>
        <w:t>, soit pour un taux de 22</w:t>
      </w:r>
      <w:r w:rsidR="008C05E1">
        <w:rPr>
          <w:rFonts w:ascii="Segoe UI" w:hAnsi="Segoe UI" w:cs="Segoe UI"/>
          <w:bCs/>
          <w:iCs/>
          <w:sz w:val="24"/>
          <w:szCs w:val="24"/>
        </w:rPr>
        <w:t>,</w:t>
      </w:r>
      <w:r w:rsidR="00774D09">
        <w:rPr>
          <w:rFonts w:ascii="Segoe UI" w:hAnsi="Segoe UI" w:cs="Segoe UI"/>
          <w:bCs/>
          <w:iCs/>
          <w:sz w:val="24"/>
          <w:szCs w:val="24"/>
        </w:rPr>
        <w:t>2</w:t>
      </w:r>
      <w:r w:rsidR="008C05E1">
        <w:rPr>
          <w:rFonts w:ascii="Segoe UI" w:hAnsi="Segoe UI" w:cs="Segoe UI"/>
          <w:bCs/>
          <w:iCs/>
          <w:sz w:val="24"/>
          <w:szCs w:val="24"/>
        </w:rPr>
        <w:t>%</w:t>
      </w:r>
      <w:r w:rsidR="00915B04" w:rsidRPr="001541CB">
        <w:rPr>
          <w:rFonts w:ascii="Segoe UI" w:hAnsi="Segoe UI" w:cs="Segoe UI"/>
          <w:bCs/>
          <w:iCs/>
          <w:sz w:val="24"/>
          <w:szCs w:val="24"/>
        </w:rPr>
        <w:t xml:space="preserve"> sur une prévision annuelle de </w:t>
      </w:r>
      <w:r w:rsidR="002D03CD" w:rsidRPr="001541CB">
        <w:rPr>
          <w:rFonts w:ascii="Segoe UI" w:hAnsi="Segoe UI" w:cs="Segoe UI"/>
          <w:bCs/>
          <w:iCs/>
          <w:sz w:val="24"/>
          <w:szCs w:val="24"/>
        </w:rPr>
        <w:t>761 125</w:t>
      </w:r>
      <w:r w:rsidR="00915B04" w:rsidRPr="001541CB">
        <w:rPr>
          <w:rFonts w:ascii="Segoe UI" w:hAnsi="Segoe UI" w:cs="Segoe UI"/>
          <w:bCs/>
          <w:iCs/>
          <w:sz w:val="24"/>
          <w:szCs w:val="24"/>
        </w:rPr>
        <w:t xml:space="preserve"> millions de FCFA</w:t>
      </w:r>
      <w:r w:rsidR="00D56BC6" w:rsidRPr="001541CB">
        <w:rPr>
          <w:rFonts w:ascii="Segoe UI" w:hAnsi="Segoe UI" w:cs="Segoe UI"/>
          <w:bCs/>
          <w:iCs/>
          <w:sz w:val="24"/>
          <w:szCs w:val="24"/>
        </w:rPr>
        <w:t xml:space="preserve">. </w:t>
      </w:r>
      <w:r w:rsidR="00EF6F8C">
        <w:rPr>
          <w:rFonts w:ascii="Segoe UI" w:hAnsi="Segoe UI" w:cs="Segoe UI"/>
          <w:bCs/>
          <w:iCs/>
          <w:sz w:val="24"/>
          <w:szCs w:val="24"/>
        </w:rPr>
        <w:t>A fin mars 2016, ces mêmes dépenses ont été engagé</w:t>
      </w:r>
      <w:r w:rsidR="008E4D39">
        <w:rPr>
          <w:rFonts w:ascii="Segoe UI" w:hAnsi="Segoe UI" w:cs="Segoe UI"/>
          <w:bCs/>
          <w:iCs/>
          <w:sz w:val="24"/>
          <w:szCs w:val="24"/>
        </w:rPr>
        <w:t>e</w:t>
      </w:r>
      <w:r w:rsidR="00EF6F8C">
        <w:rPr>
          <w:rFonts w:ascii="Segoe UI" w:hAnsi="Segoe UI" w:cs="Segoe UI"/>
          <w:bCs/>
          <w:iCs/>
          <w:sz w:val="24"/>
          <w:szCs w:val="24"/>
        </w:rPr>
        <w:t xml:space="preserve">s </w:t>
      </w:r>
      <w:r w:rsidR="008C05E1">
        <w:rPr>
          <w:rFonts w:ascii="Segoe UI" w:hAnsi="Segoe UI" w:cs="Segoe UI"/>
          <w:bCs/>
          <w:iCs/>
          <w:sz w:val="24"/>
          <w:szCs w:val="24"/>
        </w:rPr>
        <w:t>pour un monta</w:t>
      </w:r>
      <w:r w:rsidR="00774D09">
        <w:rPr>
          <w:rFonts w:ascii="Segoe UI" w:hAnsi="Segoe UI" w:cs="Segoe UI"/>
          <w:bCs/>
          <w:iCs/>
          <w:sz w:val="24"/>
          <w:szCs w:val="24"/>
        </w:rPr>
        <w:t>nt de 270 884,8 millions de FC</w:t>
      </w:r>
      <w:r w:rsidR="008C05E1">
        <w:rPr>
          <w:rFonts w:ascii="Segoe UI" w:hAnsi="Segoe UI" w:cs="Segoe UI"/>
          <w:bCs/>
          <w:iCs/>
          <w:sz w:val="24"/>
          <w:szCs w:val="24"/>
        </w:rPr>
        <w:t xml:space="preserve">FA correspondant à un taux de </w:t>
      </w:r>
      <w:r w:rsidR="00B01CE8">
        <w:rPr>
          <w:rFonts w:ascii="Segoe UI" w:hAnsi="Segoe UI" w:cs="Segoe UI"/>
          <w:bCs/>
          <w:iCs/>
          <w:sz w:val="24"/>
          <w:szCs w:val="24"/>
        </w:rPr>
        <w:t>36,3</w:t>
      </w:r>
      <w:r w:rsidR="008E4D39">
        <w:rPr>
          <w:rFonts w:ascii="Segoe UI" w:hAnsi="Segoe UI" w:cs="Segoe UI"/>
          <w:bCs/>
          <w:iCs/>
          <w:sz w:val="24"/>
          <w:szCs w:val="24"/>
        </w:rPr>
        <w:t xml:space="preserve">% </w:t>
      </w:r>
      <w:r w:rsidR="008C05E1">
        <w:rPr>
          <w:rFonts w:ascii="Segoe UI" w:hAnsi="Segoe UI" w:cs="Segoe UI"/>
          <w:bCs/>
          <w:iCs/>
          <w:sz w:val="24"/>
          <w:szCs w:val="24"/>
        </w:rPr>
        <w:t xml:space="preserve">du montant prévisionnel </w:t>
      </w:r>
      <w:r w:rsidR="00B01CE8">
        <w:rPr>
          <w:rFonts w:ascii="Segoe UI" w:hAnsi="Segoe UI" w:cs="Segoe UI"/>
          <w:bCs/>
          <w:iCs/>
          <w:sz w:val="24"/>
          <w:szCs w:val="24"/>
        </w:rPr>
        <w:t xml:space="preserve">révisé </w:t>
      </w:r>
      <w:r w:rsidR="008C05E1">
        <w:rPr>
          <w:rFonts w:ascii="Segoe UI" w:hAnsi="Segoe UI" w:cs="Segoe UI"/>
          <w:bCs/>
          <w:iCs/>
          <w:sz w:val="24"/>
          <w:szCs w:val="24"/>
        </w:rPr>
        <w:t>de</w:t>
      </w:r>
      <w:r w:rsidR="00B01CE8">
        <w:rPr>
          <w:rFonts w:ascii="Segoe UI" w:hAnsi="Segoe UI" w:cs="Segoe UI"/>
          <w:bCs/>
          <w:iCs/>
          <w:sz w:val="24"/>
          <w:szCs w:val="24"/>
        </w:rPr>
        <w:t xml:space="preserve"> 74</w:t>
      </w:r>
      <w:r w:rsidR="008E4D39" w:rsidRPr="008E4D39">
        <w:rPr>
          <w:rFonts w:ascii="Segoe UI" w:hAnsi="Segoe UI" w:cs="Segoe UI"/>
          <w:bCs/>
          <w:iCs/>
          <w:sz w:val="24"/>
          <w:szCs w:val="24"/>
        </w:rPr>
        <w:t>5</w:t>
      </w:r>
      <w:r w:rsidR="008E4D39">
        <w:rPr>
          <w:rFonts w:ascii="Segoe UI" w:hAnsi="Segoe UI" w:cs="Segoe UI"/>
          <w:bCs/>
          <w:iCs/>
          <w:sz w:val="24"/>
          <w:szCs w:val="24"/>
        </w:rPr>
        <w:t> </w:t>
      </w:r>
      <w:r w:rsidR="00B01CE8">
        <w:rPr>
          <w:rFonts w:ascii="Segoe UI" w:hAnsi="Segoe UI" w:cs="Segoe UI"/>
          <w:bCs/>
          <w:iCs/>
          <w:sz w:val="24"/>
          <w:szCs w:val="24"/>
        </w:rPr>
        <w:t>718</w:t>
      </w:r>
      <w:r w:rsidR="008E4D39" w:rsidRPr="008E4D39">
        <w:rPr>
          <w:rFonts w:ascii="Segoe UI" w:hAnsi="Segoe UI" w:cs="Segoe UI"/>
          <w:bCs/>
          <w:iCs/>
          <w:sz w:val="24"/>
          <w:szCs w:val="24"/>
        </w:rPr>
        <w:t xml:space="preserve"> </w:t>
      </w:r>
      <w:r w:rsidR="008E4D39">
        <w:rPr>
          <w:rFonts w:ascii="Segoe UI" w:hAnsi="Segoe UI" w:cs="Segoe UI"/>
          <w:bCs/>
          <w:iCs/>
          <w:sz w:val="24"/>
          <w:szCs w:val="24"/>
        </w:rPr>
        <w:t>millions de FCFA</w:t>
      </w:r>
      <w:r w:rsidR="006B5F6E">
        <w:rPr>
          <w:rFonts w:ascii="Segoe UI" w:hAnsi="Segoe UI" w:cs="Segoe UI"/>
          <w:bCs/>
          <w:iCs/>
          <w:sz w:val="24"/>
          <w:szCs w:val="24"/>
        </w:rPr>
        <w:t xml:space="preserve">. </w:t>
      </w:r>
      <w:r w:rsidR="0070513C">
        <w:rPr>
          <w:rFonts w:ascii="Segoe UI" w:hAnsi="Segoe UI" w:cs="Segoe UI"/>
          <w:bCs/>
          <w:iCs/>
          <w:sz w:val="24"/>
          <w:szCs w:val="24"/>
        </w:rPr>
        <w:t xml:space="preserve">Le </w:t>
      </w:r>
      <w:r w:rsidR="00774D09">
        <w:rPr>
          <w:rFonts w:ascii="Segoe UI" w:hAnsi="Segoe UI" w:cs="Segoe UI"/>
          <w:bCs/>
          <w:iCs/>
          <w:sz w:val="24"/>
          <w:szCs w:val="24"/>
        </w:rPr>
        <w:t>niveau de 22,2</w:t>
      </w:r>
      <w:r w:rsidR="008C05E1">
        <w:rPr>
          <w:rFonts w:ascii="Segoe UI" w:hAnsi="Segoe UI" w:cs="Segoe UI"/>
          <w:bCs/>
          <w:iCs/>
          <w:sz w:val="24"/>
          <w:szCs w:val="24"/>
        </w:rPr>
        <w:t xml:space="preserve">% d’engagement des dépenses ordinaires se justifie notamment par la maîtrise des dépenses d’acquisition des biens et services (22,5% en 2017 contre </w:t>
      </w:r>
      <w:r w:rsidR="00B01CE8">
        <w:rPr>
          <w:rFonts w:ascii="Segoe UI" w:hAnsi="Segoe UI" w:cs="Segoe UI"/>
          <w:bCs/>
          <w:iCs/>
          <w:sz w:val="24"/>
          <w:szCs w:val="24"/>
        </w:rPr>
        <w:t>49,5</w:t>
      </w:r>
      <w:r w:rsidR="008C05E1">
        <w:rPr>
          <w:rFonts w:ascii="Segoe UI" w:hAnsi="Segoe UI" w:cs="Segoe UI"/>
          <w:bCs/>
          <w:iCs/>
          <w:sz w:val="24"/>
          <w:szCs w:val="24"/>
        </w:rPr>
        <w:t>% en 2016) et des dépenses de transferts (16</w:t>
      </w:r>
      <w:r w:rsidR="00774D09">
        <w:rPr>
          <w:rFonts w:ascii="Segoe UI" w:hAnsi="Segoe UI" w:cs="Segoe UI"/>
          <w:bCs/>
          <w:iCs/>
          <w:sz w:val="24"/>
          <w:szCs w:val="24"/>
        </w:rPr>
        <w:t>,5</w:t>
      </w:r>
      <w:r w:rsidR="00B01CE8">
        <w:rPr>
          <w:rFonts w:ascii="Segoe UI" w:hAnsi="Segoe UI" w:cs="Segoe UI"/>
          <w:bCs/>
          <w:iCs/>
          <w:sz w:val="24"/>
          <w:szCs w:val="24"/>
        </w:rPr>
        <w:t>% en 2017 contre 47,4</w:t>
      </w:r>
      <w:r w:rsidR="008C05E1">
        <w:rPr>
          <w:rFonts w:ascii="Segoe UI" w:hAnsi="Segoe UI" w:cs="Segoe UI"/>
          <w:bCs/>
          <w:iCs/>
          <w:sz w:val="24"/>
          <w:szCs w:val="24"/>
        </w:rPr>
        <w:t xml:space="preserve">% en 2016). </w:t>
      </w:r>
    </w:p>
    <w:p w14:paraId="678F591F" w14:textId="073FCA86" w:rsidR="001035B8" w:rsidRPr="001541CB" w:rsidRDefault="00EF6F8C" w:rsidP="001E3863">
      <w:pPr>
        <w:spacing w:line="360" w:lineRule="auto"/>
        <w:jc w:val="both"/>
        <w:rPr>
          <w:rFonts w:ascii="Segoe UI" w:hAnsi="Segoe UI" w:cs="Segoe UI"/>
          <w:bCs/>
          <w:iCs/>
          <w:sz w:val="24"/>
          <w:szCs w:val="24"/>
        </w:rPr>
      </w:pPr>
      <w:r>
        <w:rPr>
          <w:rFonts w:ascii="Segoe UI" w:hAnsi="Segoe UI" w:cs="Segoe UI"/>
          <w:bCs/>
          <w:iCs/>
          <w:sz w:val="24"/>
          <w:szCs w:val="24"/>
        </w:rPr>
        <w:t xml:space="preserve"> </w:t>
      </w:r>
    </w:p>
    <w:p w14:paraId="015AE21E" w14:textId="77777777" w:rsidR="008F6BC2" w:rsidRPr="001541CB" w:rsidRDefault="008A077D" w:rsidP="008F6BC2">
      <w:pPr>
        <w:rPr>
          <w:rFonts w:ascii="Segoe UI" w:hAnsi="Segoe UI" w:cs="Segoe UI"/>
          <w:b/>
          <w:sz w:val="24"/>
          <w:szCs w:val="24"/>
        </w:rPr>
      </w:pPr>
      <w:r w:rsidRPr="001541CB">
        <w:rPr>
          <w:rFonts w:ascii="Segoe UI" w:hAnsi="Segoe UI" w:cs="Segoe UI"/>
          <w:b/>
          <w:sz w:val="24"/>
          <w:szCs w:val="24"/>
        </w:rPr>
        <w:t>B-1-1</w:t>
      </w:r>
      <w:r w:rsidR="00BD1603" w:rsidRPr="001541CB">
        <w:rPr>
          <w:rFonts w:ascii="Segoe UI" w:hAnsi="Segoe UI" w:cs="Segoe UI"/>
          <w:b/>
          <w:sz w:val="24"/>
          <w:szCs w:val="24"/>
        </w:rPr>
        <w:t>-1</w:t>
      </w:r>
      <w:r w:rsidRPr="001541CB">
        <w:rPr>
          <w:rFonts w:ascii="Segoe UI" w:hAnsi="Segoe UI" w:cs="Segoe UI"/>
          <w:b/>
          <w:sz w:val="24"/>
          <w:szCs w:val="24"/>
        </w:rPr>
        <w:t xml:space="preserve"> Charges financières de la dette publique</w:t>
      </w:r>
      <w:r w:rsidR="001270A8" w:rsidRPr="001541CB">
        <w:rPr>
          <w:rFonts w:ascii="Segoe UI" w:hAnsi="Segoe UI" w:cs="Segoe UI"/>
          <w:b/>
          <w:sz w:val="24"/>
          <w:szCs w:val="24"/>
        </w:rPr>
        <w:tab/>
      </w:r>
    </w:p>
    <w:p w14:paraId="16A142F0" w14:textId="78A80C38" w:rsidR="00B24E5D" w:rsidRPr="001541CB" w:rsidRDefault="005649F9" w:rsidP="00CC25AD">
      <w:pPr>
        <w:spacing w:line="360" w:lineRule="auto"/>
        <w:rPr>
          <w:rFonts w:ascii="Segoe UI" w:hAnsi="Segoe UI" w:cs="Segoe UI"/>
          <w:b/>
          <w:sz w:val="24"/>
          <w:szCs w:val="24"/>
        </w:rPr>
      </w:pPr>
      <w:r>
        <w:rPr>
          <w:rFonts w:ascii="Segoe UI" w:hAnsi="Segoe UI" w:cs="Segoe UI"/>
          <w:bCs/>
          <w:iCs/>
          <w:sz w:val="24"/>
          <w:szCs w:val="24"/>
        </w:rPr>
        <w:t>S</w:t>
      </w:r>
      <w:r w:rsidR="00E23DF2">
        <w:rPr>
          <w:rFonts w:ascii="Segoe UI" w:hAnsi="Segoe UI" w:cs="Segoe UI"/>
          <w:bCs/>
          <w:iCs/>
          <w:sz w:val="24"/>
          <w:szCs w:val="24"/>
        </w:rPr>
        <w:t>ur une prévision annuelle de</w:t>
      </w:r>
      <w:r w:rsidR="00B24E5D" w:rsidRPr="001541CB">
        <w:rPr>
          <w:rFonts w:ascii="Segoe UI" w:hAnsi="Segoe UI" w:cs="Segoe UI"/>
          <w:bCs/>
          <w:iCs/>
          <w:sz w:val="24"/>
          <w:szCs w:val="24"/>
        </w:rPr>
        <w:t xml:space="preserve"> </w:t>
      </w:r>
      <w:r w:rsidR="003A008B" w:rsidRPr="001541CB">
        <w:rPr>
          <w:rFonts w:ascii="Segoe UI" w:hAnsi="Segoe UI" w:cs="Segoe UI"/>
          <w:bCs/>
          <w:iCs/>
          <w:sz w:val="24"/>
          <w:szCs w:val="24"/>
        </w:rPr>
        <w:t>103 700</w:t>
      </w:r>
      <w:r w:rsidR="00B24E5D" w:rsidRPr="001541CB">
        <w:rPr>
          <w:rFonts w:ascii="Segoe UI" w:hAnsi="Segoe UI" w:cs="Segoe UI"/>
          <w:bCs/>
          <w:iCs/>
          <w:sz w:val="24"/>
          <w:szCs w:val="24"/>
        </w:rPr>
        <w:t xml:space="preserve"> millions de FCFA, les charges financières de la dette publique sont </w:t>
      </w:r>
      <w:r w:rsidR="00B93BA1" w:rsidRPr="001541CB">
        <w:rPr>
          <w:rFonts w:ascii="Segoe UI" w:hAnsi="Segoe UI" w:cs="Segoe UI"/>
          <w:bCs/>
          <w:iCs/>
          <w:sz w:val="24"/>
          <w:szCs w:val="24"/>
        </w:rPr>
        <w:t>exécut</w:t>
      </w:r>
      <w:r w:rsidR="00B24E5D" w:rsidRPr="001541CB">
        <w:rPr>
          <w:rFonts w:ascii="Segoe UI" w:hAnsi="Segoe UI" w:cs="Segoe UI"/>
          <w:bCs/>
          <w:iCs/>
          <w:sz w:val="24"/>
          <w:szCs w:val="24"/>
        </w:rPr>
        <w:t xml:space="preserve">ées à concurrence de </w:t>
      </w:r>
      <w:r w:rsidR="003A008B" w:rsidRPr="001541CB">
        <w:rPr>
          <w:rFonts w:ascii="Segoe UI" w:hAnsi="Segoe UI" w:cs="Segoe UI"/>
          <w:bCs/>
          <w:iCs/>
          <w:sz w:val="24"/>
          <w:szCs w:val="24"/>
        </w:rPr>
        <w:t>18 332,2</w:t>
      </w:r>
      <w:r w:rsidR="00735E57" w:rsidRPr="001541CB">
        <w:rPr>
          <w:rFonts w:ascii="Segoe UI" w:hAnsi="Segoe UI" w:cs="Segoe UI"/>
          <w:bCs/>
          <w:iCs/>
          <w:sz w:val="24"/>
          <w:szCs w:val="24"/>
        </w:rPr>
        <w:t xml:space="preserve"> </w:t>
      </w:r>
      <w:r w:rsidR="00B24E5D" w:rsidRPr="001541CB">
        <w:rPr>
          <w:rFonts w:ascii="Segoe UI" w:hAnsi="Segoe UI" w:cs="Segoe UI"/>
          <w:bCs/>
          <w:iCs/>
          <w:sz w:val="24"/>
          <w:szCs w:val="24"/>
        </w:rPr>
        <w:t>millions de FCFA</w:t>
      </w:r>
      <w:r w:rsidR="00735E57" w:rsidRPr="001541CB">
        <w:rPr>
          <w:rFonts w:ascii="Segoe UI" w:hAnsi="Segoe UI" w:cs="Segoe UI"/>
          <w:bCs/>
          <w:iCs/>
          <w:sz w:val="24"/>
          <w:szCs w:val="24"/>
        </w:rPr>
        <w:t xml:space="preserve"> </w:t>
      </w:r>
      <w:r w:rsidR="001415FE" w:rsidRPr="001541CB">
        <w:rPr>
          <w:rFonts w:ascii="Segoe UI" w:hAnsi="Segoe UI" w:cs="Segoe UI"/>
          <w:bCs/>
          <w:iCs/>
          <w:sz w:val="24"/>
          <w:szCs w:val="24"/>
        </w:rPr>
        <w:t>à fin mars 201</w:t>
      </w:r>
      <w:r w:rsidR="003A008B" w:rsidRPr="001541CB">
        <w:rPr>
          <w:rFonts w:ascii="Segoe UI" w:hAnsi="Segoe UI" w:cs="Segoe UI"/>
          <w:bCs/>
          <w:iCs/>
          <w:sz w:val="24"/>
          <w:szCs w:val="24"/>
        </w:rPr>
        <w:t>7</w:t>
      </w:r>
      <w:r w:rsidR="00D56BC6" w:rsidRPr="001541CB">
        <w:rPr>
          <w:rFonts w:ascii="Segoe UI" w:hAnsi="Segoe UI" w:cs="Segoe UI"/>
          <w:bCs/>
          <w:iCs/>
          <w:sz w:val="24"/>
          <w:szCs w:val="24"/>
        </w:rPr>
        <w:t xml:space="preserve">, </w:t>
      </w:r>
      <w:r w:rsidR="004F31C9">
        <w:rPr>
          <w:rFonts w:ascii="Segoe UI" w:hAnsi="Segoe UI" w:cs="Segoe UI"/>
          <w:bCs/>
          <w:iCs/>
          <w:sz w:val="24"/>
          <w:szCs w:val="24"/>
        </w:rPr>
        <w:t>soit</w:t>
      </w:r>
      <w:r w:rsidR="00B24E5D" w:rsidRPr="001541CB">
        <w:rPr>
          <w:rFonts w:ascii="Segoe UI" w:hAnsi="Segoe UI" w:cs="Segoe UI"/>
          <w:bCs/>
          <w:iCs/>
          <w:sz w:val="24"/>
          <w:szCs w:val="24"/>
        </w:rPr>
        <w:t xml:space="preserve"> </w:t>
      </w:r>
      <w:r w:rsidR="003E12EE">
        <w:rPr>
          <w:rFonts w:ascii="Segoe UI" w:hAnsi="Segoe UI" w:cs="Segoe UI"/>
          <w:bCs/>
          <w:iCs/>
          <w:sz w:val="24"/>
          <w:szCs w:val="24"/>
        </w:rPr>
        <w:t xml:space="preserve">pour </w:t>
      </w:r>
      <w:r w:rsidR="00B24E5D" w:rsidRPr="001541CB">
        <w:rPr>
          <w:rFonts w:ascii="Segoe UI" w:hAnsi="Segoe UI" w:cs="Segoe UI"/>
          <w:bCs/>
          <w:iCs/>
          <w:sz w:val="24"/>
          <w:szCs w:val="24"/>
        </w:rPr>
        <w:t>un taux d’e</w:t>
      </w:r>
      <w:r w:rsidR="00B93BA1" w:rsidRPr="001541CB">
        <w:rPr>
          <w:rFonts w:ascii="Segoe UI" w:hAnsi="Segoe UI" w:cs="Segoe UI"/>
          <w:bCs/>
          <w:iCs/>
          <w:sz w:val="24"/>
          <w:szCs w:val="24"/>
        </w:rPr>
        <w:t>ngagement</w:t>
      </w:r>
      <w:r w:rsidR="00B24E5D" w:rsidRPr="001541CB">
        <w:rPr>
          <w:rFonts w:ascii="Segoe UI" w:hAnsi="Segoe UI" w:cs="Segoe UI"/>
          <w:bCs/>
          <w:iCs/>
          <w:sz w:val="24"/>
          <w:szCs w:val="24"/>
        </w:rPr>
        <w:t xml:space="preserve"> de </w:t>
      </w:r>
      <w:r w:rsidR="003A008B" w:rsidRPr="001541CB">
        <w:rPr>
          <w:rFonts w:ascii="Segoe UI" w:hAnsi="Segoe UI" w:cs="Segoe UI"/>
          <w:bCs/>
          <w:iCs/>
          <w:sz w:val="24"/>
          <w:szCs w:val="24"/>
        </w:rPr>
        <w:t>17,7</w:t>
      </w:r>
      <w:r w:rsidR="00B24E5D" w:rsidRPr="001541CB">
        <w:rPr>
          <w:rFonts w:ascii="Segoe UI" w:hAnsi="Segoe UI" w:cs="Segoe UI"/>
          <w:bCs/>
          <w:iCs/>
          <w:sz w:val="24"/>
          <w:szCs w:val="24"/>
        </w:rPr>
        <w:t>%.</w:t>
      </w:r>
    </w:p>
    <w:p w14:paraId="4391A0D8" w14:textId="77777777" w:rsidR="00B24E5D" w:rsidRPr="001541CB" w:rsidRDefault="00D76DA5" w:rsidP="000C178C">
      <w:pPr>
        <w:spacing w:after="0" w:line="360" w:lineRule="auto"/>
        <w:jc w:val="both"/>
        <w:rPr>
          <w:rFonts w:ascii="Segoe UI" w:hAnsi="Segoe UI" w:cs="Segoe UI"/>
          <w:bCs/>
          <w:iCs/>
          <w:sz w:val="24"/>
          <w:szCs w:val="24"/>
        </w:rPr>
      </w:pPr>
      <w:r w:rsidRPr="001541CB">
        <w:rPr>
          <w:rFonts w:ascii="Segoe UI" w:hAnsi="Segoe UI" w:cs="Segoe UI"/>
          <w:bCs/>
          <w:iCs/>
          <w:sz w:val="24"/>
          <w:szCs w:val="24"/>
        </w:rPr>
        <w:t xml:space="preserve">Les charges financières de la dette publique </w:t>
      </w:r>
      <w:r w:rsidR="00614856" w:rsidRPr="001541CB">
        <w:rPr>
          <w:rFonts w:ascii="Segoe UI" w:hAnsi="Segoe UI" w:cs="Segoe UI"/>
          <w:bCs/>
          <w:iCs/>
          <w:sz w:val="24"/>
          <w:szCs w:val="24"/>
        </w:rPr>
        <w:t>se déclinent en :</w:t>
      </w:r>
    </w:p>
    <w:p w14:paraId="44D45187" w14:textId="4CA72EC7" w:rsidR="00B24E5D" w:rsidRPr="001541CB" w:rsidRDefault="003579E4" w:rsidP="00B24E5D">
      <w:pPr>
        <w:pStyle w:val="Paragraphedeliste"/>
        <w:numPr>
          <w:ilvl w:val="0"/>
          <w:numId w:val="19"/>
        </w:numPr>
        <w:spacing w:line="360" w:lineRule="auto"/>
        <w:jc w:val="both"/>
        <w:rPr>
          <w:rFonts w:ascii="Segoe UI" w:hAnsi="Segoe UI" w:cs="Segoe UI"/>
          <w:bCs/>
          <w:iCs/>
          <w:sz w:val="24"/>
          <w:szCs w:val="24"/>
        </w:rPr>
      </w:pPr>
      <w:r w:rsidRPr="001541CB">
        <w:rPr>
          <w:rFonts w:ascii="Segoe UI" w:hAnsi="Segoe UI" w:cs="Segoe UI"/>
          <w:bCs/>
          <w:iCs/>
          <w:sz w:val="24"/>
          <w:szCs w:val="24"/>
        </w:rPr>
        <w:t>charges financières de la dette intérieure</w:t>
      </w:r>
      <w:r w:rsidR="00106AF2" w:rsidRPr="001541CB">
        <w:rPr>
          <w:rFonts w:ascii="Segoe UI" w:hAnsi="Segoe UI" w:cs="Segoe UI"/>
          <w:bCs/>
          <w:iCs/>
          <w:sz w:val="24"/>
          <w:szCs w:val="24"/>
        </w:rPr>
        <w:t xml:space="preserve"> </w:t>
      </w:r>
      <w:r w:rsidR="00B93BA1" w:rsidRPr="001541CB">
        <w:rPr>
          <w:rFonts w:ascii="Segoe UI" w:hAnsi="Segoe UI" w:cs="Segoe UI"/>
          <w:bCs/>
          <w:iCs/>
          <w:sz w:val="24"/>
          <w:szCs w:val="24"/>
        </w:rPr>
        <w:t>assur</w:t>
      </w:r>
      <w:r w:rsidR="0034051A" w:rsidRPr="001541CB">
        <w:rPr>
          <w:rFonts w:ascii="Segoe UI" w:hAnsi="Segoe UI" w:cs="Segoe UI"/>
          <w:bCs/>
          <w:iCs/>
          <w:sz w:val="24"/>
          <w:szCs w:val="24"/>
        </w:rPr>
        <w:t xml:space="preserve">ées à hauteur de </w:t>
      </w:r>
      <w:r w:rsidR="00E429AD" w:rsidRPr="001541CB">
        <w:rPr>
          <w:rFonts w:ascii="Segoe UI" w:hAnsi="Segoe UI" w:cs="Segoe UI"/>
          <w:bCs/>
          <w:iCs/>
          <w:sz w:val="24"/>
          <w:szCs w:val="24"/>
        </w:rPr>
        <w:t>17,6</w:t>
      </w:r>
      <w:r w:rsidR="00D76DA5" w:rsidRPr="001541CB">
        <w:rPr>
          <w:rFonts w:ascii="Segoe UI" w:hAnsi="Segoe UI" w:cs="Segoe UI"/>
          <w:bCs/>
          <w:iCs/>
          <w:sz w:val="24"/>
          <w:szCs w:val="24"/>
        </w:rPr>
        <w:t xml:space="preserve">% </w:t>
      </w:r>
      <w:r w:rsidR="00777303" w:rsidRPr="001541CB">
        <w:rPr>
          <w:rFonts w:ascii="Segoe UI" w:hAnsi="Segoe UI" w:cs="Segoe UI"/>
          <w:bCs/>
          <w:iCs/>
          <w:sz w:val="24"/>
          <w:szCs w:val="24"/>
        </w:rPr>
        <w:t>correspondant à</w:t>
      </w:r>
      <w:r w:rsidR="00B93BA1" w:rsidRPr="001541CB">
        <w:rPr>
          <w:rFonts w:ascii="Segoe UI" w:hAnsi="Segoe UI" w:cs="Segoe UI"/>
          <w:bCs/>
          <w:iCs/>
          <w:sz w:val="24"/>
          <w:szCs w:val="24"/>
        </w:rPr>
        <w:t xml:space="preserve"> un montant engagé de</w:t>
      </w:r>
      <w:r w:rsidR="00735E57" w:rsidRPr="001541CB">
        <w:rPr>
          <w:rFonts w:ascii="Segoe UI" w:hAnsi="Segoe UI" w:cs="Segoe UI"/>
          <w:bCs/>
          <w:iCs/>
          <w:sz w:val="24"/>
          <w:szCs w:val="24"/>
        </w:rPr>
        <w:t xml:space="preserve"> </w:t>
      </w:r>
      <w:r w:rsidR="00E429AD" w:rsidRPr="001541CB">
        <w:rPr>
          <w:rFonts w:ascii="Segoe UI" w:hAnsi="Segoe UI" w:cs="Segoe UI"/>
          <w:bCs/>
          <w:iCs/>
          <w:sz w:val="24"/>
          <w:szCs w:val="24"/>
        </w:rPr>
        <w:t>14 951</w:t>
      </w:r>
      <w:r w:rsidR="00D76DA5" w:rsidRPr="001541CB">
        <w:rPr>
          <w:rFonts w:ascii="Segoe UI" w:hAnsi="Segoe UI" w:cs="Segoe UI"/>
          <w:bCs/>
          <w:iCs/>
          <w:sz w:val="24"/>
          <w:szCs w:val="24"/>
        </w:rPr>
        <w:t xml:space="preserve"> millions de FCFA</w:t>
      </w:r>
      <w:r w:rsidR="00B93BA1" w:rsidRPr="001541CB">
        <w:rPr>
          <w:rFonts w:ascii="Segoe UI" w:hAnsi="Segoe UI" w:cs="Segoe UI"/>
          <w:bCs/>
          <w:iCs/>
          <w:sz w:val="24"/>
          <w:szCs w:val="24"/>
        </w:rPr>
        <w:t> ;</w:t>
      </w:r>
      <w:r w:rsidR="003E12EE">
        <w:rPr>
          <w:rFonts w:ascii="Segoe UI" w:hAnsi="Segoe UI" w:cs="Segoe UI"/>
          <w:bCs/>
          <w:iCs/>
          <w:sz w:val="24"/>
          <w:szCs w:val="24"/>
        </w:rPr>
        <w:t xml:space="preserve"> et,</w:t>
      </w:r>
    </w:p>
    <w:p w14:paraId="20487C1D" w14:textId="77777777" w:rsidR="003579E4" w:rsidRPr="001541CB" w:rsidRDefault="00D76DA5" w:rsidP="000C178C">
      <w:pPr>
        <w:pStyle w:val="Paragraphedeliste"/>
        <w:numPr>
          <w:ilvl w:val="0"/>
          <w:numId w:val="19"/>
        </w:numPr>
        <w:spacing w:after="0" w:line="360" w:lineRule="auto"/>
        <w:jc w:val="both"/>
        <w:rPr>
          <w:rFonts w:ascii="Segoe UI" w:hAnsi="Segoe UI" w:cs="Segoe UI"/>
          <w:bCs/>
          <w:iCs/>
          <w:sz w:val="24"/>
          <w:szCs w:val="24"/>
        </w:rPr>
      </w:pPr>
      <w:r w:rsidRPr="001541CB">
        <w:rPr>
          <w:rFonts w:ascii="Segoe UI" w:hAnsi="Segoe UI" w:cs="Segoe UI"/>
          <w:bCs/>
          <w:iCs/>
          <w:sz w:val="24"/>
          <w:szCs w:val="24"/>
        </w:rPr>
        <w:lastRenderedPageBreak/>
        <w:t xml:space="preserve">charges financières de la dette extérieure </w:t>
      </w:r>
      <w:r w:rsidR="003579E4" w:rsidRPr="001541CB">
        <w:rPr>
          <w:rFonts w:ascii="Segoe UI" w:hAnsi="Segoe UI" w:cs="Segoe UI"/>
          <w:bCs/>
          <w:iCs/>
          <w:sz w:val="24"/>
          <w:szCs w:val="24"/>
        </w:rPr>
        <w:t>a</w:t>
      </w:r>
      <w:r w:rsidR="00B93BA1" w:rsidRPr="001541CB">
        <w:rPr>
          <w:rFonts w:ascii="Segoe UI" w:hAnsi="Segoe UI" w:cs="Segoe UI"/>
          <w:bCs/>
          <w:iCs/>
          <w:sz w:val="24"/>
          <w:szCs w:val="24"/>
        </w:rPr>
        <w:t>ssur</w:t>
      </w:r>
      <w:r w:rsidR="003579E4" w:rsidRPr="001541CB">
        <w:rPr>
          <w:rFonts w:ascii="Segoe UI" w:hAnsi="Segoe UI" w:cs="Segoe UI"/>
          <w:bCs/>
          <w:iCs/>
          <w:sz w:val="24"/>
          <w:szCs w:val="24"/>
        </w:rPr>
        <w:t xml:space="preserve">ées à hauteur de </w:t>
      </w:r>
      <w:r w:rsidR="00E429AD" w:rsidRPr="001541CB">
        <w:rPr>
          <w:rFonts w:ascii="Segoe UI" w:hAnsi="Segoe UI" w:cs="Segoe UI"/>
          <w:bCs/>
          <w:iCs/>
          <w:sz w:val="24"/>
          <w:szCs w:val="24"/>
        </w:rPr>
        <w:t>17,9</w:t>
      </w:r>
      <w:r w:rsidR="00A569CF" w:rsidRPr="001541CB">
        <w:rPr>
          <w:rFonts w:ascii="Segoe UI" w:hAnsi="Segoe UI" w:cs="Segoe UI"/>
          <w:bCs/>
          <w:iCs/>
          <w:sz w:val="24"/>
          <w:szCs w:val="24"/>
        </w:rPr>
        <w:t xml:space="preserve"> </w:t>
      </w:r>
      <w:r w:rsidR="00B24E5D" w:rsidRPr="001541CB">
        <w:rPr>
          <w:rFonts w:ascii="Segoe UI" w:hAnsi="Segoe UI" w:cs="Segoe UI"/>
          <w:bCs/>
          <w:iCs/>
          <w:sz w:val="24"/>
          <w:szCs w:val="24"/>
        </w:rPr>
        <w:t>%</w:t>
      </w:r>
      <w:r w:rsidR="00B93BA1" w:rsidRPr="001541CB">
        <w:rPr>
          <w:rFonts w:ascii="Segoe UI" w:hAnsi="Segoe UI" w:cs="Segoe UI"/>
          <w:bCs/>
          <w:iCs/>
          <w:sz w:val="24"/>
          <w:szCs w:val="24"/>
        </w:rPr>
        <w:t xml:space="preserve">, </w:t>
      </w:r>
      <w:r w:rsidR="00777303" w:rsidRPr="001541CB">
        <w:rPr>
          <w:rFonts w:ascii="Segoe UI" w:hAnsi="Segoe UI" w:cs="Segoe UI"/>
          <w:bCs/>
          <w:iCs/>
          <w:sz w:val="24"/>
          <w:szCs w:val="24"/>
        </w:rPr>
        <w:t xml:space="preserve">correspondant à </w:t>
      </w:r>
      <w:r w:rsidR="00B93BA1" w:rsidRPr="001541CB">
        <w:rPr>
          <w:rFonts w:ascii="Segoe UI" w:hAnsi="Segoe UI" w:cs="Segoe UI"/>
          <w:bCs/>
          <w:iCs/>
          <w:sz w:val="24"/>
          <w:szCs w:val="24"/>
        </w:rPr>
        <w:t>un montant engagé de</w:t>
      </w:r>
      <w:r w:rsidR="00735E57" w:rsidRPr="001541CB">
        <w:rPr>
          <w:rFonts w:ascii="Segoe UI" w:hAnsi="Segoe UI" w:cs="Segoe UI"/>
          <w:bCs/>
          <w:iCs/>
          <w:sz w:val="24"/>
          <w:szCs w:val="24"/>
        </w:rPr>
        <w:t xml:space="preserve"> </w:t>
      </w:r>
      <w:r w:rsidR="00E429AD" w:rsidRPr="001541CB">
        <w:rPr>
          <w:rFonts w:ascii="Segoe UI" w:hAnsi="Segoe UI" w:cs="Segoe UI"/>
          <w:bCs/>
          <w:iCs/>
          <w:sz w:val="24"/>
          <w:szCs w:val="24"/>
        </w:rPr>
        <w:t>3 381,2</w:t>
      </w:r>
      <w:r w:rsidR="003579E4" w:rsidRPr="001541CB">
        <w:rPr>
          <w:rFonts w:ascii="Segoe UI" w:hAnsi="Segoe UI" w:cs="Segoe UI"/>
          <w:bCs/>
          <w:iCs/>
          <w:sz w:val="24"/>
          <w:szCs w:val="24"/>
        </w:rPr>
        <w:t xml:space="preserve"> millions de FCFA</w:t>
      </w:r>
      <w:r w:rsidR="00B24E5D" w:rsidRPr="001541CB">
        <w:rPr>
          <w:rFonts w:ascii="Segoe UI" w:hAnsi="Segoe UI" w:cs="Segoe UI"/>
          <w:bCs/>
          <w:iCs/>
          <w:sz w:val="24"/>
          <w:szCs w:val="24"/>
        </w:rPr>
        <w:t>.</w:t>
      </w:r>
    </w:p>
    <w:p w14:paraId="17CE36BC" w14:textId="77777777" w:rsidR="00317E3D" w:rsidRPr="001541CB" w:rsidRDefault="00DB7375" w:rsidP="004A1038">
      <w:pPr>
        <w:rPr>
          <w:rFonts w:ascii="Segoe UI" w:hAnsi="Segoe UI" w:cs="Segoe UI"/>
          <w:b/>
          <w:sz w:val="24"/>
          <w:szCs w:val="24"/>
        </w:rPr>
      </w:pPr>
      <w:r w:rsidRPr="001541CB">
        <w:rPr>
          <w:rFonts w:ascii="Segoe UI" w:hAnsi="Segoe UI" w:cs="Segoe UI"/>
          <w:b/>
          <w:sz w:val="24"/>
          <w:szCs w:val="24"/>
        </w:rPr>
        <w:t>B-</w:t>
      </w:r>
      <w:r w:rsidR="00BD1603" w:rsidRPr="001541CB">
        <w:rPr>
          <w:rFonts w:ascii="Segoe UI" w:hAnsi="Segoe UI" w:cs="Segoe UI"/>
          <w:b/>
          <w:sz w:val="24"/>
          <w:szCs w:val="24"/>
        </w:rPr>
        <w:t>1-</w:t>
      </w:r>
      <w:r w:rsidRPr="001541CB">
        <w:rPr>
          <w:rFonts w:ascii="Segoe UI" w:hAnsi="Segoe UI" w:cs="Segoe UI"/>
          <w:b/>
          <w:sz w:val="24"/>
          <w:szCs w:val="24"/>
        </w:rPr>
        <w:t>1-2 Dépenses de personnel</w:t>
      </w:r>
    </w:p>
    <w:p w14:paraId="5D1687BD" w14:textId="7BC0704C" w:rsidR="002A2493" w:rsidRDefault="00EE6DBD" w:rsidP="00C12CBD">
      <w:pPr>
        <w:tabs>
          <w:tab w:val="left" w:pos="426"/>
        </w:tabs>
        <w:spacing w:after="120" w:line="360" w:lineRule="auto"/>
        <w:jc w:val="both"/>
        <w:rPr>
          <w:rFonts w:ascii="Segoe UI" w:hAnsi="Segoe UI" w:cs="Segoe UI"/>
          <w:sz w:val="24"/>
          <w:szCs w:val="24"/>
        </w:rPr>
      </w:pPr>
      <w:r w:rsidRPr="001541CB">
        <w:rPr>
          <w:rFonts w:ascii="Segoe UI" w:hAnsi="Segoe UI" w:cs="Segoe UI"/>
          <w:sz w:val="24"/>
          <w:szCs w:val="24"/>
        </w:rPr>
        <w:t xml:space="preserve">Sur une prévision annuelle de </w:t>
      </w:r>
      <w:r w:rsidR="00E87FE8" w:rsidRPr="001541CB">
        <w:rPr>
          <w:rFonts w:ascii="Segoe UI" w:hAnsi="Segoe UI" w:cs="Segoe UI"/>
          <w:sz w:val="24"/>
          <w:szCs w:val="24"/>
        </w:rPr>
        <w:t>354 628</w:t>
      </w:r>
      <w:r w:rsidRPr="001541CB">
        <w:rPr>
          <w:rFonts w:ascii="Segoe UI" w:hAnsi="Segoe UI" w:cs="Segoe UI"/>
          <w:sz w:val="24"/>
          <w:szCs w:val="24"/>
        </w:rPr>
        <w:t xml:space="preserve"> millions de FCFA, les dépenses de personnel ont été engagées à </w:t>
      </w:r>
      <w:r w:rsidR="00203D76" w:rsidRPr="001541CB">
        <w:rPr>
          <w:rFonts w:ascii="Segoe UI" w:hAnsi="Segoe UI" w:cs="Segoe UI"/>
          <w:sz w:val="24"/>
          <w:szCs w:val="24"/>
        </w:rPr>
        <w:t xml:space="preserve">fin </w:t>
      </w:r>
      <w:r w:rsidR="008208E5" w:rsidRPr="001541CB">
        <w:rPr>
          <w:rFonts w:ascii="Segoe UI" w:hAnsi="Segoe UI" w:cs="Segoe UI"/>
          <w:sz w:val="24"/>
          <w:szCs w:val="24"/>
        </w:rPr>
        <w:t>mars 201</w:t>
      </w:r>
      <w:r w:rsidR="00E87FE8" w:rsidRPr="001541CB">
        <w:rPr>
          <w:rFonts w:ascii="Segoe UI" w:hAnsi="Segoe UI" w:cs="Segoe UI"/>
          <w:sz w:val="24"/>
          <w:szCs w:val="24"/>
        </w:rPr>
        <w:t>7</w:t>
      </w:r>
      <w:r w:rsidRPr="001541CB">
        <w:rPr>
          <w:rFonts w:ascii="Segoe UI" w:hAnsi="Segoe UI" w:cs="Segoe UI"/>
          <w:sz w:val="24"/>
          <w:szCs w:val="24"/>
        </w:rPr>
        <w:t xml:space="preserve"> pour</w:t>
      </w:r>
      <w:r w:rsidR="00203D76" w:rsidRPr="001541CB">
        <w:rPr>
          <w:rFonts w:ascii="Segoe UI" w:hAnsi="Segoe UI" w:cs="Segoe UI"/>
          <w:sz w:val="24"/>
          <w:szCs w:val="24"/>
        </w:rPr>
        <w:t xml:space="preserve"> un montant de </w:t>
      </w:r>
      <w:r w:rsidR="00E87FE8" w:rsidRPr="001541CB">
        <w:rPr>
          <w:rFonts w:ascii="Segoe UI" w:hAnsi="Segoe UI" w:cs="Segoe UI"/>
          <w:sz w:val="24"/>
          <w:szCs w:val="24"/>
        </w:rPr>
        <w:t>94 331,8</w:t>
      </w:r>
      <w:r w:rsidR="00203D76" w:rsidRPr="001541CB">
        <w:rPr>
          <w:rFonts w:ascii="Segoe UI" w:hAnsi="Segoe UI" w:cs="Segoe UI"/>
          <w:sz w:val="24"/>
          <w:szCs w:val="24"/>
        </w:rPr>
        <w:t xml:space="preserve"> millions de FCFA</w:t>
      </w:r>
      <w:r w:rsidR="002A2493" w:rsidRPr="001541CB">
        <w:rPr>
          <w:rFonts w:ascii="Segoe UI" w:hAnsi="Segoe UI" w:cs="Segoe UI"/>
          <w:sz w:val="24"/>
          <w:szCs w:val="24"/>
        </w:rPr>
        <w:t xml:space="preserve"> correspond</w:t>
      </w:r>
      <w:r w:rsidRPr="001541CB">
        <w:rPr>
          <w:rFonts w:ascii="Segoe UI" w:hAnsi="Segoe UI" w:cs="Segoe UI"/>
          <w:sz w:val="24"/>
          <w:szCs w:val="24"/>
        </w:rPr>
        <w:t xml:space="preserve">ant à un taux de </w:t>
      </w:r>
      <w:r w:rsidR="00A55DDB" w:rsidRPr="001541CB">
        <w:rPr>
          <w:rFonts w:ascii="Segoe UI" w:hAnsi="Segoe UI" w:cs="Segoe UI"/>
          <w:sz w:val="24"/>
          <w:szCs w:val="24"/>
        </w:rPr>
        <w:t>26,6</w:t>
      </w:r>
      <w:r w:rsidR="002A2493" w:rsidRPr="001541CB">
        <w:rPr>
          <w:rFonts w:ascii="Segoe UI" w:hAnsi="Segoe UI" w:cs="Segoe UI"/>
          <w:sz w:val="24"/>
          <w:szCs w:val="24"/>
        </w:rPr>
        <w:t xml:space="preserve">% contre </w:t>
      </w:r>
      <w:r w:rsidR="00752E8A">
        <w:rPr>
          <w:rFonts w:ascii="Segoe UI" w:hAnsi="Segoe UI" w:cs="Segoe UI"/>
          <w:sz w:val="24"/>
          <w:szCs w:val="24"/>
        </w:rPr>
        <w:t>30,3</w:t>
      </w:r>
      <w:r w:rsidRPr="001541CB">
        <w:rPr>
          <w:rFonts w:ascii="Segoe UI" w:hAnsi="Segoe UI" w:cs="Segoe UI"/>
          <w:sz w:val="24"/>
          <w:szCs w:val="24"/>
        </w:rPr>
        <w:t xml:space="preserve">% enregistré au 31 </w:t>
      </w:r>
      <w:r w:rsidR="008208E5" w:rsidRPr="001541CB">
        <w:rPr>
          <w:rFonts w:ascii="Segoe UI" w:hAnsi="Segoe UI" w:cs="Segoe UI"/>
          <w:sz w:val="24"/>
          <w:szCs w:val="24"/>
        </w:rPr>
        <w:t>mars</w:t>
      </w:r>
      <w:r w:rsidR="002A2493" w:rsidRPr="001541CB">
        <w:rPr>
          <w:rFonts w:ascii="Segoe UI" w:hAnsi="Segoe UI" w:cs="Segoe UI"/>
          <w:sz w:val="24"/>
          <w:szCs w:val="24"/>
        </w:rPr>
        <w:t xml:space="preserve"> 201</w:t>
      </w:r>
      <w:r w:rsidR="00A55DDB" w:rsidRPr="001541CB">
        <w:rPr>
          <w:rFonts w:ascii="Segoe UI" w:hAnsi="Segoe UI" w:cs="Segoe UI"/>
          <w:sz w:val="24"/>
          <w:szCs w:val="24"/>
        </w:rPr>
        <w:t>6</w:t>
      </w:r>
      <w:r w:rsidR="002A2493" w:rsidRPr="001541CB">
        <w:rPr>
          <w:rFonts w:ascii="Segoe UI" w:hAnsi="Segoe UI" w:cs="Segoe UI"/>
          <w:sz w:val="24"/>
          <w:szCs w:val="24"/>
        </w:rPr>
        <w:t xml:space="preserve">. </w:t>
      </w:r>
    </w:p>
    <w:p w14:paraId="06C52241" w14:textId="3791856A" w:rsidR="00C20B39" w:rsidRPr="001541CB" w:rsidRDefault="00C20B39" w:rsidP="00C12CBD">
      <w:pPr>
        <w:tabs>
          <w:tab w:val="left" w:pos="426"/>
        </w:tabs>
        <w:spacing w:after="120" w:line="360" w:lineRule="auto"/>
        <w:jc w:val="both"/>
        <w:rPr>
          <w:rFonts w:ascii="Segoe UI" w:hAnsi="Segoe UI" w:cs="Segoe UI"/>
          <w:sz w:val="24"/>
          <w:szCs w:val="24"/>
        </w:rPr>
      </w:pPr>
      <w:r w:rsidRPr="00860284">
        <w:rPr>
          <w:rFonts w:ascii="Segoe UI" w:hAnsi="Segoe UI" w:cs="Segoe UI"/>
          <w:sz w:val="24"/>
          <w:szCs w:val="24"/>
        </w:rPr>
        <w:t>Ce niveau d’engagement (</w:t>
      </w:r>
      <w:r>
        <w:rPr>
          <w:rFonts w:ascii="Segoe UI" w:hAnsi="Segoe UI" w:cs="Segoe UI"/>
          <w:sz w:val="24"/>
          <w:szCs w:val="24"/>
        </w:rPr>
        <w:t xml:space="preserve">situé </w:t>
      </w:r>
      <w:r w:rsidRPr="00860284">
        <w:rPr>
          <w:rFonts w:ascii="Segoe UI" w:hAnsi="Segoe UI" w:cs="Segoe UI"/>
          <w:sz w:val="24"/>
          <w:szCs w:val="24"/>
        </w:rPr>
        <w:t>légèrement au-dessus d</w:t>
      </w:r>
      <w:r>
        <w:rPr>
          <w:rFonts w:ascii="Segoe UI" w:hAnsi="Segoe UI" w:cs="Segoe UI"/>
          <w:sz w:val="24"/>
          <w:szCs w:val="24"/>
        </w:rPr>
        <w:t>u</w:t>
      </w:r>
      <w:r w:rsidRPr="00860284">
        <w:rPr>
          <w:rFonts w:ascii="Segoe UI" w:hAnsi="Segoe UI" w:cs="Segoe UI"/>
          <w:sz w:val="24"/>
          <w:szCs w:val="24"/>
        </w:rPr>
        <w:t xml:space="preserve"> niveau linéaire</w:t>
      </w:r>
      <w:r>
        <w:rPr>
          <w:rFonts w:ascii="Segoe UI" w:hAnsi="Segoe UI" w:cs="Segoe UI"/>
          <w:sz w:val="24"/>
          <w:szCs w:val="24"/>
        </w:rPr>
        <w:t xml:space="preserve"> trimestriel</w:t>
      </w:r>
      <w:r w:rsidRPr="00860284">
        <w:rPr>
          <w:rFonts w:ascii="Segoe UI" w:hAnsi="Segoe UI" w:cs="Segoe UI"/>
          <w:sz w:val="24"/>
          <w:szCs w:val="24"/>
        </w:rPr>
        <w:t xml:space="preserve"> de 25%</w:t>
      </w:r>
      <w:r>
        <w:rPr>
          <w:rFonts w:ascii="Segoe UI" w:hAnsi="Segoe UI" w:cs="Segoe UI"/>
          <w:sz w:val="24"/>
          <w:szCs w:val="24"/>
        </w:rPr>
        <w:t xml:space="preserve">) </w:t>
      </w:r>
      <w:r w:rsidRPr="00860284">
        <w:rPr>
          <w:rFonts w:ascii="Segoe UI" w:hAnsi="Segoe UI" w:cs="Segoe UI"/>
          <w:sz w:val="24"/>
          <w:szCs w:val="24"/>
        </w:rPr>
        <w:t xml:space="preserve">s’explique par le </w:t>
      </w:r>
      <w:r>
        <w:rPr>
          <w:rFonts w:ascii="Segoe UI" w:hAnsi="Segoe UI" w:cs="Segoe UI"/>
          <w:sz w:val="24"/>
          <w:szCs w:val="24"/>
        </w:rPr>
        <w:t>fait que la plu</w:t>
      </w:r>
      <w:r w:rsidRPr="00860284">
        <w:rPr>
          <w:rFonts w:ascii="Segoe UI" w:hAnsi="Segoe UI" w:cs="Segoe UI"/>
          <w:sz w:val="24"/>
          <w:szCs w:val="24"/>
        </w:rPr>
        <w:t>part des Institutions de l’Etat ont engagé en bloc au premier trimestre leur dotation annuelle. Il s’agit de l</w:t>
      </w:r>
      <w:r>
        <w:rPr>
          <w:rFonts w:ascii="Segoe UI" w:hAnsi="Segoe UI" w:cs="Segoe UI"/>
          <w:sz w:val="24"/>
          <w:szCs w:val="24"/>
        </w:rPr>
        <w:t>’A</w:t>
      </w:r>
      <w:r w:rsidRPr="00860284">
        <w:rPr>
          <w:rFonts w:ascii="Segoe UI" w:hAnsi="Segoe UI" w:cs="Segoe UI"/>
          <w:sz w:val="24"/>
          <w:szCs w:val="24"/>
        </w:rPr>
        <w:t xml:space="preserve">ssemblée </w:t>
      </w:r>
      <w:r>
        <w:rPr>
          <w:rFonts w:ascii="Segoe UI" w:hAnsi="Segoe UI" w:cs="Segoe UI"/>
          <w:sz w:val="24"/>
          <w:szCs w:val="24"/>
        </w:rPr>
        <w:t>Nationale (100</w:t>
      </w:r>
      <w:r w:rsidRPr="00860284">
        <w:rPr>
          <w:rFonts w:ascii="Segoe UI" w:hAnsi="Segoe UI" w:cs="Segoe UI"/>
          <w:sz w:val="24"/>
          <w:szCs w:val="24"/>
        </w:rPr>
        <w:t>%), la Cour constitutionnelle (90,45%), le Conseil Economique et Social (93,4%) la</w:t>
      </w:r>
      <w:r>
        <w:rPr>
          <w:rFonts w:ascii="Segoe UI" w:hAnsi="Segoe UI" w:cs="Segoe UI"/>
          <w:sz w:val="24"/>
          <w:szCs w:val="24"/>
        </w:rPr>
        <w:t xml:space="preserve"> </w:t>
      </w:r>
      <w:r w:rsidRPr="00860284">
        <w:rPr>
          <w:rFonts w:ascii="Segoe UI" w:hAnsi="Segoe UI" w:cs="Segoe UI"/>
          <w:sz w:val="24"/>
          <w:szCs w:val="24"/>
        </w:rPr>
        <w:t>Haute Autorité de</w:t>
      </w:r>
      <w:r>
        <w:rPr>
          <w:rFonts w:ascii="Segoe UI" w:hAnsi="Segoe UI" w:cs="Segoe UI"/>
          <w:sz w:val="24"/>
          <w:szCs w:val="24"/>
        </w:rPr>
        <w:t xml:space="preserve"> </w:t>
      </w:r>
      <w:r w:rsidRPr="00860284">
        <w:rPr>
          <w:rFonts w:ascii="Segoe UI" w:hAnsi="Segoe UI" w:cs="Segoe UI"/>
          <w:sz w:val="24"/>
          <w:szCs w:val="24"/>
        </w:rPr>
        <w:t>l’Audio-Visuel et de la Communication (86,88%), la Haute Cour de Justice (89,83</w:t>
      </w:r>
      <w:r w:rsidRPr="008A4E33">
        <w:rPr>
          <w:rFonts w:ascii="Segoe UI" w:hAnsi="Segoe UI" w:cs="Segoe UI"/>
          <w:sz w:val="24"/>
          <w:szCs w:val="24"/>
        </w:rPr>
        <w:t>%). A cela s’ajoute l’engagement des dépenses du 1</w:t>
      </w:r>
      <w:r w:rsidRPr="008A4E33">
        <w:rPr>
          <w:rFonts w:ascii="Segoe UI" w:hAnsi="Segoe UI" w:cs="Segoe UI"/>
          <w:sz w:val="24"/>
          <w:szCs w:val="24"/>
          <w:vertAlign w:val="superscript"/>
        </w:rPr>
        <w:t>er</w:t>
      </w:r>
      <w:r w:rsidRPr="008A4E33">
        <w:rPr>
          <w:rFonts w:ascii="Segoe UI" w:hAnsi="Segoe UI" w:cs="Segoe UI"/>
          <w:sz w:val="24"/>
          <w:szCs w:val="24"/>
        </w:rPr>
        <w:t xml:space="preserve"> semestre des postes diplomatiques et consulaires (50,64%).</w:t>
      </w:r>
      <w:r w:rsidR="00D715D2">
        <w:rPr>
          <w:rFonts w:ascii="Segoe UI" w:hAnsi="Segoe UI" w:cs="Segoe UI"/>
          <w:sz w:val="24"/>
          <w:szCs w:val="24"/>
        </w:rPr>
        <w:t xml:space="preserve"> </w:t>
      </w:r>
      <w:r w:rsidRPr="008A4E33">
        <w:rPr>
          <w:rFonts w:ascii="Segoe UI" w:hAnsi="Segoe UI" w:cs="Segoe UI"/>
          <w:sz w:val="24"/>
          <w:szCs w:val="24"/>
        </w:rPr>
        <w:t>Malgré les glissements catégoriels automatiques dont bénéficient les agents de l’Etat, il est observé au 1</w:t>
      </w:r>
      <w:r w:rsidRPr="008A4E33">
        <w:rPr>
          <w:rFonts w:ascii="Segoe UI" w:hAnsi="Segoe UI" w:cs="Segoe UI"/>
          <w:sz w:val="24"/>
          <w:szCs w:val="24"/>
          <w:vertAlign w:val="superscript"/>
        </w:rPr>
        <w:t>er</w:t>
      </w:r>
      <w:r w:rsidRPr="008A4E33">
        <w:rPr>
          <w:rFonts w:ascii="Segoe UI" w:hAnsi="Segoe UI" w:cs="Segoe UI"/>
          <w:sz w:val="24"/>
          <w:szCs w:val="24"/>
        </w:rPr>
        <w:t xml:space="preserve"> trimestre une maitrise des charges en lien avec les mesures de rationalisation des services publics à travers la nouvelle architecture gouvernementale et l’encadrement des primes non statutaires.</w:t>
      </w:r>
    </w:p>
    <w:p w14:paraId="44623567" w14:textId="77777777" w:rsidR="003F1B9F" w:rsidRPr="001541CB" w:rsidRDefault="008208E5" w:rsidP="00DB7375">
      <w:pPr>
        <w:tabs>
          <w:tab w:val="left" w:pos="426"/>
        </w:tabs>
        <w:spacing w:before="120" w:after="120" w:line="360" w:lineRule="auto"/>
        <w:jc w:val="both"/>
        <w:rPr>
          <w:rFonts w:ascii="Segoe UI" w:hAnsi="Segoe UI" w:cs="Segoe UI"/>
          <w:sz w:val="24"/>
          <w:szCs w:val="24"/>
        </w:rPr>
      </w:pPr>
      <w:r w:rsidRPr="001541CB">
        <w:rPr>
          <w:rFonts w:ascii="Segoe UI" w:hAnsi="Segoe UI" w:cs="Segoe UI"/>
          <w:sz w:val="24"/>
          <w:szCs w:val="24"/>
        </w:rPr>
        <w:t>L</w:t>
      </w:r>
      <w:r w:rsidR="003F1B9F" w:rsidRPr="001541CB">
        <w:rPr>
          <w:rFonts w:ascii="Segoe UI" w:hAnsi="Segoe UI" w:cs="Segoe UI"/>
          <w:sz w:val="24"/>
          <w:szCs w:val="24"/>
        </w:rPr>
        <w:t xml:space="preserve">es </w:t>
      </w:r>
      <w:r w:rsidR="001908BA" w:rsidRPr="001541CB">
        <w:rPr>
          <w:rFonts w:ascii="Segoe UI" w:hAnsi="Segoe UI" w:cs="Segoe UI"/>
          <w:sz w:val="24"/>
          <w:szCs w:val="24"/>
        </w:rPr>
        <w:t xml:space="preserve">différentes composantes des </w:t>
      </w:r>
      <w:r w:rsidR="003F1B9F" w:rsidRPr="001541CB">
        <w:rPr>
          <w:rFonts w:ascii="Segoe UI" w:hAnsi="Segoe UI" w:cs="Segoe UI"/>
          <w:sz w:val="24"/>
          <w:szCs w:val="24"/>
        </w:rPr>
        <w:t xml:space="preserve">dépenses de personnel </w:t>
      </w:r>
      <w:r w:rsidR="001908BA" w:rsidRPr="001541CB">
        <w:rPr>
          <w:rFonts w:ascii="Segoe UI" w:hAnsi="Segoe UI" w:cs="Segoe UI"/>
          <w:sz w:val="24"/>
          <w:szCs w:val="24"/>
        </w:rPr>
        <w:t>se présentent comme ci-après</w:t>
      </w:r>
      <w:r w:rsidR="00D56BC6" w:rsidRPr="001541CB">
        <w:rPr>
          <w:rFonts w:ascii="Segoe UI" w:hAnsi="Segoe UI" w:cs="Segoe UI"/>
          <w:sz w:val="24"/>
          <w:szCs w:val="24"/>
        </w:rPr>
        <w:t> :</w:t>
      </w:r>
    </w:p>
    <w:p w14:paraId="06A77ECC" w14:textId="4B0F4C74" w:rsidR="003F1B9F" w:rsidRPr="001541CB" w:rsidRDefault="00D56BC6" w:rsidP="003F1B9F">
      <w:pPr>
        <w:pStyle w:val="Paragraphedeliste"/>
        <w:numPr>
          <w:ilvl w:val="0"/>
          <w:numId w:val="15"/>
        </w:numPr>
        <w:tabs>
          <w:tab w:val="left" w:pos="426"/>
        </w:tabs>
        <w:spacing w:before="120" w:after="120" w:line="360" w:lineRule="auto"/>
        <w:jc w:val="both"/>
        <w:rPr>
          <w:rFonts w:ascii="Segoe UI" w:hAnsi="Segoe UI" w:cs="Segoe UI"/>
          <w:sz w:val="24"/>
          <w:szCs w:val="24"/>
        </w:rPr>
      </w:pPr>
      <w:r w:rsidRPr="001541CB">
        <w:rPr>
          <w:rFonts w:ascii="Segoe UI" w:hAnsi="Segoe UI" w:cs="Segoe UI"/>
          <w:sz w:val="24"/>
          <w:szCs w:val="24"/>
        </w:rPr>
        <w:t xml:space="preserve">les </w:t>
      </w:r>
      <w:r w:rsidR="003F1B9F" w:rsidRPr="001541CB">
        <w:rPr>
          <w:rFonts w:ascii="Segoe UI" w:hAnsi="Segoe UI" w:cs="Segoe UI"/>
          <w:sz w:val="24"/>
          <w:szCs w:val="24"/>
        </w:rPr>
        <w:t xml:space="preserve">dépenses de personnel réparties </w:t>
      </w:r>
      <w:r w:rsidR="00B40D1E" w:rsidRPr="001541CB">
        <w:rPr>
          <w:rFonts w:ascii="Segoe UI" w:hAnsi="Segoe UI" w:cs="Segoe UI"/>
          <w:sz w:val="24"/>
          <w:szCs w:val="24"/>
        </w:rPr>
        <w:t xml:space="preserve">dont le niveau d’engagement </w:t>
      </w:r>
      <w:r w:rsidRPr="001541CB">
        <w:rPr>
          <w:rFonts w:ascii="Segoe UI" w:hAnsi="Segoe UI" w:cs="Segoe UI"/>
          <w:sz w:val="24"/>
          <w:szCs w:val="24"/>
        </w:rPr>
        <w:t>s’est établi</w:t>
      </w:r>
      <w:r w:rsidR="008208E5" w:rsidRPr="001541CB">
        <w:rPr>
          <w:rFonts w:ascii="Segoe UI" w:hAnsi="Segoe UI" w:cs="Segoe UI"/>
          <w:sz w:val="24"/>
          <w:szCs w:val="24"/>
        </w:rPr>
        <w:t xml:space="preserve"> à fin mars</w:t>
      </w:r>
      <w:r w:rsidR="00B40D1E" w:rsidRPr="001541CB">
        <w:rPr>
          <w:rFonts w:ascii="Segoe UI" w:hAnsi="Segoe UI" w:cs="Segoe UI"/>
          <w:sz w:val="24"/>
          <w:szCs w:val="24"/>
        </w:rPr>
        <w:t xml:space="preserve"> 201</w:t>
      </w:r>
      <w:r w:rsidR="00DD0727" w:rsidRPr="001541CB">
        <w:rPr>
          <w:rFonts w:ascii="Segoe UI" w:hAnsi="Segoe UI" w:cs="Segoe UI"/>
          <w:sz w:val="24"/>
          <w:szCs w:val="24"/>
        </w:rPr>
        <w:t>7</w:t>
      </w:r>
      <w:r w:rsidR="00735E57" w:rsidRPr="001541CB">
        <w:rPr>
          <w:rFonts w:ascii="Segoe UI" w:hAnsi="Segoe UI" w:cs="Segoe UI"/>
          <w:sz w:val="24"/>
          <w:szCs w:val="24"/>
        </w:rPr>
        <w:t xml:space="preserve"> </w:t>
      </w:r>
      <w:r w:rsidRPr="001541CB">
        <w:rPr>
          <w:rFonts w:ascii="Segoe UI" w:hAnsi="Segoe UI" w:cs="Segoe UI"/>
          <w:sz w:val="24"/>
          <w:szCs w:val="24"/>
        </w:rPr>
        <w:t xml:space="preserve">à </w:t>
      </w:r>
      <w:r w:rsidR="00DD0727" w:rsidRPr="001541CB">
        <w:rPr>
          <w:rFonts w:ascii="Segoe UI" w:hAnsi="Segoe UI" w:cs="Segoe UI"/>
          <w:sz w:val="24"/>
          <w:szCs w:val="24"/>
        </w:rPr>
        <w:t>27,1</w:t>
      </w:r>
      <w:r w:rsidR="00B40D1E" w:rsidRPr="001541CB">
        <w:rPr>
          <w:rFonts w:ascii="Segoe UI" w:hAnsi="Segoe UI" w:cs="Segoe UI"/>
          <w:sz w:val="24"/>
          <w:szCs w:val="24"/>
        </w:rPr>
        <w:t>% co</w:t>
      </w:r>
      <w:r w:rsidR="008208E5" w:rsidRPr="001541CB">
        <w:rPr>
          <w:rFonts w:ascii="Segoe UI" w:hAnsi="Segoe UI" w:cs="Segoe UI"/>
          <w:sz w:val="24"/>
          <w:szCs w:val="24"/>
        </w:rPr>
        <w:t>ntre</w:t>
      </w:r>
      <w:r w:rsidR="00735E57" w:rsidRPr="001541CB">
        <w:rPr>
          <w:rFonts w:ascii="Segoe UI" w:hAnsi="Segoe UI" w:cs="Segoe UI"/>
          <w:sz w:val="24"/>
          <w:szCs w:val="24"/>
        </w:rPr>
        <w:t xml:space="preserve"> </w:t>
      </w:r>
      <w:r w:rsidR="00DD0727" w:rsidRPr="001541CB">
        <w:rPr>
          <w:rFonts w:ascii="Segoe UI" w:hAnsi="Segoe UI" w:cs="Segoe UI"/>
          <w:sz w:val="24"/>
          <w:szCs w:val="24"/>
        </w:rPr>
        <w:t>3</w:t>
      </w:r>
      <w:r w:rsidR="00E47DBA">
        <w:rPr>
          <w:rFonts w:ascii="Segoe UI" w:hAnsi="Segoe UI" w:cs="Segoe UI"/>
          <w:sz w:val="24"/>
          <w:szCs w:val="24"/>
        </w:rPr>
        <w:t>0,7</w:t>
      </w:r>
      <w:r w:rsidRPr="001541CB">
        <w:rPr>
          <w:rFonts w:ascii="Segoe UI" w:hAnsi="Segoe UI" w:cs="Segoe UI"/>
          <w:sz w:val="24"/>
          <w:szCs w:val="24"/>
        </w:rPr>
        <w:t>% en 201</w:t>
      </w:r>
      <w:r w:rsidR="00DD0727" w:rsidRPr="001541CB">
        <w:rPr>
          <w:rFonts w:ascii="Segoe UI" w:hAnsi="Segoe UI" w:cs="Segoe UI"/>
          <w:sz w:val="24"/>
          <w:szCs w:val="24"/>
        </w:rPr>
        <w:t>6</w:t>
      </w:r>
      <w:r w:rsidR="00B40D1E" w:rsidRPr="001541CB">
        <w:rPr>
          <w:rFonts w:ascii="Segoe UI" w:hAnsi="Segoe UI" w:cs="Segoe UI"/>
          <w:sz w:val="24"/>
          <w:szCs w:val="24"/>
        </w:rPr>
        <w:t xml:space="preserve">. </w:t>
      </w:r>
      <w:r w:rsidRPr="001541CB">
        <w:rPr>
          <w:rFonts w:ascii="Segoe UI" w:hAnsi="Segoe UI" w:cs="Segoe UI"/>
          <w:sz w:val="24"/>
          <w:szCs w:val="24"/>
        </w:rPr>
        <w:t>Le</w:t>
      </w:r>
      <w:r w:rsidR="00B40D1E" w:rsidRPr="001541CB">
        <w:rPr>
          <w:rFonts w:ascii="Segoe UI" w:hAnsi="Segoe UI" w:cs="Segoe UI"/>
          <w:sz w:val="24"/>
          <w:szCs w:val="24"/>
        </w:rPr>
        <w:t xml:space="preserve"> montant </w:t>
      </w:r>
      <w:r w:rsidRPr="001541CB">
        <w:rPr>
          <w:rFonts w:ascii="Segoe UI" w:hAnsi="Segoe UI" w:cs="Segoe UI"/>
          <w:sz w:val="24"/>
          <w:szCs w:val="24"/>
        </w:rPr>
        <w:t xml:space="preserve">engagé </w:t>
      </w:r>
      <w:r w:rsidR="00C223F1">
        <w:rPr>
          <w:rFonts w:ascii="Segoe UI" w:hAnsi="Segoe UI" w:cs="Segoe UI"/>
          <w:sz w:val="24"/>
          <w:szCs w:val="24"/>
        </w:rPr>
        <w:t xml:space="preserve">en mars  2017 </w:t>
      </w:r>
      <w:r w:rsidRPr="001541CB">
        <w:rPr>
          <w:rFonts w:ascii="Segoe UI" w:hAnsi="Segoe UI" w:cs="Segoe UI"/>
          <w:sz w:val="24"/>
          <w:szCs w:val="24"/>
        </w:rPr>
        <w:t>ressort à</w:t>
      </w:r>
      <w:r w:rsidR="00106AF2" w:rsidRPr="001541CB">
        <w:rPr>
          <w:rFonts w:ascii="Segoe UI" w:hAnsi="Segoe UI" w:cs="Segoe UI"/>
          <w:sz w:val="24"/>
          <w:szCs w:val="24"/>
        </w:rPr>
        <w:t xml:space="preserve"> </w:t>
      </w:r>
      <w:r w:rsidR="00415F69" w:rsidRPr="001541CB">
        <w:rPr>
          <w:rFonts w:ascii="Segoe UI" w:hAnsi="Segoe UI" w:cs="Segoe UI"/>
          <w:sz w:val="24"/>
          <w:szCs w:val="24"/>
        </w:rPr>
        <w:t>80 421,4</w:t>
      </w:r>
      <w:r w:rsidR="00106AF2" w:rsidRPr="001541CB">
        <w:rPr>
          <w:rFonts w:ascii="Segoe UI" w:hAnsi="Segoe UI" w:cs="Segoe UI"/>
          <w:sz w:val="24"/>
          <w:szCs w:val="24"/>
        </w:rPr>
        <w:t xml:space="preserve"> </w:t>
      </w:r>
      <w:r w:rsidR="00B40D1E" w:rsidRPr="001541CB">
        <w:rPr>
          <w:rFonts w:ascii="Segoe UI" w:hAnsi="Segoe UI" w:cs="Segoe UI"/>
          <w:sz w:val="24"/>
          <w:szCs w:val="24"/>
        </w:rPr>
        <w:t xml:space="preserve">millions de FCFA </w:t>
      </w:r>
      <w:r w:rsidRPr="001541CB">
        <w:rPr>
          <w:rFonts w:ascii="Segoe UI" w:hAnsi="Segoe UI" w:cs="Segoe UI"/>
          <w:sz w:val="24"/>
          <w:szCs w:val="24"/>
        </w:rPr>
        <w:t xml:space="preserve">sur </w:t>
      </w:r>
      <w:r w:rsidR="00B40D1E" w:rsidRPr="001541CB">
        <w:rPr>
          <w:rFonts w:ascii="Segoe UI" w:hAnsi="Segoe UI" w:cs="Segoe UI"/>
          <w:sz w:val="24"/>
          <w:szCs w:val="24"/>
        </w:rPr>
        <w:t xml:space="preserve">une prévision annuelle de </w:t>
      </w:r>
      <w:r w:rsidR="00415F69" w:rsidRPr="001541CB">
        <w:rPr>
          <w:rFonts w:ascii="Segoe UI" w:hAnsi="Segoe UI" w:cs="Segoe UI"/>
          <w:sz w:val="24"/>
          <w:szCs w:val="24"/>
        </w:rPr>
        <w:t>297 228</w:t>
      </w:r>
      <w:r w:rsidR="00735E57" w:rsidRPr="001541CB">
        <w:rPr>
          <w:rFonts w:ascii="Segoe UI" w:hAnsi="Segoe UI" w:cs="Segoe UI"/>
          <w:sz w:val="24"/>
          <w:szCs w:val="24"/>
        </w:rPr>
        <w:t xml:space="preserve"> </w:t>
      </w:r>
      <w:r w:rsidR="00B40D1E" w:rsidRPr="001541CB">
        <w:rPr>
          <w:rFonts w:ascii="Segoe UI" w:hAnsi="Segoe UI" w:cs="Segoe UI"/>
          <w:sz w:val="24"/>
          <w:szCs w:val="24"/>
        </w:rPr>
        <w:t>millions de FCFA</w:t>
      </w:r>
      <w:r w:rsidR="000D2D12" w:rsidRPr="001541CB">
        <w:rPr>
          <w:rFonts w:ascii="Segoe UI" w:hAnsi="Segoe UI" w:cs="Segoe UI"/>
          <w:sz w:val="24"/>
          <w:szCs w:val="24"/>
        </w:rPr>
        <w:t> ;</w:t>
      </w:r>
    </w:p>
    <w:p w14:paraId="62B80B6F" w14:textId="30A53A6B" w:rsidR="001035B8" w:rsidRPr="001541CB" w:rsidRDefault="00D56BC6" w:rsidP="00DB7375">
      <w:pPr>
        <w:pStyle w:val="Paragraphedeliste"/>
        <w:numPr>
          <w:ilvl w:val="0"/>
          <w:numId w:val="15"/>
        </w:numPr>
        <w:tabs>
          <w:tab w:val="left" w:pos="426"/>
        </w:tabs>
        <w:spacing w:before="120" w:after="120" w:line="360" w:lineRule="auto"/>
        <w:jc w:val="both"/>
        <w:rPr>
          <w:rFonts w:ascii="Segoe UI" w:hAnsi="Segoe UI" w:cs="Segoe UI"/>
          <w:sz w:val="24"/>
          <w:szCs w:val="24"/>
        </w:rPr>
      </w:pPr>
      <w:r w:rsidRPr="001541CB">
        <w:rPr>
          <w:rFonts w:ascii="Segoe UI" w:hAnsi="Segoe UI" w:cs="Segoe UI"/>
          <w:sz w:val="24"/>
          <w:szCs w:val="24"/>
        </w:rPr>
        <w:t xml:space="preserve">les </w:t>
      </w:r>
      <w:r w:rsidR="003F1B9F" w:rsidRPr="001541CB">
        <w:rPr>
          <w:rFonts w:ascii="Segoe UI" w:hAnsi="Segoe UI" w:cs="Segoe UI"/>
          <w:sz w:val="24"/>
          <w:szCs w:val="24"/>
        </w:rPr>
        <w:t>dépenses de personnel non réparties</w:t>
      </w:r>
      <w:r w:rsidR="00106AF2" w:rsidRPr="001541CB">
        <w:rPr>
          <w:rFonts w:ascii="Segoe UI" w:hAnsi="Segoe UI" w:cs="Segoe UI"/>
          <w:sz w:val="24"/>
          <w:szCs w:val="24"/>
        </w:rPr>
        <w:t xml:space="preserve"> </w:t>
      </w:r>
      <w:r w:rsidR="006E1CEA" w:rsidRPr="001541CB">
        <w:rPr>
          <w:rFonts w:ascii="Segoe UI" w:hAnsi="Segoe UI" w:cs="Segoe UI"/>
          <w:sz w:val="24"/>
          <w:szCs w:val="24"/>
        </w:rPr>
        <w:t>constituées de dépenses spécifiques et de</w:t>
      </w:r>
      <w:r w:rsidR="008B58D6" w:rsidRPr="001541CB">
        <w:rPr>
          <w:rFonts w:ascii="Segoe UI" w:hAnsi="Segoe UI" w:cs="Segoe UI"/>
          <w:sz w:val="24"/>
          <w:szCs w:val="24"/>
        </w:rPr>
        <w:t xml:space="preserve"> dépenses communes à plusieurs </w:t>
      </w:r>
      <w:r w:rsidR="00B93BA1" w:rsidRPr="001541CB">
        <w:rPr>
          <w:rFonts w:ascii="Segoe UI" w:hAnsi="Segoe UI" w:cs="Segoe UI"/>
          <w:sz w:val="24"/>
          <w:szCs w:val="24"/>
        </w:rPr>
        <w:t>m</w:t>
      </w:r>
      <w:r w:rsidR="006E1CEA" w:rsidRPr="001541CB">
        <w:rPr>
          <w:rFonts w:ascii="Segoe UI" w:hAnsi="Segoe UI" w:cs="Segoe UI"/>
          <w:sz w:val="24"/>
          <w:szCs w:val="24"/>
        </w:rPr>
        <w:t>inistères et Institutions de l’Etat</w:t>
      </w:r>
      <w:r w:rsidR="002165E6">
        <w:rPr>
          <w:rFonts w:ascii="Segoe UI" w:hAnsi="Segoe UI" w:cs="Segoe UI"/>
          <w:sz w:val="24"/>
          <w:szCs w:val="24"/>
        </w:rPr>
        <w:t>,</w:t>
      </w:r>
      <w:r w:rsidR="006E1CEA" w:rsidRPr="001541CB">
        <w:rPr>
          <w:rFonts w:ascii="Segoe UI" w:hAnsi="Segoe UI" w:cs="Segoe UI"/>
          <w:sz w:val="24"/>
          <w:szCs w:val="24"/>
        </w:rPr>
        <w:t xml:space="preserve"> sont </w:t>
      </w:r>
      <w:r w:rsidR="00A61B8E" w:rsidRPr="001541CB">
        <w:rPr>
          <w:rFonts w:ascii="Segoe UI" w:hAnsi="Segoe UI" w:cs="Segoe UI"/>
          <w:sz w:val="24"/>
          <w:szCs w:val="24"/>
        </w:rPr>
        <w:t>engagées</w:t>
      </w:r>
      <w:r w:rsidR="00415F69" w:rsidRPr="001541CB">
        <w:rPr>
          <w:rFonts w:ascii="Segoe UI" w:hAnsi="Segoe UI" w:cs="Segoe UI"/>
          <w:sz w:val="24"/>
          <w:szCs w:val="24"/>
        </w:rPr>
        <w:t xml:space="preserve"> à fin mars 2017</w:t>
      </w:r>
      <w:r w:rsidR="00A61B8E" w:rsidRPr="001541CB">
        <w:rPr>
          <w:rFonts w:ascii="Segoe UI" w:hAnsi="Segoe UI" w:cs="Segoe UI"/>
          <w:sz w:val="24"/>
          <w:szCs w:val="24"/>
        </w:rPr>
        <w:t xml:space="preserve"> à hauteur de </w:t>
      </w:r>
      <w:r w:rsidR="00415F69" w:rsidRPr="001541CB">
        <w:rPr>
          <w:rFonts w:ascii="Segoe UI" w:hAnsi="Segoe UI" w:cs="Segoe UI"/>
          <w:sz w:val="24"/>
          <w:szCs w:val="24"/>
        </w:rPr>
        <w:t>24,2</w:t>
      </w:r>
      <w:r w:rsidR="00A61B8E" w:rsidRPr="001541CB">
        <w:rPr>
          <w:rFonts w:ascii="Segoe UI" w:hAnsi="Segoe UI" w:cs="Segoe UI"/>
          <w:sz w:val="24"/>
          <w:szCs w:val="24"/>
        </w:rPr>
        <w:t xml:space="preserve">% </w:t>
      </w:r>
      <w:r w:rsidR="000D2D12" w:rsidRPr="001541CB">
        <w:rPr>
          <w:rFonts w:ascii="Segoe UI" w:hAnsi="Segoe UI" w:cs="Segoe UI"/>
          <w:sz w:val="24"/>
          <w:szCs w:val="24"/>
        </w:rPr>
        <w:t>de</w:t>
      </w:r>
      <w:r w:rsidR="006E1CEA" w:rsidRPr="001541CB">
        <w:rPr>
          <w:rFonts w:ascii="Segoe UI" w:hAnsi="Segoe UI" w:cs="Segoe UI"/>
          <w:sz w:val="24"/>
          <w:szCs w:val="24"/>
        </w:rPr>
        <w:t xml:space="preserve"> la</w:t>
      </w:r>
      <w:r w:rsidR="000D2D12" w:rsidRPr="001541CB">
        <w:rPr>
          <w:rFonts w:ascii="Segoe UI" w:hAnsi="Segoe UI" w:cs="Segoe UI"/>
          <w:sz w:val="24"/>
          <w:szCs w:val="24"/>
        </w:rPr>
        <w:t xml:space="preserve"> prévision annuelle qui est de </w:t>
      </w:r>
      <w:r w:rsidR="00415F69" w:rsidRPr="001541CB">
        <w:rPr>
          <w:rFonts w:ascii="Segoe UI" w:hAnsi="Segoe UI" w:cs="Segoe UI"/>
          <w:sz w:val="24"/>
          <w:szCs w:val="24"/>
        </w:rPr>
        <w:t>57 400</w:t>
      </w:r>
      <w:r w:rsidR="000D2D12" w:rsidRPr="001541CB">
        <w:rPr>
          <w:rFonts w:ascii="Segoe UI" w:hAnsi="Segoe UI" w:cs="Segoe UI"/>
          <w:sz w:val="24"/>
          <w:szCs w:val="24"/>
        </w:rPr>
        <w:t xml:space="preserve"> millions de FCFA. L</w:t>
      </w:r>
      <w:r w:rsidR="008B58D6" w:rsidRPr="001541CB">
        <w:rPr>
          <w:rFonts w:ascii="Segoe UI" w:hAnsi="Segoe UI" w:cs="Segoe UI"/>
          <w:sz w:val="24"/>
          <w:szCs w:val="24"/>
        </w:rPr>
        <w:t>e niveau d</w:t>
      </w:r>
      <w:r w:rsidR="000D2D12" w:rsidRPr="001541CB">
        <w:rPr>
          <w:rFonts w:ascii="Segoe UI" w:hAnsi="Segoe UI" w:cs="Segoe UI"/>
          <w:sz w:val="24"/>
          <w:szCs w:val="24"/>
        </w:rPr>
        <w:t xml:space="preserve">’exécution de ces dépenses </w:t>
      </w:r>
      <w:r w:rsidR="008B58D6" w:rsidRPr="001541CB">
        <w:rPr>
          <w:rFonts w:ascii="Segoe UI" w:hAnsi="Segoe UI" w:cs="Segoe UI"/>
          <w:sz w:val="24"/>
          <w:szCs w:val="24"/>
        </w:rPr>
        <w:t>révèle</w:t>
      </w:r>
      <w:r w:rsidR="00504606" w:rsidRPr="001541CB">
        <w:rPr>
          <w:rFonts w:ascii="Segoe UI" w:hAnsi="Segoe UI" w:cs="Segoe UI"/>
          <w:sz w:val="24"/>
          <w:szCs w:val="24"/>
        </w:rPr>
        <w:t xml:space="preserve"> un écart négatif</w:t>
      </w:r>
      <w:r w:rsidR="000D2D12" w:rsidRPr="001541CB">
        <w:rPr>
          <w:rFonts w:ascii="Segoe UI" w:hAnsi="Segoe UI" w:cs="Segoe UI"/>
          <w:sz w:val="24"/>
          <w:szCs w:val="24"/>
        </w:rPr>
        <w:t xml:space="preserve"> de </w:t>
      </w:r>
      <w:r w:rsidR="00415F69" w:rsidRPr="001541CB">
        <w:rPr>
          <w:rFonts w:ascii="Segoe UI" w:hAnsi="Segoe UI" w:cs="Segoe UI"/>
          <w:sz w:val="24"/>
          <w:szCs w:val="24"/>
        </w:rPr>
        <w:t>2 674,7</w:t>
      </w:r>
      <w:r w:rsidR="000D2D12" w:rsidRPr="001541CB">
        <w:rPr>
          <w:rFonts w:ascii="Segoe UI" w:hAnsi="Segoe UI" w:cs="Segoe UI"/>
          <w:sz w:val="24"/>
          <w:szCs w:val="24"/>
        </w:rPr>
        <w:t xml:space="preserve"> millions de FCFA </w:t>
      </w:r>
      <w:r w:rsidR="006E1CEA" w:rsidRPr="001541CB">
        <w:rPr>
          <w:rFonts w:ascii="Segoe UI" w:hAnsi="Segoe UI" w:cs="Segoe UI"/>
          <w:sz w:val="24"/>
          <w:szCs w:val="24"/>
        </w:rPr>
        <w:t xml:space="preserve">par rapport </w:t>
      </w:r>
      <w:r w:rsidR="008B58D6" w:rsidRPr="001541CB">
        <w:rPr>
          <w:rFonts w:ascii="Segoe UI" w:hAnsi="Segoe UI" w:cs="Segoe UI"/>
          <w:sz w:val="24"/>
          <w:szCs w:val="24"/>
        </w:rPr>
        <w:t>au</w:t>
      </w:r>
      <w:r w:rsidR="00B93BA1" w:rsidRPr="001541CB">
        <w:rPr>
          <w:rFonts w:ascii="Segoe UI" w:hAnsi="Segoe UI" w:cs="Segoe UI"/>
          <w:sz w:val="24"/>
          <w:szCs w:val="24"/>
        </w:rPr>
        <w:t xml:space="preserve"> niveau de</w:t>
      </w:r>
      <w:r w:rsidR="00735E57" w:rsidRPr="001541CB">
        <w:rPr>
          <w:rFonts w:ascii="Segoe UI" w:hAnsi="Segoe UI" w:cs="Segoe UI"/>
          <w:sz w:val="24"/>
          <w:szCs w:val="24"/>
        </w:rPr>
        <w:t xml:space="preserve"> </w:t>
      </w:r>
      <w:r w:rsidR="00415F69" w:rsidRPr="001541CB">
        <w:rPr>
          <w:rFonts w:ascii="Segoe UI" w:hAnsi="Segoe UI" w:cs="Segoe UI"/>
          <w:sz w:val="24"/>
          <w:szCs w:val="24"/>
        </w:rPr>
        <w:t>16 585,1</w:t>
      </w:r>
      <w:r w:rsidR="00106AF2" w:rsidRPr="001541CB">
        <w:rPr>
          <w:rFonts w:ascii="Segoe UI" w:hAnsi="Segoe UI" w:cs="Segoe UI"/>
          <w:sz w:val="24"/>
          <w:szCs w:val="24"/>
        </w:rPr>
        <w:t xml:space="preserve"> </w:t>
      </w:r>
      <w:r w:rsidR="009667FD" w:rsidRPr="001541CB">
        <w:rPr>
          <w:rFonts w:ascii="Segoe UI" w:hAnsi="Segoe UI" w:cs="Segoe UI"/>
          <w:sz w:val="24"/>
          <w:szCs w:val="24"/>
        </w:rPr>
        <w:lastRenderedPageBreak/>
        <w:t>millions de FCFA engagés à fin mars</w:t>
      </w:r>
      <w:r w:rsidR="00E07420" w:rsidRPr="001541CB">
        <w:rPr>
          <w:rFonts w:ascii="Segoe UI" w:hAnsi="Segoe UI" w:cs="Segoe UI"/>
          <w:sz w:val="24"/>
          <w:szCs w:val="24"/>
        </w:rPr>
        <w:t xml:space="preserve"> 201</w:t>
      </w:r>
      <w:r w:rsidR="00415F69" w:rsidRPr="001541CB">
        <w:rPr>
          <w:rFonts w:ascii="Segoe UI" w:hAnsi="Segoe UI" w:cs="Segoe UI"/>
          <w:sz w:val="24"/>
          <w:szCs w:val="24"/>
        </w:rPr>
        <w:t>6</w:t>
      </w:r>
      <w:r w:rsidR="00106AF2" w:rsidRPr="001541CB">
        <w:rPr>
          <w:rFonts w:ascii="Segoe UI" w:hAnsi="Segoe UI" w:cs="Segoe UI"/>
          <w:sz w:val="24"/>
          <w:szCs w:val="24"/>
        </w:rPr>
        <w:t xml:space="preserve"> </w:t>
      </w:r>
      <w:r w:rsidR="00095B96" w:rsidRPr="001541CB">
        <w:rPr>
          <w:rFonts w:ascii="Segoe UI" w:hAnsi="Segoe UI" w:cs="Segoe UI"/>
          <w:sz w:val="24"/>
          <w:szCs w:val="24"/>
        </w:rPr>
        <w:t xml:space="preserve">sur </w:t>
      </w:r>
      <w:r w:rsidR="008B58D6" w:rsidRPr="001541CB">
        <w:rPr>
          <w:rFonts w:ascii="Segoe UI" w:hAnsi="Segoe UI" w:cs="Segoe UI"/>
          <w:sz w:val="24"/>
          <w:szCs w:val="24"/>
        </w:rPr>
        <w:t>une prévision</w:t>
      </w:r>
      <w:r w:rsidR="009667FD" w:rsidRPr="001541CB">
        <w:rPr>
          <w:rFonts w:ascii="Segoe UI" w:hAnsi="Segoe UI" w:cs="Segoe UI"/>
          <w:sz w:val="24"/>
          <w:szCs w:val="24"/>
        </w:rPr>
        <w:t xml:space="preserve"> annuelle</w:t>
      </w:r>
      <w:r w:rsidR="008B58D6" w:rsidRPr="001541CB">
        <w:rPr>
          <w:rFonts w:ascii="Segoe UI" w:hAnsi="Segoe UI" w:cs="Segoe UI"/>
          <w:sz w:val="24"/>
          <w:szCs w:val="24"/>
        </w:rPr>
        <w:t xml:space="preserve"> </w:t>
      </w:r>
      <w:r w:rsidR="00E47DBA">
        <w:rPr>
          <w:rFonts w:ascii="Segoe UI" w:hAnsi="Segoe UI" w:cs="Segoe UI"/>
          <w:sz w:val="24"/>
          <w:szCs w:val="24"/>
        </w:rPr>
        <w:t xml:space="preserve">révisée </w:t>
      </w:r>
      <w:r w:rsidR="008B58D6" w:rsidRPr="001541CB">
        <w:rPr>
          <w:rFonts w:ascii="Segoe UI" w:hAnsi="Segoe UI" w:cs="Segoe UI"/>
          <w:sz w:val="24"/>
          <w:szCs w:val="24"/>
        </w:rPr>
        <w:t xml:space="preserve">de </w:t>
      </w:r>
      <w:r w:rsidR="00E47DBA">
        <w:rPr>
          <w:rFonts w:ascii="Segoe UI" w:hAnsi="Segoe UI" w:cs="Segoe UI"/>
          <w:sz w:val="24"/>
          <w:szCs w:val="24"/>
        </w:rPr>
        <w:t>58</w:t>
      </w:r>
      <w:r w:rsidR="00415F69" w:rsidRPr="001541CB">
        <w:rPr>
          <w:rFonts w:ascii="Segoe UI" w:hAnsi="Segoe UI" w:cs="Segoe UI"/>
          <w:sz w:val="24"/>
          <w:szCs w:val="24"/>
        </w:rPr>
        <w:t xml:space="preserve"> 598</w:t>
      </w:r>
      <w:r w:rsidR="00106AF2" w:rsidRPr="001541CB">
        <w:rPr>
          <w:rFonts w:ascii="Segoe UI" w:hAnsi="Segoe UI" w:cs="Segoe UI"/>
          <w:sz w:val="24"/>
          <w:szCs w:val="24"/>
        </w:rPr>
        <w:t xml:space="preserve"> </w:t>
      </w:r>
      <w:r w:rsidR="00095B96" w:rsidRPr="001541CB">
        <w:rPr>
          <w:rFonts w:ascii="Segoe UI" w:hAnsi="Segoe UI" w:cs="Segoe UI"/>
          <w:sz w:val="24"/>
          <w:szCs w:val="24"/>
        </w:rPr>
        <w:t>millions de FCFA</w:t>
      </w:r>
      <w:r w:rsidR="006E1CEA" w:rsidRPr="001541CB">
        <w:rPr>
          <w:rFonts w:ascii="Segoe UI" w:hAnsi="Segoe UI" w:cs="Segoe UI"/>
          <w:sz w:val="24"/>
          <w:szCs w:val="24"/>
        </w:rPr>
        <w:t xml:space="preserve">. </w:t>
      </w:r>
    </w:p>
    <w:p w14:paraId="499B8B6C" w14:textId="77777777" w:rsidR="00317E3D" w:rsidRPr="001541CB" w:rsidRDefault="001D1A31" w:rsidP="004A1038">
      <w:pPr>
        <w:rPr>
          <w:rFonts w:ascii="Segoe UI" w:hAnsi="Segoe UI" w:cs="Segoe UI"/>
          <w:b/>
          <w:sz w:val="24"/>
          <w:szCs w:val="24"/>
        </w:rPr>
      </w:pPr>
      <w:r w:rsidRPr="001541CB">
        <w:rPr>
          <w:rFonts w:ascii="Segoe UI" w:hAnsi="Segoe UI" w:cs="Segoe UI"/>
          <w:b/>
          <w:sz w:val="24"/>
          <w:szCs w:val="24"/>
        </w:rPr>
        <w:t>B-</w:t>
      </w:r>
      <w:r w:rsidR="00BD1603" w:rsidRPr="001541CB">
        <w:rPr>
          <w:rFonts w:ascii="Segoe UI" w:hAnsi="Segoe UI" w:cs="Segoe UI"/>
          <w:b/>
          <w:sz w:val="24"/>
          <w:szCs w:val="24"/>
        </w:rPr>
        <w:t>1-</w:t>
      </w:r>
      <w:r w:rsidRPr="001541CB">
        <w:rPr>
          <w:rFonts w:ascii="Segoe UI" w:hAnsi="Segoe UI" w:cs="Segoe UI"/>
          <w:b/>
          <w:sz w:val="24"/>
          <w:szCs w:val="24"/>
        </w:rPr>
        <w:t xml:space="preserve">1-3 Dépenses d’acquisitions de biens </w:t>
      </w:r>
      <w:r w:rsidR="00552350" w:rsidRPr="001541CB">
        <w:rPr>
          <w:rFonts w:ascii="Segoe UI" w:hAnsi="Segoe UI" w:cs="Segoe UI"/>
          <w:b/>
          <w:sz w:val="24"/>
          <w:szCs w:val="24"/>
        </w:rPr>
        <w:t>et services</w:t>
      </w:r>
    </w:p>
    <w:p w14:paraId="0F1596F5" w14:textId="7C6FCB09" w:rsidR="009356FF" w:rsidRDefault="00F445C2" w:rsidP="005E6E8C">
      <w:pPr>
        <w:tabs>
          <w:tab w:val="left" w:pos="426"/>
        </w:tabs>
        <w:spacing w:after="120" w:line="360" w:lineRule="auto"/>
        <w:jc w:val="both"/>
        <w:rPr>
          <w:rFonts w:ascii="Segoe UI" w:hAnsi="Segoe UI" w:cs="Segoe UI"/>
          <w:sz w:val="24"/>
          <w:szCs w:val="24"/>
        </w:rPr>
      </w:pPr>
      <w:r w:rsidRPr="001541CB">
        <w:rPr>
          <w:rFonts w:ascii="Segoe UI" w:hAnsi="Segoe UI" w:cs="Segoe UI"/>
          <w:sz w:val="24"/>
          <w:szCs w:val="24"/>
        </w:rPr>
        <w:t xml:space="preserve">Les dépenses d’acquisitions de biens et services comprennent les dépenses d’achats de biens et services et celles d’acquisitions et grosses réparations du matériel et mobilier. </w:t>
      </w:r>
      <w:r w:rsidR="00E13857" w:rsidRPr="001541CB">
        <w:rPr>
          <w:rFonts w:ascii="Segoe UI" w:hAnsi="Segoe UI" w:cs="Segoe UI"/>
          <w:sz w:val="24"/>
          <w:szCs w:val="24"/>
        </w:rPr>
        <w:t xml:space="preserve">Au 31 </w:t>
      </w:r>
      <w:r w:rsidR="00F55BC9" w:rsidRPr="001541CB">
        <w:rPr>
          <w:rFonts w:ascii="Segoe UI" w:hAnsi="Segoe UI" w:cs="Segoe UI"/>
          <w:sz w:val="24"/>
          <w:szCs w:val="24"/>
        </w:rPr>
        <w:t>mars</w:t>
      </w:r>
      <w:r w:rsidR="00E13857" w:rsidRPr="001541CB">
        <w:rPr>
          <w:rFonts w:ascii="Segoe UI" w:hAnsi="Segoe UI" w:cs="Segoe UI"/>
          <w:sz w:val="24"/>
          <w:szCs w:val="24"/>
        </w:rPr>
        <w:t xml:space="preserve"> 201</w:t>
      </w:r>
      <w:r w:rsidR="004A6443" w:rsidRPr="001541CB">
        <w:rPr>
          <w:rFonts w:ascii="Segoe UI" w:hAnsi="Segoe UI" w:cs="Segoe UI"/>
          <w:sz w:val="24"/>
          <w:szCs w:val="24"/>
        </w:rPr>
        <w:t>7</w:t>
      </w:r>
      <w:r w:rsidR="00E13857" w:rsidRPr="001541CB">
        <w:rPr>
          <w:rFonts w:ascii="Segoe UI" w:hAnsi="Segoe UI" w:cs="Segoe UI"/>
          <w:sz w:val="24"/>
          <w:szCs w:val="24"/>
        </w:rPr>
        <w:t xml:space="preserve">, </w:t>
      </w:r>
      <w:r w:rsidRPr="001541CB">
        <w:rPr>
          <w:rFonts w:ascii="Segoe UI" w:hAnsi="Segoe UI" w:cs="Segoe UI"/>
          <w:sz w:val="24"/>
          <w:szCs w:val="24"/>
        </w:rPr>
        <w:t>el</w:t>
      </w:r>
      <w:r w:rsidR="00E13857" w:rsidRPr="001541CB">
        <w:rPr>
          <w:rFonts w:ascii="Segoe UI" w:hAnsi="Segoe UI" w:cs="Segoe UI"/>
          <w:sz w:val="24"/>
          <w:szCs w:val="24"/>
        </w:rPr>
        <w:t>l</w:t>
      </w:r>
      <w:r w:rsidR="00D73A01" w:rsidRPr="001541CB">
        <w:rPr>
          <w:rFonts w:ascii="Segoe UI" w:hAnsi="Segoe UI" w:cs="Segoe UI"/>
          <w:sz w:val="24"/>
          <w:szCs w:val="24"/>
        </w:rPr>
        <w:t>es sont engagées</w:t>
      </w:r>
      <w:r w:rsidR="003E0BA3" w:rsidRPr="001541CB">
        <w:rPr>
          <w:rFonts w:ascii="Segoe UI" w:hAnsi="Segoe UI" w:cs="Segoe UI"/>
          <w:sz w:val="24"/>
          <w:szCs w:val="24"/>
        </w:rPr>
        <w:t xml:space="preserve"> </w:t>
      </w:r>
      <w:r w:rsidR="008414C2" w:rsidRPr="001541CB">
        <w:rPr>
          <w:rFonts w:ascii="Segoe UI" w:hAnsi="Segoe UI" w:cs="Segoe UI"/>
          <w:sz w:val="24"/>
          <w:szCs w:val="24"/>
        </w:rPr>
        <w:t>à</w:t>
      </w:r>
      <w:r w:rsidR="00D73A01" w:rsidRPr="001541CB">
        <w:rPr>
          <w:rFonts w:ascii="Segoe UI" w:hAnsi="Segoe UI" w:cs="Segoe UI"/>
          <w:sz w:val="24"/>
          <w:szCs w:val="24"/>
        </w:rPr>
        <w:t xml:space="preserve"> concurrence de </w:t>
      </w:r>
      <w:r w:rsidR="00DE25B5" w:rsidRPr="001541CB">
        <w:rPr>
          <w:rFonts w:ascii="Segoe UI" w:hAnsi="Segoe UI" w:cs="Segoe UI"/>
          <w:sz w:val="24"/>
          <w:szCs w:val="24"/>
        </w:rPr>
        <w:t>23 085,2</w:t>
      </w:r>
      <w:r w:rsidR="003E0BA3" w:rsidRPr="001541CB">
        <w:rPr>
          <w:rFonts w:ascii="Segoe UI" w:hAnsi="Segoe UI" w:cs="Segoe UI"/>
          <w:sz w:val="24"/>
          <w:szCs w:val="24"/>
        </w:rPr>
        <w:t xml:space="preserve"> </w:t>
      </w:r>
      <w:r w:rsidR="00E13857" w:rsidRPr="001541CB">
        <w:rPr>
          <w:rFonts w:ascii="Segoe UI" w:hAnsi="Segoe UI" w:cs="Segoe UI"/>
          <w:sz w:val="24"/>
          <w:szCs w:val="24"/>
        </w:rPr>
        <w:t>millions de FCFA</w:t>
      </w:r>
      <w:r w:rsidR="003E0BA3" w:rsidRPr="001541CB">
        <w:rPr>
          <w:rFonts w:ascii="Segoe UI" w:hAnsi="Segoe UI" w:cs="Segoe UI"/>
          <w:sz w:val="24"/>
          <w:szCs w:val="24"/>
        </w:rPr>
        <w:t xml:space="preserve"> </w:t>
      </w:r>
      <w:r w:rsidR="008414C2" w:rsidRPr="001541CB">
        <w:rPr>
          <w:rFonts w:ascii="Segoe UI" w:hAnsi="Segoe UI" w:cs="Segoe UI"/>
          <w:sz w:val="24"/>
          <w:szCs w:val="24"/>
        </w:rPr>
        <w:t xml:space="preserve">sur un </w:t>
      </w:r>
      <w:r w:rsidR="0090525A" w:rsidRPr="001541CB">
        <w:rPr>
          <w:rFonts w:ascii="Segoe UI" w:hAnsi="Segoe UI" w:cs="Segoe UI"/>
          <w:sz w:val="24"/>
          <w:szCs w:val="24"/>
        </w:rPr>
        <w:t>objectif annuel</w:t>
      </w:r>
      <w:r w:rsidR="008414C2" w:rsidRPr="001541CB">
        <w:rPr>
          <w:rFonts w:ascii="Segoe UI" w:hAnsi="Segoe UI" w:cs="Segoe UI"/>
          <w:sz w:val="24"/>
          <w:szCs w:val="24"/>
        </w:rPr>
        <w:t xml:space="preserve"> de </w:t>
      </w:r>
      <w:r w:rsidR="00DE25B5" w:rsidRPr="001541CB">
        <w:rPr>
          <w:rFonts w:ascii="Segoe UI" w:hAnsi="Segoe UI" w:cs="Segoe UI"/>
          <w:sz w:val="24"/>
          <w:szCs w:val="24"/>
        </w:rPr>
        <w:t>102 597</w:t>
      </w:r>
      <w:r w:rsidR="008414C2" w:rsidRPr="001541CB">
        <w:rPr>
          <w:rFonts w:ascii="Segoe UI" w:hAnsi="Segoe UI" w:cs="Segoe UI"/>
          <w:sz w:val="24"/>
          <w:szCs w:val="24"/>
        </w:rPr>
        <w:t xml:space="preserve"> millions de FCFA</w:t>
      </w:r>
      <w:r w:rsidR="00E31C28" w:rsidRPr="001541CB">
        <w:rPr>
          <w:rFonts w:ascii="Segoe UI" w:hAnsi="Segoe UI" w:cs="Segoe UI"/>
          <w:sz w:val="24"/>
          <w:szCs w:val="24"/>
        </w:rPr>
        <w:t xml:space="preserve">. Le taux d’engagement </w:t>
      </w:r>
      <w:r w:rsidR="0090525A" w:rsidRPr="001541CB">
        <w:rPr>
          <w:rFonts w:ascii="Segoe UI" w:hAnsi="Segoe UI" w:cs="Segoe UI"/>
          <w:sz w:val="24"/>
          <w:szCs w:val="24"/>
        </w:rPr>
        <w:t xml:space="preserve">correspondant </w:t>
      </w:r>
      <w:r w:rsidR="00E31C28" w:rsidRPr="001541CB">
        <w:rPr>
          <w:rFonts w:ascii="Segoe UI" w:hAnsi="Segoe UI" w:cs="Segoe UI"/>
          <w:sz w:val="24"/>
          <w:szCs w:val="24"/>
        </w:rPr>
        <w:t xml:space="preserve">est de </w:t>
      </w:r>
      <w:r w:rsidR="00DE25B5" w:rsidRPr="001541CB">
        <w:rPr>
          <w:rFonts w:ascii="Segoe UI" w:hAnsi="Segoe UI" w:cs="Segoe UI"/>
          <w:sz w:val="24"/>
          <w:szCs w:val="24"/>
        </w:rPr>
        <w:t>22,5</w:t>
      </w:r>
      <w:r w:rsidR="00E13857" w:rsidRPr="001541CB">
        <w:rPr>
          <w:rFonts w:ascii="Segoe UI" w:hAnsi="Segoe UI" w:cs="Segoe UI"/>
          <w:sz w:val="24"/>
          <w:szCs w:val="24"/>
        </w:rPr>
        <w:t>%</w:t>
      </w:r>
      <w:r w:rsidR="003E0BA3" w:rsidRPr="001541CB">
        <w:rPr>
          <w:rFonts w:ascii="Segoe UI" w:hAnsi="Segoe UI" w:cs="Segoe UI"/>
          <w:sz w:val="24"/>
          <w:szCs w:val="24"/>
        </w:rPr>
        <w:t xml:space="preserve"> </w:t>
      </w:r>
      <w:r w:rsidR="0090525A" w:rsidRPr="001541CB">
        <w:rPr>
          <w:rFonts w:ascii="Segoe UI" w:hAnsi="Segoe UI" w:cs="Segoe UI"/>
          <w:sz w:val="24"/>
          <w:szCs w:val="24"/>
        </w:rPr>
        <w:t xml:space="preserve">et </w:t>
      </w:r>
      <w:r w:rsidR="00B93BA1" w:rsidRPr="001541CB">
        <w:rPr>
          <w:rFonts w:ascii="Segoe UI" w:hAnsi="Segoe UI" w:cs="Segoe UI"/>
          <w:sz w:val="24"/>
          <w:szCs w:val="24"/>
        </w:rPr>
        <w:t>s’inscrit en deçà de</w:t>
      </w:r>
      <w:r w:rsidR="0090525A" w:rsidRPr="001541CB">
        <w:rPr>
          <w:rFonts w:ascii="Segoe UI" w:hAnsi="Segoe UI" w:cs="Segoe UI"/>
          <w:sz w:val="24"/>
          <w:szCs w:val="24"/>
        </w:rPr>
        <w:t xml:space="preserve"> celui de</w:t>
      </w:r>
      <w:r w:rsidR="009E30E9" w:rsidRPr="001541CB">
        <w:rPr>
          <w:rFonts w:ascii="Segoe UI" w:hAnsi="Segoe UI" w:cs="Segoe UI"/>
          <w:sz w:val="24"/>
          <w:szCs w:val="24"/>
        </w:rPr>
        <w:t xml:space="preserve"> </w:t>
      </w:r>
      <w:r w:rsidR="00C729E2">
        <w:rPr>
          <w:rFonts w:ascii="Segoe UI" w:hAnsi="Segoe UI" w:cs="Segoe UI"/>
          <w:sz w:val="24"/>
          <w:szCs w:val="24"/>
        </w:rPr>
        <w:t>49</w:t>
      </w:r>
      <w:r w:rsidR="00DE25B5" w:rsidRPr="001541CB">
        <w:rPr>
          <w:rFonts w:ascii="Segoe UI" w:hAnsi="Segoe UI" w:cs="Segoe UI"/>
          <w:sz w:val="24"/>
          <w:szCs w:val="24"/>
        </w:rPr>
        <w:t>,</w:t>
      </w:r>
      <w:r w:rsidR="00C729E2">
        <w:rPr>
          <w:rFonts w:ascii="Segoe UI" w:hAnsi="Segoe UI" w:cs="Segoe UI"/>
          <w:sz w:val="24"/>
          <w:szCs w:val="24"/>
        </w:rPr>
        <w:t>5</w:t>
      </w:r>
      <w:r w:rsidR="00E31C28" w:rsidRPr="001541CB">
        <w:rPr>
          <w:rFonts w:ascii="Segoe UI" w:hAnsi="Segoe UI" w:cs="Segoe UI"/>
          <w:sz w:val="24"/>
          <w:szCs w:val="24"/>
        </w:rPr>
        <w:t xml:space="preserve">% </w:t>
      </w:r>
      <w:r w:rsidR="0090525A" w:rsidRPr="001541CB">
        <w:rPr>
          <w:rFonts w:ascii="Segoe UI" w:hAnsi="Segoe UI" w:cs="Segoe UI"/>
          <w:sz w:val="24"/>
          <w:szCs w:val="24"/>
        </w:rPr>
        <w:t xml:space="preserve">réalisé au </w:t>
      </w:r>
      <w:r w:rsidR="00F55BC9" w:rsidRPr="001541CB">
        <w:rPr>
          <w:rFonts w:ascii="Segoe UI" w:hAnsi="Segoe UI" w:cs="Segoe UI"/>
          <w:sz w:val="24"/>
          <w:szCs w:val="24"/>
        </w:rPr>
        <w:t xml:space="preserve">premier trimestre </w:t>
      </w:r>
      <w:r w:rsidR="00DE0293" w:rsidRPr="001541CB">
        <w:rPr>
          <w:rFonts w:ascii="Segoe UI" w:hAnsi="Segoe UI" w:cs="Segoe UI"/>
          <w:sz w:val="24"/>
          <w:szCs w:val="24"/>
        </w:rPr>
        <w:t>201</w:t>
      </w:r>
      <w:r w:rsidR="00DE25B5" w:rsidRPr="001541CB">
        <w:rPr>
          <w:rFonts w:ascii="Segoe UI" w:hAnsi="Segoe UI" w:cs="Segoe UI"/>
          <w:sz w:val="24"/>
          <w:szCs w:val="24"/>
        </w:rPr>
        <w:t>6</w:t>
      </w:r>
      <w:r w:rsidR="00B93BA1" w:rsidRPr="001541CB">
        <w:rPr>
          <w:rFonts w:ascii="Segoe UI" w:hAnsi="Segoe UI" w:cs="Segoe UI"/>
          <w:sz w:val="24"/>
          <w:szCs w:val="24"/>
        </w:rPr>
        <w:t>.</w:t>
      </w:r>
      <w:r w:rsidR="003E0BA3" w:rsidRPr="001541CB">
        <w:rPr>
          <w:rFonts w:ascii="Segoe UI" w:hAnsi="Segoe UI" w:cs="Segoe UI"/>
          <w:sz w:val="24"/>
          <w:szCs w:val="24"/>
        </w:rPr>
        <w:t xml:space="preserve"> </w:t>
      </w:r>
    </w:p>
    <w:p w14:paraId="7878244C" w14:textId="34C6333A" w:rsidR="009356FF" w:rsidRPr="001541CB" w:rsidRDefault="009356FF" w:rsidP="005E6E8C">
      <w:pPr>
        <w:tabs>
          <w:tab w:val="left" w:pos="426"/>
        </w:tabs>
        <w:spacing w:after="120" w:line="360" w:lineRule="auto"/>
        <w:jc w:val="both"/>
        <w:rPr>
          <w:rFonts w:ascii="Segoe UI" w:hAnsi="Segoe UI" w:cs="Segoe UI"/>
          <w:sz w:val="24"/>
          <w:szCs w:val="24"/>
        </w:rPr>
      </w:pPr>
      <w:r w:rsidRPr="00320035">
        <w:rPr>
          <w:rFonts w:ascii="Segoe UI" w:hAnsi="Segoe UI" w:cs="Segoe UI"/>
          <w:sz w:val="24"/>
          <w:szCs w:val="24"/>
        </w:rPr>
        <w:t>En terme nominal, on note un effort soutenu de maîtrise desdites dépenses. Les résultat</w:t>
      </w:r>
      <w:r>
        <w:rPr>
          <w:rFonts w:ascii="Segoe UI" w:hAnsi="Segoe UI" w:cs="Segoe UI"/>
          <w:sz w:val="24"/>
          <w:szCs w:val="24"/>
        </w:rPr>
        <w:t>s obtenus à fin mars (environ 25</w:t>
      </w:r>
      <w:r w:rsidRPr="00320035">
        <w:rPr>
          <w:rFonts w:ascii="Segoe UI" w:hAnsi="Segoe UI" w:cs="Segoe UI"/>
          <w:sz w:val="24"/>
          <w:szCs w:val="24"/>
        </w:rPr>
        <w:t xml:space="preserve"> milliards d’engagement de moins par rapport à la même période en 2016) témoigne</w:t>
      </w:r>
      <w:r w:rsidR="00AD6414">
        <w:rPr>
          <w:rFonts w:ascii="Segoe UI" w:hAnsi="Segoe UI" w:cs="Segoe UI"/>
          <w:sz w:val="24"/>
          <w:szCs w:val="24"/>
        </w:rPr>
        <w:t>nt</w:t>
      </w:r>
      <w:r w:rsidRPr="00320035">
        <w:rPr>
          <w:rFonts w:ascii="Segoe UI" w:hAnsi="Segoe UI" w:cs="Segoe UI"/>
          <w:sz w:val="24"/>
          <w:szCs w:val="24"/>
        </w:rPr>
        <w:t xml:space="preserve"> de la qualité de l’exercice désormais immanquable de la revue des dépenses. </w:t>
      </w:r>
      <w:r>
        <w:rPr>
          <w:rFonts w:ascii="Segoe UI" w:hAnsi="Segoe UI" w:cs="Segoe UI"/>
          <w:sz w:val="24"/>
          <w:szCs w:val="24"/>
        </w:rPr>
        <w:t>La consommation à hauteur 22,5% est tiré par les engagements concédés à certains ministères stratégiques et à certaines Institutions de l’Etat : Assemblée Nationale (100%), HAAC (26,55% sur ABS répartis et 47,70% sur les ABS Non répartis), Cour Suprême (54,50% sur ABS Non Répartis, MCVDD (29,99%), MAEC (32,10%), MESTFP (30,50% sur les ABS répartis) et  (32,76% sur les ABS Non Répartis), CES (48,45% pour ABS Non Répartis), MEEM (24,41%).</w:t>
      </w:r>
    </w:p>
    <w:p w14:paraId="1ADC0520" w14:textId="77777777" w:rsidR="00D74D54" w:rsidRPr="001541CB" w:rsidRDefault="0026502A" w:rsidP="003729F6">
      <w:pPr>
        <w:tabs>
          <w:tab w:val="left" w:pos="426"/>
        </w:tabs>
        <w:spacing w:before="120" w:after="120" w:line="360" w:lineRule="auto"/>
        <w:jc w:val="both"/>
        <w:rPr>
          <w:rFonts w:ascii="Segoe UI" w:hAnsi="Segoe UI" w:cs="Segoe UI"/>
          <w:sz w:val="24"/>
          <w:szCs w:val="24"/>
        </w:rPr>
      </w:pPr>
      <w:r w:rsidRPr="001541CB">
        <w:rPr>
          <w:rFonts w:ascii="Segoe UI" w:hAnsi="Segoe UI" w:cs="Segoe UI"/>
          <w:sz w:val="24"/>
          <w:szCs w:val="24"/>
        </w:rPr>
        <w:t>L</w:t>
      </w:r>
      <w:r w:rsidR="00603561" w:rsidRPr="001541CB">
        <w:rPr>
          <w:rFonts w:ascii="Segoe UI" w:hAnsi="Segoe UI" w:cs="Segoe UI"/>
          <w:sz w:val="24"/>
          <w:szCs w:val="24"/>
        </w:rPr>
        <w:t>e nive</w:t>
      </w:r>
      <w:r w:rsidRPr="001541CB">
        <w:rPr>
          <w:rFonts w:ascii="Segoe UI" w:hAnsi="Segoe UI" w:cs="Segoe UI"/>
          <w:sz w:val="24"/>
          <w:szCs w:val="24"/>
        </w:rPr>
        <w:t>a</w:t>
      </w:r>
      <w:r w:rsidR="00603561" w:rsidRPr="001541CB">
        <w:rPr>
          <w:rFonts w:ascii="Segoe UI" w:hAnsi="Segoe UI" w:cs="Segoe UI"/>
          <w:sz w:val="24"/>
          <w:szCs w:val="24"/>
        </w:rPr>
        <w:t>u d’engagement des dépenses d’acquisition de biens et services est détaillé par</w:t>
      </w:r>
      <w:r w:rsidRPr="001541CB">
        <w:rPr>
          <w:rFonts w:ascii="Segoe UI" w:hAnsi="Segoe UI" w:cs="Segoe UI"/>
          <w:sz w:val="24"/>
          <w:szCs w:val="24"/>
        </w:rPr>
        <w:t xml:space="preserve"> catégorie </w:t>
      </w:r>
      <w:r w:rsidR="00603561" w:rsidRPr="001541CB">
        <w:rPr>
          <w:rFonts w:ascii="Segoe UI" w:hAnsi="Segoe UI" w:cs="Segoe UI"/>
          <w:sz w:val="24"/>
          <w:szCs w:val="24"/>
        </w:rPr>
        <w:t>ainsi qu’il suit :</w:t>
      </w:r>
    </w:p>
    <w:p w14:paraId="05BD6F93" w14:textId="366D72CD" w:rsidR="00D74D54" w:rsidRPr="001541CB" w:rsidRDefault="000F6830" w:rsidP="00D74D54">
      <w:pPr>
        <w:pStyle w:val="Paragraphedeliste"/>
        <w:numPr>
          <w:ilvl w:val="0"/>
          <w:numId w:val="15"/>
        </w:numPr>
        <w:tabs>
          <w:tab w:val="left" w:pos="426"/>
        </w:tabs>
        <w:spacing w:before="120" w:after="120" w:line="360" w:lineRule="auto"/>
        <w:jc w:val="both"/>
        <w:rPr>
          <w:rFonts w:ascii="Segoe UI" w:hAnsi="Segoe UI" w:cs="Segoe UI"/>
          <w:sz w:val="24"/>
          <w:szCs w:val="24"/>
        </w:rPr>
      </w:pPr>
      <w:r w:rsidRPr="001541CB">
        <w:rPr>
          <w:rFonts w:ascii="Segoe UI" w:hAnsi="Segoe UI" w:cs="Segoe UI"/>
          <w:sz w:val="24"/>
          <w:szCs w:val="24"/>
        </w:rPr>
        <w:t xml:space="preserve">les </w:t>
      </w:r>
      <w:r w:rsidR="0096271E" w:rsidRPr="001541CB">
        <w:rPr>
          <w:rFonts w:ascii="Segoe UI" w:hAnsi="Segoe UI" w:cs="Segoe UI"/>
          <w:sz w:val="24"/>
          <w:szCs w:val="24"/>
        </w:rPr>
        <w:t xml:space="preserve">dépenses d’achats de biens et services </w:t>
      </w:r>
      <w:r w:rsidRPr="001541CB">
        <w:rPr>
          <w:rFonts w:ascii="Segoe UI" w:hAnsi="Segoe UI" w:cs="Segoe UI"/>
          <w:sz w:val="24"/>
          <w:szCs w:val="24"/>
        </w:rPr>
        <w:t>sont engag</w:t>
      </w:r>
      <w:r w:rsidR="00D74D54" w:rsidRPr="001541CB">
        <w:rPr>
          <w:rFonts w:ascii="Segoe UI" w:hAnsi="Segoe UI" w:cs="Segoe UI"/>
          <w:sz w:val="24"/>
          <w:szCs w:val="24"/>
        </w:rPr>
        <w:t xml:space="preserve">ées </w:t>
      </w:r>
      <w:r w:rsidR="009356FF">
        <w:rPr>
          <w:rFonts w:ascii="Segoe UI" w:hAnsi="Segoe UI" w:cs="Segoe UI"/>
          <w:sz w:val="24"/>
          <w:szCs w:val="24"/>
        </w:rPr>
        <w:t>à un</w:t>
      </w:r>
      <w:r w:rsidR="009356FF" w:rsidRPr="001541CB">
        <w:rPr>
          <w:rFonts w:ascii="Segoe UI" w:hAnsi="Segoe UI" w:cs="Segoe UI"/>
          <w:sz w:val="24"/>
          <w:szCs w:val="24"/>
        </w:rPr>
        <w:t xml:space="preserve"> </w:t>
      </w:r>
      <w:r w:rsidR="00D74D54" w:rsidRPr="001541CB">
        <w:rPr>
          <w:rFonts w:ascii="Segoe UI" w:hAnsi="Segoe UI" w:cs="Segoe UI"/>
          <w:sz w:val="24"/>
          <w:szCs w:val="24"/>
        </w:rPr>
        <w:t xml:space="preserve">taux de </w:t>
      </w:r>
      <w:r w:rsidR="00EF3A06" w:rsidRPr="001541CB">
        <w:rPr>
          <w:rFonts w:ascii="Segoe UI" w:hAnsi="Segoe UI" w:cs="Segoe UI"/>
          <w:sz w:val="24"/>
          <w:szCs w:val="24"/>
        </w:rPr>
        <w:t>24,5</w:t>
      </w:r>
      <w:r w:rsidR="00D74D54" w:rsidRPr="001541CB">
        <w:rPr>
          <w:rFonts w:ascii="Segoe UI" w:hAnsi="Segoe UI" w:cs="Segoe UI"/>
          <w:sz w:val="24"/>
          <w:szCs w:val="24"/>
        </w:rPr>
        <w:t xml:space="preserve">% </w:t>
      </w:r>
      <w:r w:rsidR="00C77E65" w:rsidRPr="001541CB">
        <w:rPr>
          <w:rFonts w:ascii="Segoe UI" w:hAnsi="Segoe UI" w:cs="Segoe UI"/>
          <w:sz w:val="24"/>
          <w:szCs w:val="24"/>
        </w:rPr>
        <w:t>équival</w:t>
      </w:r>
      <w:r w:rsidR="009E1FB2" w:rsidRPr="001541CB">
        <w:rPr>
          <w:rFonts w:ascii="Segoe UI" w:hAnsi="Segoe UI" w:cs="Segoe UI"/>
          <w:sz w:val="24"/>
          <w:szCs w:val="24"/>
        </w:rPr>
        <w:t>a</w:t>
      </w:r>
      <w:r w:rsidR="00C77E65" w:rsidRPr="001541CB">
        <w:rPr>
          <w:rFonts w:ascii="Segoe UI" w:hAnsi="Segoe UI" w:cs="Segoe UI"/>
          <w:sz w:val="24"/>
          <w:szCs w:val="24"/>
        </w:rPr>
        <w:t>nt à</w:t>
      </w:r>
      <w:r w:rsidR="00EE3549" w:rsidRPr="001541CB">
        <w:rPr>
          <w:rFonts w:ascii="Segoe UI" w:hAnsi="Segoe UI" w:cs="Segoe UI"/>
          <w:sz w:val="24"/>
          <w:szCs w:val="24"/>
        </w:rPr>
        <w:t xml:space="preserve"> </w:t>
      </w:r>
      <w:r w:rsidR="00EF3A06" w:rsidRPr="001541CB">
        <w:rPr>
          <w:rFonts w:ascii="Segoe UI" w:hAnsi="Segoe UI" w:cs="Segoe UI"/>
          <w:sz w:val="24"/>
          <w:szCs w:val="24"/>
        </w:rPr>
        <w:t>20 021,5</w:t>
      </w:r>
      <w:r w:rsidR="003E0BA3" w:rsidRPr="001541CB">
        <w:rPr>
          <w:rFonts w:ascii="Segoe UI" w:hAnsi="Segoe UI" w:cs="Segoe UI"/>
          <w:sz w:val="24"/>
          <w:szCs w:val="24"/>
        </w:rPr>
        <w:t xml:space="preserve"> </w:t>
      </w:r>
      <w:r w:rsidR="00D74D54" w:rsidRPr="001541CB">
        <w:rPr>
          <w:rFonts w:ascii="Segoe UI" w:hAnsi="Segoe UI" w:cs="Segoe UI"/>
          <w:sz w:val="24"/>
          <w:szCs w:val="24"/>
        </w:rPr>
        <w:t xml:space="preserve">millions de FCFA </w:t>
      </w:r>
      <w:r w:rsidR="00C77E65" w:rsidRPr="001541CB">
        <w:rPr>
          <w:rFonts w:ascii="Segoe UI" w:hAnsi="Segoe UI" w:cs="Segoe UI"/>
          <w:sz w:val="24"/>
          <w:szCs w:val="24"/>
        </w:rPr>
        <w:t>d’engagement</w:t>
      </w:r>
      <w:r w:rsidR="003E0BA3" w:rsidRPr="001541CB">
        <w:rPr>
          <w:rFonts w:ascii="Segoe UI" w:hAnsi="Segoe UI" w:cs="Segoe UI"/>
          <w:sz w:val="24"/>
          <w:szCs w:val="24"/>
        </w:rPr>
        <w:t xml:space="preserve"> </w:t>
      </w:r>
      <w:r w:rsidR="00D74D54" w:rsidRPr="001541CB">
        <w:rPr>
          <w:rFonts w:ascii="Segoe UI" w:hAnsi="Segoe UI" w:cs="Segoe UI"/>
          <w:sz w:val="24"/>
          <w:szCs w:val="24"/>
        </w:rPr>
        <w:t xml:space="preserve">sur une prévision annuelle de </w:t>
      </w:r>
      <w:r w:rsidR="00EF3A06" w:rsidRPr="001541CB">
        <w:rPr>
          <w:rFonts w:ascii="Segoe UI" w:hAnsi="Segoe UI" w:cs="Segoe UI"/>
          <w:sz w:val="24"/>
          <w:szCs w:val="24"/>
        </w:rPr>
        <w:t>81 877</w:t>
      </w:r>
      <w:r w:rsidR="00D74D54" w:rsidRPr="001541CB">
        <w:rPr>
          <w:rFonts w:ascii="Segoe UI" w:hAnsi="Segoe UI" w:cs="Segoe UI"/>
          <w:sz w:val="24"/>
          <w:szCs w:val="24"/>
        </w:rPr>
        <w:t xml:space="preserve"> millions de FCFA ;</w:t>
      </w:r>
    </w:p>
    <w:p w14:paraId="4F6E10CD" w14:textId="7A1CD1F4" w:rsidR="004B464A" w:rsidRPr="001541CB" w:rsidRDefault="000F6830" w:rsidP="004A1038">
      <w:pPr>
        <w:pStyle w:val="Paragraphedeliste"/>
        <w:numPr>
          <w:ilvl w:val="0"/>
          <w:numId w:val="15"/>
        </w:numPr>
        <w:tabs>
          <w:tab w:val="left" w:pos="426"/>
        </w:tabs>
        <w:spacing w:before="120" w:after="120" w:line="360" w:lineRule="auto"/>
        <w:jc w:val="both"/>
        <w:rPr>
          <w:rFonts w:ascii="Segoe UI" w:hAnsi="Segoe UI" w:cs="Segoe UI"/>
          <w:sz w:val="24"/>
          <w:szCs w:val="24"/>
        </w:rPr>
      </w:pPr>
      <w:r w:rsidRPr="001541CB">
        <w:rPr>
          <w:rFonts w:ascii="Segoe UI" w:hAnsi="Segoe UI" w:cs="Segoe UI"/>
          <w:sz w:val="24"/>
          <w:szCs w:val="24"/>
        </w:rPr>
        <w:t xml:space="preserve">les </w:t>
      </w:r>
      <w:r w:rsidR="00D74D54" w:rsidRPr="001541CB">
        <w:rPr>
          <w:rFonts w:ascii="Segoe UI" w:hAnsi="Segoe UI" w:cs="Segoe UI"/>
          <w:sz w:val="24"/>
          <w:szCs w:val="24"/>
        </w:rPr>
        <w:t xml:space="preserve">dépenses </w:t>
      </w:r>
      <w:r w:rsidR="0096271E" w:rsidRPr="001541CB">
        <w:rPr>
          <w:rFonts w:ascii="Segoe UI" w:hAnsi="Segoe UI" w:cs="Segoe UI"/>
          <w:sz w:val="24"/>
          <w:szCs w:val="24"/>
        </w:rPr>
        <w:t>d’acquisitions et grosses répa</w:t>
      </w:r>
      <w:r w:rsidR="00F23528" w:rsidRPr="001541CB">
        <w:rPr>
          <w:rFonts w:ascii="Segoe UI" w:hAnsi="Segoe UI" w:cs="Segoe UI"/>
          <w:sz w:val="24"/>
          <w:szCs w:val="24"/>
        </w:rPr>
        <w:t xml:space="preserve">rations du matériel et mobilier </w:t>
      </w:r>
      <w:r w:rsidR="00E71823" w:rsidRPr="001541CB">
        <w:rPr>
          <w:rFonts w:ascii="Segoe UI" w:hAnsi="Segoe UI" w:cs="Segoe UI"/>
          <w:sz w:val="24"/>
          <w:szCs w:val="24"/>
        </w:rPr>
        <w:t xml:space="preserve">ont </w:t>
      </w:r>
      <w:r w:rsidR="0018662C">
        <w:rPr>
          <w:rFonts w:ascii="Segoe UI" w:hAnsi="Segoe UI" w:cs="Segoe UI"/>
          <w:sz w:val="24"/>
          <w:szCs w:val="24"/>
        </w:rPr>
        <w:t>connu</w:t>
      </w:r>
      <w:r w:rsidR="009977A7" w:rsidRPr="001541CB">
        <w:rPr>
          <w:rFonts w:ascii="Segoe UI" w:hAnsi="Segoe UI" w:cs="Segoe UI"/>
          <w:sz w:val="24"/>
          <w:szCs w:val="24"/>
        </w:rPr>
        <w:t xml:space="preserve"> à fin mars 201</w:t>
      </w:r>
      <w:r w:rsidR="001A1F47" w:rsidRPr="001541CB">
        <w:rPr>
          <w:rFonts w:ascii="Segoe UI" w:hAnsi="Segoe UI" w:cs="Segoe UI"/>
          <w:sz w:val="24"/>
          <w:szCs w:val="24"/>
        </w:rPr>
        <w:t>7</w:t>
      </w:r>
      <w:r w:rsidR="0018662C">
        <w:rPr>
          <w:rFonts w:ascii="Segoe UI" w:hAnsi="Segoe UI" w:cs="Segoe UI"/>
          <w:sz w:val="24"/>
          <w:szCs w:val="24"/>
        </w:rPr>
        <w:t>un</w:t>
      </w:r>
      <w:r w:rsidR="00E71823" w:rsidRPr="001541CB">
        <w:rPr>
          <w:rFonts w:ascii="Segoe UI" w:hAnsi="Segoe UI" w:cs="Segoe UI"/>
          <w:sz w:val="24"/>
          <w:szCs w:val="24"/>
        </w:rPr>
        <w:t xml:space="preserve"> </w:t>
      </w:r>
      <w:r w:rsidR="009977A7" w:rsidRPr="001541CB">
        <w:rPr>
          <w:rFonts w:ascii="Segoe UI" w:hAnsi="Segoe UI" w:cs="Segoe UI"/>
          <w:sz w:val="24"/>
          <w:szCs w:val="24"/>
        </w:rPr>
        <w:t>niveau d’</w:t>
      </w:r>
      <w:r w:rsidR="006C65F2" w:rsidRPr="001541CB">
        <w:rPr>
          <w:rFonts w:ascii="Segoe UI" w:hAnsi="Segoe UI" w:cs="Segoe UI"/>
          <w:sz w:val="24"/>
          <w:szCs w:val="24"/>
        </w:rPr>
        <w:t xml:space="preserve">engagement </w:t>
      </w:r>
      <w:r w:rsidR="0018662C">
        <w:rPr>
          <w:rFonts w:ascii="Segoe UI" w:hAnsi="Segoe UI" w:cs="Segoe UI"/>
          <w:sz w:val="24"/>
          <w:szCs w:val="24"/>
        </w:rPr>
        <w:t>de</w:t>
      </w:r>
      <w:r w:rsidR="006C65F2" w:rsidRPr="001541CB">
        <w:rPr>
          <w:rFonts w:ascii="Segoe UI" w:hAnsi="Segoe UI" w:cs="Segoe UI"/>
          <w:sz w:val="24"/>
          <w:szCs w:val="24"/>
        </w:rPr>
        <w:t xml:space="preserve"> </w:t>
      </w:r>
      <w:r w:rsidR="00EF3A06" w:rsidRPr="001541CB">
        <w:rPr>
          <w:rFonts w:ascii="Segoe UI" w:hAnsi="Segoe UI" w:cs="Segoe UI"/>
          <w:sz w:val="24"/>
          <w:szCs w:val="24"/>
        </w:rPr>
        <w:t>3 063,7</w:t>
      </w:r>
      <w:r w:rsidR="00F23528" w:rsidRPr="001541CB">
        <w:rPr>
          <w:rFonts w:ascii="Segoe UI" w:hAnsi="Segoe UI" w:cs="Segoe UI"/>
          <w:sz w:val="24"/>
          <w:szCs w:val="24"/>
        </w:rPr>
        <w:t xml:space="preserve"> millions </w:t>
      </w:r>
      <w:r w:rsidR="00427650" w:rsidRPr="001541CB">
        <w:rPr>
          <w:rFonts w:ascii="Segoe UI" w:hAnsi="Segoe UI" w:cs="Segoe UI"/>
          <w:sz w:val="24"/>
          <w:szCs w:val="24"/>
        </w:rPr>
        <w:t>de FCFA sur une prévision annue</w:t>
      </w:r>
      <w:r w:rsidR="00C77E65" w:rsidRPr="001541CB">
        <w:rPr>
          <w:rFonts w:ascii="Segoe UI" w:hAnsi="Segoe UI" w:cs="Segoe UI"/>
          <w:sz w:val="24"/>
          <w:szCs w:val="24"/>
        </w:rPr>
        <w:t xml:space="preserve">lle de </w:t>
      </w:r>
      <w:r w:rsidR="00EF3A06" w:rsidRPr="001541CB">
        <w:rPr>
          <w:rFonts w:ascii="Segoe UI" w:hAnsi="Segoe UI" w:cs="Segoe UI"/>
          <w:sz w:val="24"/>
          <w:szCs w:val="24"/>
        </w:rPr>
        <w:t>20 720</w:t>
      </w:r>
      <w:r w:rsidR="00C77E65" w:rsidRPr="001541CB">
        <w:rPr>
          <w:rFonts w:ascii="Segoe UI" w:hAnsi="Segoe UI" w:cs="Segoe UI"/>
          <w:sz w:val="24"/>
          <w:szCs w:val="24"/>
        </w:rPr>
        <w:t xml:space="preserve"> millions de FCFA</w:t>
      </w:r>
      <w:r w:rsidR="00CC25AD" w:rsidRPr="001541CB">
        <w:rPr>
          <w:rFonts w:ascii="Segoe UI" w:hAnsi="Segoe UI" w:cs="Segoe UI"/>
          <w:sz w:val="24"/>
          <w:szCs w:val="24"/>
        </w:rPr>
        <w:t>,</w:t>
      </w:r>
      <w:r w:rsidR="00E71823" w:rsidRPr="001541CB">
        <w:rPr>
          <w:rFonts w:ascii="Segoe UI" w:hAnsi="Segoe UI" w:cs="Segoe UI"/>
          <w:sz w:val="24"/>
          <w:szCs w:val="24"/>
        </w:rPr>
        <w:t xml:space="preserve"> </w:t>
      </w:r>
      <w:r w:rsidR="0018662C">
        <w:rPr>
          <w:rFonts w:ascii="Segoe UI" w:hAnsi="Segoe UI" w:cs="Segoe UI"/>
          <w:sz w:val="24"/>
          <w:szCs w:val="24"/>
        </w:rPr>
        <w:t xml:space="preserve">soit </w:t>
      </w:r>
      <w:r w:rsidR="00C77E65" w:rsidRPr="001541CB">
        <w:rPr>
          <w:rFonts w:ascii="Segoe UI" w:hAnsi="Segoe UI" w:cs="Segoe UI"/>
          <w:sz w:val="24"/>
          <w:szCs w:val="24"/>
        </w:rPr>
        <w:t xml:space="preserve">un </w:t>
      </w:r>
      <w:r w:rsidR="00427650" w:rsidRPr="001541CB">
        <w:rPr>
          <w:rFonts w:ascii="Segoe UI" w:hAnsi="Segoe UI" w:cs="Segoe UI"/>
          <w:sz w:val="24"/>
          <w:szCs w:val="24"/>
        </w:rPr>
        <w:t xml:space="preserve">taux de </w:t>
      </w:r>
      <w:r w:rsidR="00EF3A06" w:rsidRPr="001541CB">
        <w:rPr>
          <w:rFonts w:ascii="Segoe UI" w:hAnsi="Segoe UI" w:cs="Segoe UI"/>
          <w:sz w:val="24"/>
          <w:szCs w:val="24"/>
        </w:rPr>
        <w:t>14,8</w:t>
      </w:r>
      <w:r w:rsidR="00427650" w:rsidRPr="001541CB">
        <w:rPr>
          <w:rFonts w:ascii="Segoe UI" w:hAnsi="Segoe UI" w:cs="Segoe UI"/>
          <w:sz w:val="24"/>
          <w:szCs w:val="24"/>
        </w:rPr>
        <w:t xml:space="preserve">% contre </w:t>
      </w:r>
      <w:r w:rsidR="00EF3A06" w:rsidRPr="001541CB">
        <w:rPr>
          <w:rFonts w:ascii="Segoe UI" w:hAnsi="Segoe UI" w:cs="Segoe UI"/>
          <w:sz w:val="24"/>
          <w:szCs w:val="24"/>
        </w:rPr>
        <w:t>5</w:t>
      </w:r>
      <w:r w:rsidR="00C729E2">
        <w:rPr>
          <w:rFonts w:ascii="Segoe UI" w:hAnsi="Segoe UI" w:cs="Segoe UI"/>
          <w:sz w:val="24"/>
          <w:szCs w:val="24"/>
        </w:rPr>
        <w:t>2,8</w:t>
      </w:r>
      <w:r w:rsidR="00695086" w:rsidRPr="001541CB">
        <w:rPr>
          <w:rFonts w:ascii="Segoe UI" w:hAnsi="Segoe UI" w:cs="Segoe UI"/>
          <w:sz w:val="24"/>
          <w:szCs w:val="24"/>
        </w:rPr>
        <w:t>% en 201</w:t>
      </w:r>
      <w:r w:rsidR="00262150" w:rsidRPr="001541CB">
        <w:rPr>
          <w:rFonts w:ascii="Segoe UI" w:hAnsi="Segoe UI" w:cs="Segoe UI"/>
          <w:sz w:val="24"/>
          <w:szCs w:val="24"/>
        </w:rPr>
        <w:t>6</w:t>
      </w:r>
      <w:r w:rsidR="00427650" w:rsidRPr="001541CB">
        <w:rPr>
          <w:rFonts w:ascii="Segoe UI" w:hAnsi="Segoe UI" w:cs="Segoe UI"/>
          <w:sz w:val="24"/>
          <w:szCs w:val="24"/>
        </w:rPr>
        <w:t>.</w:t>
      </w:r>
    </w:p>
    <w:p w14:paraId="4C875D5E" w14:textId="77777777" w:rsidR="0092719A" w:rsidRDefault="004B464A" w:rsidP="0092719A">
      <w:pPr>
        <w:rPr>
          <w:rFonts w:ascii="Segoe UI" w:hAnsi="Segoe UI" w:cs="Segoe UI"/>
          <w:b/>
          <w:sz w:val="24"/>
          <w:szCs w:val="24"/>
        </w:rPr>
      </w:pPr>
      <w:r w:rsidRPr="001541CB">
        <w:rPr>
          <w:rFonts w:ascii="Segoe UI" w:hAnsi="Segoe UI" w:cs="Segoe UI"/>
          <w:b/>
          <w:sz w:val="24"/>
          <w:szCs w:val="24"/>
        </w:rPr>
        <w:lastRenderedPageBreak/>
        <w:t>B-</w:t>
      </w:r>
      <w:r w:rsidR="00BD1603" w:rsidRPr="001541CB">
        <w:rPr>
          <w:rFonts w:ascii="Segoe UI" w:hAnsi="Segoe UI" w:cs="Segoe UI"/>
          <w:b/>
          <w:sz w:val="24"/>
          <w:szCs w:val="24"/>
        </w:rPr>
        <w:t>1-</w:t>
      </w:r>
      <w:r w:rsidRPr="001541CB">
        <w:rPr>
          <w:rFonts w:ascii="Segoe UI" w:hAnsi="Segoe UI" w:cs="Segoe UI"/>
          <w:b/>
          <w:sz w:val="24"/>
          <w:szCs w:val="24"/>
        </w:rPr>
        <w:t>1-4 Dépenses de transfert</w:t>
      </w:r>
    </w:p>
    <w:p w14:paraId="0015B146" w14:textId="43EBCFF0" w:rsidR="00844338" w:rsidRPr="0092719A" w:rsidRDefault="00844338" w:rsidP="00A9369D">
      <w:pPr>
        <w:spacing w:line="360" w:lineRule="auto"/>
        <w:jc w:val="both"/>
        <w:rPr>
          <w:rFonts w:ascii="Segoe UI" w:hAnsi="Segoe UI" w:cs="Segoe UI"/>
          <w:b/>
          <w:sz w:val="24"/>
          <w:szCs w:val="24"/>
        </w:rPr>
      </w:pPr>
      <w:r w:rsidRPr="001541CB">
        <w:rPr>
          <w:rFonts w:ascii="Segoe UI" w:hAnsi="Segoe UI" w:cs="Segoe UI"/>
          <w:sz w:val="24"/>
          <w:szCs w:val="24"/>
        </w:rPr>
        <w:t>L</w:t>
      </w:r>
      <w:r w:rsidR="006E594F" w:rsidRPr="001541CB">
        <w:rPr>
          <w:rFonts w:ascii="Segoe UI" w:hAnsi="Segoe UI" w:cs="Segoe UI"/>
          <w:sz w:val="24"/>
          <w:szCs w:val="24"/>
        </w:rPr>
        <w:t>’</w:t>
      </w:r>
      <w:r w:rsidRPr="001541CB">
        <w:rPr>
          <w:rFonts w:ascii="Segoe UI" w:hAnsi="Segoe UI" w:cs="Segoe UI"/>
          <w:sz w:val="24"/>
          <w:szCs w:val="24"/>
        </w:rPr>
        <w:t>e</w:t>
      </w:r>
      <w:r w:rsidR="006E594F" w:rsidRPr="001541CB">
        <w:rPr>
          <w:rFonts w:ascii="Segoe UI" w:hAnsi="Segoe UI" w:cs="Segoe UI"/>
          <w:sz w:val="24"/>
          <w:szCs w:val="24"/>
        </w:rPr>
        <w:t>xécution de</w:t>
      </w:r>
      <w:r w:rsidRPr="001541CB">
        <w:rPr>
          <w:rFonts w:ascii="Segoe UI" w:hAnsi="Segoe UI" w:cs="Segoe UI"/>
          <w:sz w:val="24"/>
          <w:szCs w:val="24"/>
        </w:rPr>
        <w:t xml:space="preserve">s dépenses de transfert </w:t>
      </w:r>
      <w:r w:rsidR="006E594F" w:rsidRPr="001541CB">
        <w:rPr>
          <w:rFonts w:ascii="Segoe UI" w:hAnsi="Segoe UI" w:cs="Segoe UI"/>
          <w:sz w:val="24"/>
          <w:szCs w:val="24"/>
        </w:rPr>
        <w:t>affiche</w:t>
      </w:r>
      <w:r w:rsidRPr="001541CB">
        <w:rPr>
          <w:rFonts w:ascii="Segoe UI" w:hAnsi="Segoe UI" w:cs="Segoe UI"/>
          <w:sz w:val="24"/>
          <w:szCs w:val="24"/>
        </w:rPr>
        <w:t xml:space="preserve"> globalement</w:t>
      </w:r>
      <w:r w:rsidR="00822BBB" w:rsidRPr="001541CB">
        <w:rPr>
          <w:rFonts w:ascii="Segoe UI" w:hAnsi="Segoe UI" w:cs="Segoe UI"/>
          <w:sz w:val="24"/>
          <w:szCs w:val="24"/>
        </w:rPr>
        <w:t xml:space="preserve"> à fin mars 201</w:t>
      </w:r>
      <w:r w:rsidR="005429E2" w:rsidRPr="001541CB">
        <w:rPr>
          <w:rFonts w:ascii="Segoe UI" w:hAnsi="Segoe UI" w:cs="Segoe UI"/>
          <w:sz w:val="24"/>
          <w:szCs w:val="24"/>
        </w:rPr>
        <w:t>7</w:t>
      </w:r>
      <w:r w:rsidR="00DB6241" w:rsidRPr="001541CB">
        <w:rPr>
          <w:rFonts w:ascii="Segoe UI" w:hAnsi="Segoe UI" w:cs="Segoe UI"/>
          <w:sz w:val="24"/>
          <w:szCs w:val="24"/>
        </w:rPr>
        <w:t xml:space="preserve"> </w:t>
      </w:r>
      <w:r w:rsidR="00682DFF" w:rsidRPr="001541CB">
        <w:rPr>
          <w:rFonts w:ascii="Segoe UI" w:hAnsi="Segoe UI" w:cs="Segoe UI"/>
          <w:sz w:val="24"/>
          <w:szCs w:val="24"/>
        </w:rPr>
        <w:t xml:space="preserve">un niveau d’engagement de </w:t>
      </w:r>
      <w:r w:rsidR="00774D09">
        <w:rPr>
          <w:rFonts w:ascii="Segoe UI" w:hAnsi="Segoe UI" w:cs="Segoe UI"/>
          <w:sz w:val="24"/>
          <w:szCs w:val="24"/>
        </w:rPr>
        <w:t xml:space="preserve">33 087,6 </w:t>
      </w:r>
      <w:r w:rsidR="006E594F" w:rsidRPr="001541CB">
        <w:rPr>
          <w:rFonts w:ascii="Segoe UI" w:hAnsi="Segoe UI" w:cs="Segoe UI"/>
          <w:sz w:val="24"/>
          <w:szCs w:val="24"/>
        </w:rPr>
        <w:t>millions de FCFA</w:t>
      </w:r>
      <w:r w:rsidR="009977A7" w:rsidRPr="001541CB">
        <w:rPr>
          <w:rFonts w:ascii="Segoe UI" w:hAnsi="Segoe UI" w:cs="Segoe UI"/>
          <w:sz w:val="24"/>
          <w:szCs w:val="24"/>
        </w:rPr>
        <w:t xml:space="preserve"> pour un</w:t>
      </w:r>
      <w:r w:rsidR="00DB6241" w:rsidRPr="001541CB">
        <w:rPr>
          <w:rFonts w:ascii="Segoe UI" w:hAnsi="Segoe UI" w:cs="Segoe UI"/>
          <w:sz w:val="24"/>
          <w:szCs w:val="24"/>
        </w:rPr>
        <w:t xml:space="preserve"> </w:t>
      </w:r>
      <w:r w:rsidR="009977A7" w:rsidRPr="001541CB">
        <w:rPr>
          <w:rFonts w:ascii="Segoe UI" w:hAnsi="Segoe UI" w:cs="Segoe UI"/>
          <w:sz w:val="24"/>
          <w:szCs w:val="24"/>
        </w:rPr>
        <w:t xml:space="preserve">taux d’engagement de </w:t>
      </w:r>
      <w:r w:rsidR="00774D09">
        <w:rPr>
          <w:rFonts w:ascii="Segoe UI" w:hAnsi="Segoe UI" w:cs="Segoe UI"/>
          <w:sz w:val="24"/>
          <w:szCs w:val="24"/>
        </w:rPr>
        <w:t>1</w:t>
      </w:r>
      <w:r w:rsidR="005429E2" w:rsidRPr="001541CB">
        <w:rPr>
          <w:rFonts w:ascii="Segoe UI" w:hAnsi="Segoe UI" w:cs="Segoe UI"/>
          <w:sz w:val="24"/>
          <w:szCs w:val="24"/>
        </w:rPr>
        <w:t>6</w:t>
      </w:r>
      <w:r w:rsidR="00774D09">
        <w:rPr>
          <w:rFonts w:ascii="Segoe UI" w:hAnsi="Segoe UI" w:cs="Segoe UI"/>
          <w:sz w:val="24"/>
          <w:szCs w:val="24"/>
        </w:rPr>
        <w:t>,5</w:t>
      </w:r>
      <w:r w:rsidR="009977A7" w:rsidRPr="001541CB">
        <w:rPr>
          <w:rFonts w:ascii="Segoe UI" w:hAnsi="Segoe UI" w:cs="Segoe UI"/>
          <w:sz w:val="24"/>
          <w:szCs w:val="24"/>
        </w:rPr>
        <w:t>%</w:t>
      </w:r>
      <w:r w:rsidR="00DB6241" w:rsidRPr="001541CB">
        <w:rPr>
          <w:rFonts w:ascii="Segoe UI" w:hAnsi="Segoe UI" w:cs="Segoe UI"/>
          <w:sz w:val="24"/>
          <w:szCs w:val="24"/>
        </w:rPr>
        <w:t xml:space="preserve"> </w:t>
      </w:r>
      <w:r w:rsidRPr="001541CB">
        <w:rPr>
          <w:rFonts w:ascii="Segoe UI" w:hAnsi="Segoe UI" w:cs="Segoe UI"/>
          <w:sz w:val="24"/>
          <w:szCs w:val="24"/>
        </w:rPr>
        <w:t xml:space="preserve">sur une prévision annuelle de </w:t>
      </w:r>
      <w:r w:rsidR="005429E2" w:rsidRPr="001541CB">
        <w:rPr>
          <w:rFonts w:ascii="Segoe UI" w:hAnsi="Segoe UI" w:cs="Segoe UI"/>
          <w:sz w:val="24"/>
          <w:szCs w:val="24"/>
        </w:rPr>
        <w:t>200 200</w:t>
      </w:r>
      <w:r w:rsidRPr="001541CB">
        <w:rPr>
          <w:rFonts w:ascii="Segoe UI" w:hAnsi="Segoe UI" w:cs="Segoe UI"/>
          <w:sz w:val="24"/>
          <w:szCs w:val="24"/>
        </w:rPr>
        <w:t xml:space="preserve"> millions de FCFA</w:t>
      </w:r>
      <w:r w:rsidR="009977A7" w:rsidRPr="001541CB">
        <w:rPr>
          <w:rFonts w:ascii="Segoe UI" w:hAnsi="Segoe UI" w:cs="Segoe UI"/>
          <w:sz w:val="24"/>
          <w:szCs w:val="24"/>
        </w:rPr>
        <w:t xml:space="preserve">. Le niveau des </w:t>
      </w:r>
      <w:r w:rsidRPr="001541CB">
        <w:rPr>
          <w:rFonts w:ascii="Segoe UI" w:hAnsi="Segoe UI" w:cs="Segoe UI"/>
          <w:sz w:val="24"/>
          <w:szCs w:val="24"/>
        </w:rPr>
        <w:t>engagement</w:t>
      </w:r>
      <w:r w:rsidR="009977A7" w:rsidRPr="001541CB">
        <w:rPr>
          <w:rFonts w:ascii="Segoe UI" w:hAnsi="Segoe UI" w:cs="Segoe UI"/>
          <w:sz w:val="24"/>
          <w:szCs w:val="24"/>
        </w:rPr>
        <w:t>s de 201</w:t>
      </w:r>
      <w:r w:rsidR="005429E2" w:rsidRPr="001541CB">
        <w:rPr>
          <w:rFonts w:ascii="Segoe UI" w:hAnsi="Segoe UI" w:cs="Segoe UI"/>
          <w:sz w:val="24"/>
          <w:szCs w:val="24"/>
        </w:rPr>
        <w:t>7</w:t>
      </w:r>
      <w:r w:rsidR="00064A04" w:rsidRPr="001541CB">
        <w:rPr>
          <w:rFonts w:ascii="Segoe UI" w:hAnsi="Segoe UI" w:cs="Segoe UI"/>
          <w:sz w:val="24"/>
          <w:szCs w:val="24"/>
        </w:rPr>
        <w:t xml:space="preserve"> comparé</w:t>
      </w:r>
      <w:r w:rsidR="00DB6241" w:rsidRPr="001541CB">
        <w:rPr>
          <w:rFonts w:ascii="Segoe UI" w:hAnsi="Segoe UI" w:cs="Segoe UI"/>
          <w:sz w:val="24"/>
          <w:szCs w:val="24"/>
        </w:rPr>
        <w:t xml:space="preserve"> </w:t>
      </w:r>
      <w:r w:rsidRPr="001541CB">
        <w:rPr>
          <w:rFonts w:ascii="Segoe UI" w:hAnsi="Segoe UI" w:cs="Segoe UI"/>
          <w:sz w:val="24"/>
          <w:szCs w:val="24"/>
        </w:rPr>
        <w:t>à celui</w:t>
      </w:r>
      <w:r w:rsidR="00822BBB" w:rsidRPr="001541CB">
        <w:rPr>
          <w:rFonts w:ascii="Segoe UI" w:hAnsi="Segoe UI" w:cs="Segoe UI"/>
          <w:sz w:val="24"/>
          <w:szCs w:val="24"/>
        </w:rPr>
        <w:t xml:space="preserve"> de la même</w:t>
      </w:r>
      <w:r w:rsidR="00DB6241" w:rsidRPr="001541CB">
        <w:rPr>
          <w:rFonts w:ascii="Segoe UI" w:hAnsi="Segoe UI" w:cs="Segoe UI"/>
          <w:sz w:val="24"/>
          <w:szCs w:val="24"/>
        </w:rPr>
        <w:t xml:space="preserve"> </w:t>
      </w:r>
      <w:r w:rsidR="00822BBB" w:rsidRPr="001541CB">
        <w:rPr>
          <w:rFonts w:ascii="Segoe UI" w:hAnsi="Segoe UI" w:cs="Segoe UI"/>
          <w:sz w:val="24"/>
          <w:szCs w:val="24"/>
        </w:rPr>
        <w:t>période en</w:t>
      </w:r>
      <w:r w:rsidR="00DB6241" w:rsidRPr="001541CB">
        <w:rPr>
          <w:rFonts w:ascii="Segoe UI" w:hAnsi="Segoe UI" w:cs="Segoe UI"/>
          <w:sz w:val="24"/>
          <w:szCs w:val="24"/>
        </w:rPr>
        <w:t xml:space="preserve"> </w:t>
      </w:r>
      <w:r w:rsidRPr="001541CB">
        <w:rPr>
          <w:rFonts w:ascii="Segoe UI" w:hAnsi="Segoe UI" w:cs="Segoe UI"/>
          <w:sz w:val="24"/>
          <w:szCs w:val="24"/>
        </w:rPr>
        <w:t>201</w:t>
      </w:r>
      <w:r w:rsidR="005429E2" w:rsidRPr="001541CB">
        <w:rPr>
          <w:rFonts w:ascii="Segoe UI" w:hAnsi="Segoe UI" w:cs="Segoe UI"/>
          <w:sz w:val="24"/>
          <w:szCs w:val="24"/>
        </w:rPr>
        <w:t>6</w:t>
      </w:r>
      <w:r w:rsidRPr="001541CB">
        <w:rPr>
          <w:rFonts w:ascii="Segoe UI" w:hAnsi="Segoe UI" w:cs="Segoe UI"/>
          <w:sz w:val="24"/>
          <w:szCs w:val="24"/>
        </w:rPr>
        <w:t xml:space="preserve"> présente un écart </w:t>
      </w:r>
      <w:r w:rsidR="00C65807" w:rsidRPr="001541CB">
        <w:rPr>
          <w:rFonts w:ascii="Segoe UI" w:hAnsi="Segoe UI" w:cs="Segoe UI"/>
          <w:sz w:val="24"/>
          <w:szCs w:val="24"/>
        </w:rPr>
        <w:t>négatif</w:t>
      </w:r>
      <w:r w:rsidRPr="001541CB">
        <w:rPr>
          <w:rFonts w:ascii="Segoe UI" w:hAnsi="Segoe UI" w:cs="Segoe UI"/>
          <w:sz w:val="24"/>
          <w:szCs w:val="24"/>
        </w:rPr>
        <w:t xml:space="preserve"> de </w:t>
      </w:r>
      <w:r w:rsidR="009952CB">
        <w:rPr>
          <w:rFonts w:ascii="Segoe UI" w:hAnsi="Segoe UI" w:cs="Segoe UI"/>
          <w:sz w:val="24"/>
          <w:szCs w:val="24"/>
        </w:rPr>
        <w:t>70 502</w:t>
      </w:r>
      <w:r w:rsidRPr="001541CB">
        <w:rPr>
          <w:rFonts w:ascii="Segoe UI" w:hAnsi="Segoe UI" w:cs="Segoe UI"/>
          <w:sz w:val="24"/>
          <w:szCs w:val="24"/>
        </w:rPr>
        <w:t xml:space="preserve"> millions de FCFA</w:t>
      </w:r>
      <w:r w:rsidR="009977A7" w:rsidRPr="001541CB">
        <w:rPr>
          <w:rFonts w:ascii="Segoe UI" w:hAnsi="Segoe UI" w:cs="Segoe UI"/>
          <w:sz w:val="24"/>
          <w:szCs w:val="24"/>
        </w:rPr>
        <w:t>. Cet écart</w:t>
      </w:r>
      <w:r w:rsidR="00DD085C" w:rsidRPr="001541CB">
        <w:rPr>
          <w:rFonts w:ascii="Segoe UI" w:hAnsi="Segoe UI" w:cs="Segoe UI"/>
          <w:sz w:val="24"/>
          <w:szCs w:val="24"/>
        </w:rPr>
        <w:t xml:space="preserve"> correspond à un</w:t>
      </w:r>
      <w:r w:rsidR="00E47428" w:rsidRPr="001541CB">
        <w:rPr>
          <w:rFonts w:ascii="Segoe UI" w:hAnsi="Segoe UI" w:cs="Segoe UI"/>
          <w:sz w:val="24"/>
          <w:szCs w:val="24"/>
        </w:rPr>
        <w:t xml:space="preserve"> taux de régression </w:t>
      </w:r>
      <w:r w:rsidR="00DD085C" w:rsidRPr="001541CB">
        <w:rPr>
          <w:rFonts w:ascii="Segoe UI" w:hAnsi="Segoe UI" w:cs="Segoe UI"/>
          <w:sz w:val="24"/>
          <w:szCs w:val="24"/>
        </w:rPr>
        <w:t>de</w:t>
      </w:r>
      <w:r w:rsidR="00DB6241" w:rsidRPr="001541CB">
        <w:rPr>
          <w:rFonts w:ascii="Segoe UI" w:hAnsi="Segoe UI" w:cs="Segoe UI"/>
          <w:sz w:val="24"/>
          <w:szCs w:val="24"/>
        </w:rPr>
        <w:t xml:space="preserve"> </w:t>
      </w:r>
      <w:r w:rsidR="009952CB">
        <w:rPr>
          <w:rFonts w:ascii="Segoe UI" w:hAnsi="Segoe UI" w:cs="Segoe UI"/>
          <w:sz w:val="24"/>
          <w:szCs w:val="24"/>
        </w:rPr>
        <w:t>68,1</w:t>
      </w:r>
      <w:r w:rsidRPr="001541CB">
        <w:rPr>
          <w:rFonts w:ascii="Segoe UI" w:hAnsi="Segoe UI" w:cs="Segoe UI"/>
          <w:sz w:val="24"/>
          <w:szCs w:val="24"/>
        </w:rPr>
        <w:t>%</w:t>
      </w:r>
      <w:r w:rsidR="007F0C03">
        <w:rPr>
          <w:rFonts w:ascii="Segoe UI" w:hAnsi="Segoe UI" w:cs="Segoe UI"/>
          <w:sz w:val="24"/>
          <w:szCs w:val="24"/>
        </w:rPr>
        <w:t xml:space="preserve">, lié principalement au fait que la plupart des unités budgétaires n’ont pas connu d’engagement significatif en ce qui concerne les dépenses de transfert, en raison des travaux de mise en cohérence des PTA avec </w:t>
      </w:r>
      <w:r w:rsidR="00D06FBE">
        <w:rPr>
          <w:rFonts w:ascii="Segoe UI" w:hAnsi="Segoe UI" w:cs="Segoe UI"/>
          <w:sz w:val="24"/>
          <w:szCs w:val="24"/>
        </w:rPr>
        <w:t>le PAG 2016-2021. Le taux de 16,5</w:t>
      </w:r>
      <w:r w:rsidR="007F0C03">
        <w:rPr>
          <w:rFonts w:ascii="Segoe UI" w:hAnsi="Segoe UI" w:cs="Segoe UI"/>
          <w:sz w:val="24"/>
          <w:szCs w:val="24"/>
        </w:rPr>
        <w:t xml:space="preserve">% ne reflète donc que la prise en compte des contraintes d’engagement au niveau de certains ministères stratégiques et Institutions de l’Etat : </w:t>
      </w:r>
      <w:r w:rsidR="00DE1D6C">
        <w:rPr>
          <w:rFonts w:ascii="Segoe UI" w:hAnsi="Segoe UI" w:cs="Segoe UI"/>
          <w:sz w:val="24"/>
          <w:szCs w:val="24"/>
        </w:rPr>
        <w:t>Assemblée Nationale (92%),</w:t>
      </w:r>
      <w:r w:rsidR="007F0C03">
        <w:rPr>
          <w:rFonts w:ascii="Segoe UI" w:hAnsi="Segoe UI" w:cs="Segoe UI"/>
          <w:sz w:val="24"/>
          <w:szCs w:val="24"/>
        </w:rPr>
        <w:t xml:space="preserve"> CES (78,8%), MENC (71,25%), MDGL (74,27</w:t>
      </w:r>
      <w:r w:rsidR="007F0C03" w:rsidRPr="005962AD">
        <w:rPr>
          <w:rFonts w:ascii="Segoe UI" w:hAnsi="Segoe UI" w:cs="Segoe UI"/>
          <w:sz w:val="24"/>
          <w:szCs w:val="24"/>
        </w:rPr>
        <w:t xml:space="preserve">%). </w:t>
      </w:r>
    </w:p>
    <w:p w14:paraId="5B3E80E7" w14:textId="77777777" w:rsidR="00844338" w:rsidRPr="001541CB" w:rsidRDefault="00844338" w:rsidP="003729F6">
      <w:pPr>
        <w:tabs>
          <w:tab w:val="left" w:pos="426"/>
        </w:tabs>
        <w:spacing w:before="120" w:after="120" w:line="360" w:lineRule="auto"/>
        <w:jc w:val="both"/>
        <w:rPr>
          <w:rFonts w:ascii="Segoe UI" w:hAnsi="Segoe UI" w:cs="Segoe UI"/>
          <w:sz w:val="24"/>
          <w:szCs w:val="24"/>
        </w:rPr>
      </w:pPr>
      <w:r w:rsidRPr="001541CB">
        <w:rPr>
          <w:rFonts w:ascii="Segoe UI" w:hAnsi="Segoe UI" w:cs="Segoe UI"/>
          <w:sz w:val="24"/>
          <w:szCs w:val="24"/>
        </w:rPr>
        <w:t xml:space="preserve">Les dépenses de transfert comprennent : </w:t>
      </w:r>
    </w:p>
    <w:p w14:paraId="07E3F9C9" w14:textId="0FDF4B06" w:rsidR="0026231C" w:rsidRPr="001541CB" w:rsidRDefault="00844338" w:rsidP="00844338">
      <w:pPr>
        <w:pStyle w:val="Paragraphedeliste"/>
        <w:numPr>
          <w:ilvl w:val="0"/>
          <w:numId w:val="15"/>
        </w:numPr>
        <w:tabs>
          <w:tab w:val="left" w:pos="426"/>
        </w:tabs>
        <w:spacing w:before="120" w:after="120" w:line="360" w:lineRule="auto"/>
        <w:jc w:val="both"/>
        <w:rPr>
          <w:rFonts w:ascii="Segoe UI" w:hAnsi="Segoe UI" w:cs="Segoe UI"/>
          <w:sz w:val="24"/>
          <w:szCs w:val="24"/>
        </w:rPr>
      </w:pPr>
      <w:r w:rsidRPr="001541CB">
        <w:rPr>
          <w:rFonts w:ascii="Segoe UI" w:hAnsi="Segoe UI" w:cs="Segoe UI"/>
          <w:sz w:val="24"/>
          <w:szCs w:val="24"/>
        </w:rPr>
        <w:t>l</w:t>
      </w:r>
      <w:r w:rsidR="00DA348A" w:rsidRPr="001541CB">
        <w:rPr>
          <w:rFonts w:ascii="Segoe UI" w:hAnsi="Segoe UI" w:cs="Segoe UI"/>
          <w:sz w:val="24"/>
          <w:szCs w:val="24"/>
        </w:rPr>
        <w:t xml:space="preserve">es subventions d’exploitation </w:t>
      </w:r>
      <w:r w:rsidR="00427D2B" w:rsidRPr="001541CB">
        <w:rPr>
          <w:rFonts w:ascii="Segoe UI" w:hAnsi="Segoe UI" w:cs="Segoe UI"/>
          <w:sz w:val="24"/>
          <w:szCs w:val="24"/>
        </w:rPr>
        <w:t xml:space="preserve">qui sont engagées </w:t>
      </w:r>
      <w:r w:rsidR="00D161E9">
        <w:rPr>
          <w:rFonts w:ascii="Segoe UI" w:hAnsi="Segoe UI" w:cs="Segoe UI"/>
          <w:sz w:val="24"/>
          <w:szCs w:val="24"/>
        </w:rPr>
        <w:t>à fin</w:t>
      </w:r>
      <w:r w:rsidR="00D161E9" w:rsidRPr="001541CB">
        <w:rPr>
          <w:rFonts w:ascii="Segoe UI" w:hAnsi="Segoe UI" w:cs="Segoe UI"/>
          <w:sz w:val="24"/>
          <w:szCs w:val="24"/>
        </w:rPr>
        <w:t xml:space="preserve"> </w:t>
      </w:r>
      <w:r w:rsidR="00D161E9">
        <w:rPr>
          <w:rFonts w:ascii="Segoe UI" w:hAnsi="Segoe UI" w:cs="Segoe UI"/>
          <w:sz w:val="24"/>
          <w:szCs w:val="24"/>
        </w:rPr>
        <w:t xml:space="preserve">mars </w:t>
      </w:r>
      <w:r w:rsidR="00DD085C" w:rsidRPr="001541CB">
        <w:rPr>
          <w:rFonts w:ascii="Segoe UI" w:hAnsi="Segoe UI" w:cs="Segoe UI"/>
          <w:sz w:val="24"/>
          <w:szCs w:val="24"/>
        </w:rPr>
        <w:t>201</w:t>
      </w:r>
      <w:r w:rsidR="00AD3431" w:rsidRPr="001541CB">
        <w:rPr>
          <w:rFonts w:ascii="Segoe UI" w:hAnsi="Segoe UI" w:cs="Segoe UI"/>
          <w:sz w:val="24"/>
          <w:szCs w:val="24"/>
        </w:rPr>
        <w:t>7</w:t>
      </w:r>
      <w:r w:rsidR="00DD085C" w:rsidRPr="001541CB">
        <w:rPr>
          <w:rFonts w:ascii="Segoe UI" w:hAnsi="Segoe UI" w:cs="Segoe UI"/>
          <w:sz w:val="24"/>
          <w:szCs w:val="24"/>
        </w:rPr>
        <w:t xml:space="preserve"> </w:t>
      </w:r>
      <w:r w:rsidR="00427D2B" w:rsidRPr="001541CB">
        <w:rPr>
          <w:rFonts w:ascii="Segoe UI" w:hAnsi="Segoe UI" w:cs="Segoe UI"/>
          <w:sz w:val="24"/>
          <w:szCs w:val="24"/>
        </w:rPr>
        <w:t xml:space="preserve">à hauteur de </w:t>
      </w:r>
      <w:r w:rsidR="009D10D5" w:rsidRPr="001541CB">
        <w:rPr>
          <w:rFonts w:ascii="Segoe UI" w:hAnsi="Segoe UI" w:cs="Segoe UI"/>
          <w:sz w:val="24"/>
          <w:szCs w:val="24"/>
        </w:rPr>
        <w:t>12 302,6</w:t>
      </w:r>
      <w:r w:rsidR="00DB6241" w:rsidRPr="001541CB">
        <w:rPr>
          <w:rFonts w:ascii="Segoe UI" w:hAnsi="Segoe UI" w:cs="Segoe UI"/>
          <w:sz w:val="24"/>
          <w:szCs w:val="24"/>
        </w:rPr>
        <w:t xml:space="preserve"> </w:t>
      </w:r>
      <w:r w:rsidR="00427D2B" w:rsidRPr="001541CB">
        <w:rPr>
          <w:rFonts w:ascii="Segoe UI" w:hAnsi="Segoe UI" w:cs="Segoe UI"/>
          <w:sz w:val="24"/>
          <w:szCs w:val="24"/>
        </w:rPr>
        <w:t xml:space="preserve">millions de FCFA sur </w:t>
      </w:r>
      <w:r w:rsidR="00DD085C" w:rsidRPr="001541CB">
        <w:rPr>
          <w:rFonts w:ascii="Segoe UI" w:hAnsi="Segoe UI" w:cs="Segoe UI"/>
          <w:sz w:val="24"/>
          <w:szCs w:val="24"/>
        </w:rPr>
        <w:t xml:space="preserve">un total de </w:t>
      </w:r>
      <w:r w:rsidR="009952CB">
        <w:rPr>
          <w:rFonts w:ascii="Segoe UI" w:hAnsi="Segoe UI" w:cs="Segoe UI"/>
          <w:sz w:val="24"/>
          <w:szCs w:val="24"/>
        </w:rPr>
        <w:t xml:space="preserve">78 239,0 </w:t>
      </w:r>
      <w:r w:rsidR="00427D2B" w:rsidRPr="001541CB">
        <w:rPr>
          <w:rFonts w:ascii="Segoe UI" w:hAnsi="Segoe UI" w:cs="Segoe UI"/>
          <w:sz w:val="24"/>
          <w:szCs w:val="24"/>
        </w:rPr>
        <w:t>millions de FCFA prévus</w:t>
      </w:r>
      <w:r w:rsidR="00DE17E2" w:rsidRPr="001541CB">
        <w:rPr>
          <w:rFonts w:ascii="Segoe UI" w:hAnsi="Segoe UI" w:cs="Segoe UI"/>
          <w:sz w:val="24"/>
          <w:szCs w:val="24"/>
        </w:rPr>
        <w:t xml:space="preserve">. </w:t>
      </w:r>
      <w:r w:rsidR="00842A65" w:rsidRPr="001541CB">
        <w:rPr>
          <w:rFonts w:ascii="Segoe UI" w:hAnsi="Segoe UI" w:cs="Segoe UI"/>
          <w:sz w:val="24"/>
          <w:szCs w:val="24"/>
        </w:rPr>
        <w:t xml:space="preserve">L’exécution </w:t>
      </w:r>
      <w:r w:rsidR="00DD085C" w:rsidRPr="001541CB">
        <w:rPr>
          <w:rFonts w:ascii="Segoe UI" w:hAnsi="Segoe UI" w:cs="Segoe UI"/>
          <w:sz w:val="24"/>
          <w:szCs w:val="24"/>
        </w:rPr>
        <w:t xml:space="preserve">des crédits </w:t>
      </w:r>
      <w:r w:rsidR="00842A65" w:rsidRPr="001541CB">
        <w:rPr>
          <w:rFonts w:ascii="Segoe UI" w:hAnsi="Segoe UI" w:cs="Segoe UI"/>
          <w:sz w:val="24"/>
          <w:szCs w:val="24"/>
        </w:rPr>
        <w:t xml:space="preserve">de cette rubrique </w:t>
      </w:r>
      <w:r w:rsidR="00DE17E2" w:rsidRPr="001541CB">
        <w:rPr>
          <w:rFonts w:ascii="Segoe UI" w:hAnsi="Segoe UI" w:cs="Segoe UI"/>
          <w:sz w:val="24"/>
          <w:szCs w:val="24"/>
        </w:rPr>
        <w:t xml:space="preserve">affiche un taux d’engagement de </w:t>
      </w:r>
      <w:r w:rsidR="009952CB">
        <w:rPr>
          <w:rFonts w:ascii="Segoe UI" w:hAnsi="Segoe UI" w:cs="Segoe UI"/>
          <w:sz w:val="24"/>
          <w:szCs w:val="24"/>
        </w:rPr>
        <w:t>15</w:t>
      </w:r>
      <w:r w:rsidR="009D10D5" w:rsidRPr="001541CB">
        <w:rPr>
          <w:rFonts w:ascii="Segoe UI" w:hAnsi="Segoe UI" w:cs="Segoe UI"/>
          <w:sz w:val="24"/>
          <w:szCs w:val="24"/>
        </w:rPr>
        <w:t>,</w:t>
      </w:r>
      <w:r w:rsidR="009952CB">
        <w:rPr>
          <w:rFonts w:ascii="Segoe UI" w:hAnsi="Segoe UI" w:cs="Segoe UI"/>
          <w:sz w:val="24"/>
          <w:szCs w:val="24"/>
        </w:rPr>
        <w:t>7</w:t>
      </w:r>
      <w:r w:rsidR="00DE17E2" w:rsidRPr="001541CB">
        <w:rPr>
          <w:rFonts w:ascii="Segoe UI" w:hAnsi="Segoe UI" w:cs="Segoe UI"/>
          <w:sz w:val="24"/>
          <w:szCs w:val="24"/>
        </w:rPr>
        <w:t xml:space="preserve">% contre </w:t>
      </w:r>
      <w:r w:rsidR="00D06FBE">
        <w:rPr>
          <w:rFonts w:ascii="Segoe UI" w:hAnsi="Segoe UI" w:cs="Segoe UI"/>
          <w:sz w:val="24"/>
          <w:szCs w:val="24"/>
        </w:rPr>
        <w:t>52,1</w:t>
      </w:r>
      <w:r w:rsidR="00DE17E2" w:rsidRPr="001541CB">
        <w:rPr>
          <w:rFonts w:ascii="Segoe UI" w:hAnsi="Segoe UI" w:cs="Segoe UI"/>
          <w:sz w:val="24"/>
          <w:szCs w:val="24"/>
        </w:rPr>
        <w:t xml:space="preserve">% à fin </w:t>
      </w:r>
      <w:r w:rsidR="00F3061B" w:rsidRPr="001541CB">
        <w:rPr>
          <w:rFonts w:ascii="Segoe UI" w:hAnsi="Segoe UI" w:cs="Segoe UI"/>
          <w:sz w:val="24"/>
          <w:szCs w:val="24"/>
        </w:rPr>
        <w:t xml:space="preserve">mars </w:t>
      </w:r>
      <w:r w:rsidR="00DE17E2" w:rsidRPr="001541CB">
        <w:rPr>
          <w:rFonts w:ascii="Segoe UI" w:hAnsi="Segoe UI" w:cs="Segoe UI"/>
          <w:sz w:val="24"/>
          <w:szCs w:val="24"/>
        </w:rPr>
        <w:t>201</w:t>
      </w:r>
      <w:r w:rsidR="009D10D5" w:rsidRPr="001541CB">
        <w:rPr>
          <w:rFonts w:ascii="Segoe UI" w:hAnsi="Segoe UI" w:cs="Segoe UI"/>
          <w:sz w:val="24"/>
          <w:szCs w:val="24"/>
        </w:rPr>
        <w:t>6</w:t>
      </w:r>
      <w:r w:rsidR="00FE125D">
        <w:rPr>
          <w:rFonts w:ascii="Segoe UI" w:hAnsi="Segoe UI" w:cs="Segoe UI"/>
          <w:sz w:val="24"/>
          <w:szCs w:val="24"/>
        </w:rPr>
        <w:t xml:space="preserve"> </w:t>
      </w:r>
      <w:r w:rsidR="00DE17E2" w:rsidRPr="001541CB">
        <w:rPr>
          <w:rFonts w:ascii="Segoe UI" w:hAnsi="Segoe UI" w:cs="Segoe UI"/>
          <w:sz w:val="24"/>
          <w:szCs w:val="24"/>
        </w:rPr>
        <w:t>;</w:t>
      </w:r>
      <w:r w:rsidR="00DD085C" w:rsidRPr="001541CB">
        <w:rPr>
          <w:rFonts w:ascii="Segoe UI" w:hAnsi="Segoe UI" w:cs="Segoe UI"/>
          <w:sz w:val="24"/>
          <w:szCs w:val="24"/>
        </w:rPr>
        <w:t xml:space="preserve"> </w:t>
      </w:r>
    </w:p>
    <w:p w14:paraId="4FF2494B" w14:textId="32DF1598" w:rsidR="004B464A" w:rsidRPr="001541CB" w:rsidRDefault="0026231C" w:rsidP="00844338">
      <w:pPr>
        <w:pStyle w:val="Paragraphedeliste"/>
        <w:numPr>
          <w:ilvl w:val="0"/>
          <w:numId w:val="15"/>
        </w:numPr>
        <w:tabs>
          <w:tab w:val="left" w:pos="426"/>
        </w:tabs>
        <w:spacing w:before="120" w:after="120" w:line="360" w:lineRule="auto"/>
        <w:jc w:val="both"/>
        <w:rPr>
          <w:rFonts w:ascii="Segoe UI" w:hAnsi="Segoe UI" w:cs="Segoe UI"/>
          <w:sz w:val="24"/>
          <w:szCs w:val="24"/>
        </w:rPr>
      </w:pPr>
      <w:r w:rsidRPr="001541CB">
        <w:rPr>
          <w:rFonts w:ascii="Segoe UI" w:hAnsi="Segoe UI" w:cs="Segoe UI"/>
          <w:sz w:val="24"/>
          <w:szCs w:val="24"/>
        </w:rPr>
        <w:t>l</w:t>
      </w:r>
      <w:r w:rsidR="00DA348A" w:rsidRPr="001541CB">
        <w:rPr>
          <w:rFonts w:ascii="Segoe UI" w:hAnsi="Segoe UI" w:cs="Segoe UI"/>
          <w:sz w:val="24"/>
          <w:szCs w:val="24"/>
        </w:rPr>
        <w:t>es transferts courants</w:t>
      </w:r>
      <w:r w:rsidR="00DB6241" w:rsidRPr="001541CB">
        <w:rPr>
          <w:rFonts w:ascii="Segoe UI" w:hAnsi="Segoe UI" w:cs="Segoe UI"/>
          <w:sz w:val="24"/>
          <w:szCs w:val="24"/>
        </w:rPr>
        <w:t xml:space="preserve"> </w:t>
      </w:r>
      <w:r w:rsidR="00DD085C" w:rsidRPr="001541CB">
        <w:rPr>
          <w:rFonts w:ascii="Segoe UI" w:hAnsi="Segoe UI" w:cs="Segoe UI"/>
          <w:sz w:val="24"/>
          <w:szCs w:val="24"/>
        </w:rPr>
        <w:t>au titre d</w:t>
      </w:r>
      <w:r w:rsidR="00B0525A" w:rsidRPr="001541CB">
        <w:rPr>
          <w:rFonts w:ascii="Segoe UI" w:hAnsi="Segoe UI" w:cs="Segoe UI"/>
          <w:sz w:val="24"/>
          <w:szCs w:val="24"/>
        </w:rPr>
        <w:t xml:space="preserve">esquels </w:t>
      </w:r>
      <w:r w:rsidR="009952CB">
        <w:rPr>
          <w:rFonts w:ascii="Segoe UI" w:hAnsi="Segoe UI" w:cs="Segoe UI"/>
          <w:sz w:val="24"/>
          <w:szCs w:val="24"/>
        </w:rPr>
        <w:t>20 785,0</w:t>
      </w:r>
      <w:r w:rsidR="009C60CB" w:rsidRPr="001541CB">
        <w:rPr>
          <w:rFonts w:ascii="Segoe UI" w:hAnsi="Segoe UI" w:cs="Segoe UI"/>
          <w:sz w:val="24"/>
          <w:szCs w:val="24"/>
        </w:rPr>
        <w:t xml:space="preserve"> </w:t>
      </w:r>
      <w:r w:rsidR="00F3466B" w:rsidRPr="001541CB">
        <w:rPr>
          <w:rFonts w:ascii="Segoe UI" w:hAnsi="Segoe UI" w:cs="Segoe UI"/>
          <w:sz w:val="24"/>
          <w:szCs w:val="24"/>
        </w:rPr>
        <w:t>millions de FCFA</w:t>
      </w:r>
      <w:r w:rsidR="00DB6241" w:rsidRPr="001541CB">
        <w:rPr>
          <w:rFonts w:ascii="Segoe UI" w:hAnsi="Segoe UI" w:cs="Segoe UI"/>
          <w:sz w:val="24"/>
          <w:szCs w:val="24"/>
        </w:rPr>
        <w:t xml:space="preserve"> </w:t>
      </w:r>
      <w:r w:rsidR="00B0525A" w:rsidRPr="001541CB">
        <w:rPr>
          <w:rFonts w:ascii="Segoe UI" w:hAnsi="Segoe UI" w:cs="Segoe UI"/>
          <w:sz w:val="24"/>
          <w:szCs w:val="24"/>
        </w:rPr>
        <w:t>ont</w:t>
      </w:r>
      <w:r w:rsidR="00A60A45" w:rsidRPr="001541CB">
        <w:rPr>
          <w:rFonts w:ascii="Segoe UI" w:hAnsi="Segoe UI" w:cs="Segoe UI"/>
          <w:sz w:val="24"/>
          <w:szCs w:val="24"/>
        </w:rPr>
        <w:t xml:space="preserve"> été</w:t>
      </w:r>
      <w:r w:rsidR="00DB6241" w:rsidRPr="001541CB">
        <w:rPr>
          <w:rFonts w:ascii="Segoe UI" w:hAnsi="Segoe UI" w:cs="Segoe UI"/>
          <w:sz w:val="24"/>
          <w:szCs w:val="24"/>
        </w:rPr>
        <w:t xml:space="preserve"> </w:t>
      </w:r>
      <w:r w:rsidR="00F3466B" w:rsidRPr="001541CB">
        <w:rPr>
          <w:rFonts w:ascii="Segoe UI" w:hAnsi="Segoe UI" w:cs="Segoe UI"/>
          <w:sz w:val="24"/>
          <w:szCs w:val="24"/>
        </w:rPr>
        <w:t xml:space="preserve">engagés </w:t>
      </w:r>
      <w:r w:rsidR="00DD085C" w:rsidRPr="001541CB">
        <w:rPr>
          <w:rFonts w:ascii="Segoe UI" w:hAnsi="Segoe UI" w:cs="Segoe UI"/>
          <w:sz w:val="24"/>
          <w:szCs w:val="24"/>
        </w:rPr>
        <w:t>à fin mars 201</w:t>
      </w:r>
      <w:r w:rsidR="009C60CB" w:rsidRPr="001541CB">
        <w:rPr>
          <w:rFonts w:ascii="Segoe UI" w:hAnsi="Segoe UI" w:cs="Segoe UI"/>
          <w:sz w:val="24"/>
          <w:szCs w:val="24"/>
        </w:rPr>
        <w:t>7</w:t>
      </w:r>
      <w:r w:rsidR="00DB6241" w:rsidRPr="001541CB">
        <w:rPr>
          <w:rFonts w:ascii="Segoe UI" w:hAnsi="Segoe UI" w:cs="Segoe UI"/>
          <w:sz w:val="24"/>
          <w:szCs w:val="24"/>
        </w:rPr>
        <w:t xml:space="preserve"> </w:t>
      </w:r>
      <w:r w:rsidR="00F3466B" w:rsidRPr="001541CB">
        <w:rPr>
          <w:rFonts w:ascii="Segoe UI" w:hAnsi="Segoe UI" w:cs="Segoe UI"/>
          <w:sz w:val="24"/>
          <w:szCs w:val="24"/>
        </w:rPr>
        <w:t xml:space="preserve">sur </w:t>
      </w:r>
      <w:r w:rsidR="00064A04" w:rsidRPr="001541CB">
        <w:rPr>
          <w:rFonts w:ascii="Segoe UI" w:hAnsi="Segoe UI" w:cs="Segoe UI"/>
          <w:sz w:val="24"/>
          <w:szCs w:val="24"/>
        </w:rPr>
        <w:t xml:space="preserve">une prévision annuelle de </w:t>
      </w:r>
      <w:r w:rsidR="009952CB">
        <w:rPr>
          <w:rFonts w:ascii="Segoe UI" w:hAnsi="Segoe UI" w:cs="Segoe UI"/>
          <w:sz w:val="24"/>
          <w:szCs w:val="24"/>
        </w:rPr>
        <w:t>121 961,0</w:t>
      </w:r>
      <w:r w:rsidR="00B0525A" w:rsidRPr="001541CB">
        <w:rPr>
          <w:rFonts w:ascii="Segoe UI" w:hAnsi="Segoe UI" w:cs="Segoe UI"/>
          <w:sz w:val="24"/>
          <w:szCs w:val="24"/>
        </w:rPr>
        <w:t xml:space="preserve"> millions de FCFA</w:t>
      </w:r>
      <w:r w:rsidR="00DD085C" w:rsidRPr="001541CB">
        <w:rPr>
          <w:rFonts w:ascii="Segoe UI" w:hAnsi="Segoe UI" w:cs="Segoe UI"/>
          <w:sz w:val="24"/>
          <w:szCs w:val="24"/>
        </w:rPr>
        <w:t xml:space="preserve">. </w:t>
      </w:r>
      <w:r w:rsidR="00312521">
        <w:rPr>
          <w:rFonts w:ascii="Segoe UI" w:hAnsi="Segoe UI" w:cs="Segoe UI"/>
          <w:sz w:val="24"/>
          <w:szCs w:val="24"/>
        </w:rPr>
        <w:t xml:space="preserve"> Un</w:t>
      </w:r>
      <w:r w:rsidR="007A5792">
        <w:rPr>
          <w:rFonts w:ascii="Segoe UI" w:hAnsi="Segoe UI" w:cs="Segoe UI"/>
          <w:sz w:val="24"/>
          <w:szCs w:val="24"/>
        </w:rPr>
        <w:t xml:space="preserve"> an plu</w:t>
      </w:r>
      <w:r w:rsidR="00312521">
        <w:rPr>
          <w:rFonts w:ascii="Segoe UI" w:hAnsi="Segoe UI" w:cs="Segoe UI"/>
          <w:sz w:val="24"/>
          <w:szCs w:val="24"/>
        </w:rPr>
        <w:t xml:space="preserve">s </w:t>
      </w:r>
      <w:r w:rsidR="007A5792">
        <w:rPr>
          <w:rFonts w:ascii="Segoe UI" w:hAnsi="Segoe UI" w:cs="Segoe UI"/>
          <w:sz w:val="24"/>
          <w:szCs w:val="24"/>
        </w:rPr>
        <w:t>tôt</w:t>
      </w:r>
      <w:r w:rsidR="00312521">
        <w:rPr>
          <w:rFonts w:ascii="Segoe UI" w:hAnsi="Segoe UI" w:cs="Segoe UI"/>
          <w:sz w:val="24"/>
          <w:szCs w:val="24"/>
        </w:rPr>
        <w:t>,</w:t>
      </w:r>
      <w:r w:rsidR="009952CB">
        <w:rPr>
          <w:rFonts w:ascii="Segoe UI" w:hAnsi="Segoe UI" w:cs="Segoe UI"/>
          <w:sz w:val="24"/>
          <w:szCs w:val="24"/>
        </w:rPr>
        <w:t xml:space="preserve"> </w:t>
      </w:r>
      <w:r w:rsidR="00DD085C" w:rsidRPr="001541CB">
        <w:rPr>
          <w:rFonts w:ascii="Segoe UI" w:hAnsi="Segoe UI" w:cs="Segoe UI"/>
          <w:sz w:val="24"/>
          <w:szCs w:val="24"/>
        </w:rPr>
        <w:t>le niveau d’engagement s’établissait à</w:t>
      </w:r>
      <w:r w:rsidR="00DB6241" w:rsidRPr="001541CB">
        <w:rPr>
          <w:rFonts w:ascii="Segoe UI" w:hAnsi="Segoe UI" w:cs="Segoe UI"/>
          <w:sz w:val="24"/>
          <w:szCs w:val="24"/>
        </w:rPr>
        <w:t xml:space="preserve"> </w:t>
      </w:r>
      <w:r w:rsidR="000A44E6" w:rsidRPr="001541CB">
        <w:rPr>
          <w:rFonts w:ascii="Segoe UI" w:hAnsi="Segoe UI" w:cs="Segoe UI"/>
          <w:sz w:val="24"/>
          <w:szCs w:val="24"/>
        </w:rPr>
        <w:t xml:space="preserve">46 697,8 </w:t>
      </w:r>
      <w:r w:rsidR="00DA348A" w:rsidRPr="001541CB">
        <w:rPr>
          <w:rFonts w:ascii="Segoe UI" w:hAnsi="Segoe UI" w:cs="Segoe UI"/>
          <w:sz w:val="24"/>
          <w:szCs w:val="24"/>
        </w:rPr>
        <w:t xml:space="preserve">millions de FCFA </w:t>
      </w:r>
      <w:r w:rsidR="00B0525A" w:rsidRPr="001541CB">
        <w:rPr>
          <w:rFonts w:ascii="Segoe UI" w:hAnsi="Segoe UI" w:cs="Segoe UI"/>
          <w:sz w:val="24"/>
          <w:szCs w:val="24"/>
        </w:rPr>
        <w:t xml:space="preserve">sur </w:t>
      </w:r>
      <w:r w:rsidR="00312521">
        <w:rPr>
          <w:rFonts w:ascii="Segoe UI" w:hAnsi="Segoe UI" w:cs="Segoe UI"/>
          <w:sz w:val="24"/>
          <w:szCs w:val="24"/>
        </w:rPr>
        <w:t>un</w:t>
      </w:r>
      <w:r w:rsidR="00312521" w:rsidRPr="001541CB">
        <w:rPr>
          <w:rFonts w:ascii="Segoe UI" w:hAnsi="Segoe UI" w:cs="Segoe UI"/>
          <w:sz w:val="24"/>
          <w:szCs w:val="24"/>
        </w:rPr>
        <w:t xml:space="preserve"> </w:t>
      </w:r>
      <w:r w:rsidR="00DD085C" w:rsidRPr="001541CB">
        <w:rPr>
          <w:rFonts w:ascii="Segoe UI" w:hAnsi="Segoe UI" w:cs="Segoe UI"/>
          <w:sz w:val="24"/>
          <w:szCs w:val="24"/>
        </w:rPr>
        <w:t>montant</w:t>
      </w:r>
      <w:r w:rsidR="007A5792">
        <w:rPr>
          <w:rFonts w:ascii="Segoe UI" w:hAnsi="Segoe UI" w:cs="Segoe UI"/>
          <w:sz w:val="24"/>
          <w:szCs w:val="24"/>
        </w:rPr>
        <w:t xml:space="preserve"> annuel</w:t>
      </w:r>
      <w:r w:rsidR="00D06FBE">
        <w:rPr>
          <w:rFonts w:ascii="Segoe UI" w:hAnsi="Segoe UI" w:cs="Segoe UI"/>
          <w:sz w:val="24"/>
          <w:szCs w:val="24"/>
        </w:rPr>
        <w:t xml:space="preserve"> révisé de 109 465</w:t>
      </w:r>
      <w:r w:rsidR="00DA348A" w:rsidRPr="001541CB">
        <w:rPr>
          <w:rFonts w:ascii="Segoe UI" w:hAnsi="Segoe UI" w:cs="Segoe UI"/>
          <w:sz w:val="24"/>
          <w:szCs w:val="24"/>
        </w:rPr>
        <w:t xml:space="preserve"> millions de FCFA prévu</w:t>
      </w:r>
      <w:r w:rsidR="00E04435" w:rsidRPr="001541CB">
        <w:rPr>
          <w:rFonts w:ascii="Segoe UI" w:hAnsi="Segoe UI" w:cs="Segoe UI"/>
          <w:sz w:val="24"/>
          <w:szCs w:val="24"/>
        </w:rPr>
        <w:t>s</w:t>
      </w:r>
      <w:r w:rsidR="00DA348A" w:rsidRPr="001541CB">
        <w:rPr>
          <w:rFonts w:ascii="Segoe UI" w:hAnsi="Segoe UI" w:cs="Segoe UI"/>
          <w:sz w:val="24"/>
          <w:szCs w:val="24"/>
        </w:rPr>
        <w:t xml:space="preserve"> au titre de l’anné</w:t>
      </w:r>
      <w:r w:rsidR="00A50C1A" w:rsidRPr="001541CB">
        <w:rPr>
          <w:rFonts w:ascii="Segoe UI" w:hAnsi="Segoe UI" w:cs="Segoe UI"/>
          <w:sz w:val="24"/>
          <w:szCs w:val="24"/>
        </w:rPr>
        <w:t>e</w:t>
      </w:r>
      <w:r w:rsidR="00E04435" w:rsidRPr="001541CB">
        <w:rPr>
          <w:rFonts w:ascii="Segoe UI" w:hAnsi="Segoe UI" w:cs="Segoe UI"/>
          <w:sz w:val="24"/>
          <w:szCs w:val="24"/>
        </w:rPr>
        <w:t xml:space="preserve"> 201</w:t>
      </w:r>
      <w:r w:rsidR="000A44E6" w:rsidRPr="001541CB">
        <w:rPr>
          <w:rFonts w:ascii="Segoe UI" w:hAnsi="Segoe UI" w:cs="Segoe UI"/>
          <w:sz w:val="24"/>
          <w:szCs w:val="24"/>
        </w:rPr>
        <w:t>6</w:t>
      </w:r>
      <w:r w:rsidR="00DA348A" w:rsidRPr="001541CB">
        <w:rPr>
          <w:rFonts w:ascii="Segoe UI" w:hAnsi="Segoe UI" w:cs="Segoe UI"/>
          <w:sz w:val="24"/>
          <w:szCs w:val="24"/>
        </w:rPr>
        <w:t>. Les taux d’engagement</w:t>
      </w:r>
      <w:r w:rsidR="00DD085C" w:rsidRPr="001541CB">
        <w:rPr>
          <w:rFonts w:ascii="Segoe UI" w:hAnsi="Segoe UI" w:cs="Segoe UI"/>
          <w:sz w:val="24"/>
          <w:szCs w:val="24"/>
        </w:rPr>
        <w:t xml:space="preserve"> concernant cette rubrique</w:t>
      </w:r>
      <w:r w:rsidR="00DA348A" w:rsidRPr="001541CB">
        <w:rPr>
          <w:rFonts w:ascii="Segoe UI" w:hAnsi="Segoe UI" w:cs="Segoe UI"/>
          <w:sz w:val="24"/>
          <w:szCs w:val="24"/>
        </w:rPr>
        <w:t xml:space="preserve"> s’établissent </w:t>
      </w:r>
      <w:r w:rsidR="004E388C" w:rsidRPr="001541CB">
        <w:rPr>
          <w:rFonts w:ascii="Segoe UI" w:hAnsi="Segoe UI" w:cs="Segoe UI"/>
          <w:sz w:val="24"/>
          <w:szCs w:val="24"/>
        </w:rPr>
        <w:t xml:space="preserve">respectivement </w:t>
      </w:r>
      <w:r w:rsidR="00DA348A" w:rsidRPr="001541CB">
        <w:rPr>
          <w:rFonts w:ascii="Segoe UI" w:hAnsi="Segoe UI" w:cs="Segoe UI"/>
          <w:sz w:val="24"/>
          <w:szCs w:val="24"/>
        </w:rPr>
        <w:t xml:space="preserve">à </w:t>
      </w:r>
      <w:r w:rsidR="00D06FBE">
        <w:rPr>
          <w:rFonts w:ascii="Segoe UI" w:hAnsi="Segoe UI" w:cs="Segoe UI"/>
          <w:sz w:val="24"/>
          <w:szCs w:val="24"/>
        </w:rPr>
        <w:t>42,7</w:t>
      </w:r>
      <w:r w:rsidR="00DA348A" w:rsidRPr="001541CB">
        <w:rPr>
          <w:rFonts w:ascii="Segoe UI" w:hAnsi="Segoe UI" w:cs="Segoe UI"/>
          <w:sz w:val="24"/>
          <w:szCs w:val="24"/>
        </w:rPr>
        <w:t xml:space="preserve">% et </w:t>
      </w:r>
      <w:r w:rsidR="00D06FBE">
        <w:rPr>
          <w:rFonts w:ascii="Segoe UI" w:hAnsi="Segoe UI" w:cs="Segoe UI"/>
          <w:sz w:val="24"/>
          <w:szCs w:val="24"/>
        </w:rPr>
        <w:t>17</w:t>
      </w:r>
      <w:r w:rsidR="00DA348A" w:rsidRPr="001541CB">
        <w:rPr>
          <w:rFonts w:ascii="Segoe UI" w:hAnsi="Segoe UI" w:cs="Segoe UI"/>
          <w:sz w:val="24"/>
          <w:szCs w:val="24"/>
        </w:rPr>
        <w:t xml:space="preserve">% </w:t>
      </w:r>
      <w:r w:rsidR="007C2339">
        <w:rPr>
          <w:rFonts w:ascii="Segoe UI" w:hAnsi="Segoe UI" w:cs="Segoe UI"/>
          <w:sz w:val="24"/>
          <w:szCs w:val="24"/>
        </w:rPr>
        <w:t>à fin</w:t>
      </w:r>
      <w:r w:rsidR="00DA348A" w:rsidRPr="001541CB">
        <w:rPr>
          <w:rFonts w:ascii="Segoe UI" w:hAnsi="Segoe UI" w:cs="Segoe UI"/>
          <w:sz w:val="24"/>
          <w:szCs w:val="24"/>
        </w:rPr>
        <w:t xml:space="preserve"> </w:t>
      </w:r>
      <w:r w:rsidR="00603A67">
        <w:rPr>
          <w:rFonts w:ascii="Segoe UI" w:hAnsi="Segoe UI" w:cs="Segoe UI"/>
          <w:sz w:val="24"/>
          <w:szCs w:val="24"/>
        </w:rPr>
        <w:t xml:space="preserve">mars </w:t>
      </w:r>
      <w:r w:rsidR="00DA348A" w:rsidRPr="001541CB">
        <w:rPr>
          <w:rFonts w:ascii="Segoe UI" w:hAnsi="Segoe UI" w:cs="Segoe UI"/>
          <w:sz w:val="24"/>
          <w:szCs w:val="24"/>
        </w:rPr>
        <w:t>201</w:t>
      </w:r>
      <w:r w:rsidR="000A44E6" w:rsidRPr="001541CB">
        <w:rPr>
          <w:rFonts w:ascii="Segoe UI" w:hAnsi="Segoe UI" w:cs="Segoe UI"/>
          <w:sz w:val="24"/>
          <w:szCs w:val="24"/>
        </w:rPr>
        <w:t>6</w:t>
      </w:r>
      <w:r w:rsidR="007C2339">
        <w:rPr>
          <w:rFonts w:ascii="Segoe UI" w:hAnsi="Segoe UI" w:cs="Segoe UI"/>
          <w:sz w:val="24"/>
          <w:szCs w:val="24"/>
        </w:rPr>
        <w:t xml:space="preserve"> et 2017</w:t>
      </w:r>
      <w:r w:rsidR="00DA348A" w:rsidRPr="001541CB">
        <w:rPr>
          <w:rFonts w:ascii="Segoe UI" w:hAnsi="Segoe UI" w:cs="Segoe UI"/>
          <w:sz w:val="24"/>
          <w:szCs w:val="24"/>
        </w:rPr>
        <w:t xml:space="preserve">. </w:t>
      </w:r>
    </w:p>
    <w:p w14:paraId="1CF2A1B5" w14:textId="77777777" w:rsidR="000C178C" w:rsidRDefault="00510A64" w:rsidP="00F86F7D">
      <w:pPr>
        <w:spacing w:after="0" w:line="360" w:lineRule="auto"/>
        <w:jc w:val="both"/>
        <w:rPr>
          <w:rFonts w:ascii="Segoe UI" w:hAnsi="Segoe UI" w:cs="Segoe UI"/>
          <w:bCs/>
          <w:iCs/>
          <w:sz w:val="24"/>
          <w:szCs w:val="24"/>
        </w:rPr>
      </w:pPr>
      <w:r w:rsidRPr="001541CB">
        <w:rPr>
          <w:rFonts w:ascii="Segoe UI" w:hAnsi="Segoe UI" w:cs="Segoe UI"/>
          <w:bCs/>
          <w:iCs/>
          <w:sz w:val="24"/>
          <w:szCs w:val="24"/>
        </w:rPr>
        <w:t>Le</w:t>
      </w:r>
      <w:r w:rsidR="004E388C" w:rsidRPr="001541CB">
        <w:rPr>
          <w:rFonts w:ascii="Segoe UI" w:hAnsi="Segoe UI" w:cs="Segoe UI"/>
          <w:bCs/>
          <w:iCs/>
          <w:sz w:val="24"/>
          <w:szCs w:val="24"/>
        </w:rPr>
        <w:t>s</w:t>
      </w:r>
      <w:r w:rsidRPr="001541CB">
        <w:rPr>
          <w:rFonts w:ascii="Segoe UI" w:hAnsi="Segoe UI" w:cs="Segoe UI"/>
          <w:bCs/>
          <w:iCs/>
          <w:sz w:val="24"/>
          <w:szCs w:val="24"/>
        </w:rPr>
        <w:t xml:space="preserve"> détail</w:t>
      </w:r>
      <w:r w:rsidR="004E388C" w:rsidRPr="001541CB">
        <w:rPr>
          <w:rFonts w:ascii="Segoe UI" w:hAnsi="Segoe UI" w:cs="Segoe UI"/>
          <w:bCs/>
          <w:iCs/>
          <w:sz w:val="24"/>
          <w:szCs w:val="24"/>
        </w:rPr>
        <w:t>s sur le niveau</w:t>
      </w:r>
      <w:r w:rsidR="00C24886" w:rsidRPr="001541CB">
        <w:rPr>
          <w:rFonts w:ascii="Segoe UI" w:hAnsi="Segoe UI" w:cs="Segoe UI"/>
          <w:bCs/>
          <w:iCs/>
          <w:sz w:val="24"/>
          <w:szCs w:val="24"/>
        </w:rPr>
        <w:t xml:space="preserve"> des</w:t>
      </w:r>
      <w:r w:rsidRPr="001541CB">
        <w:rPr>
          <w:rFonts w:ascii="Segoe UI" w:hAnsi="Segoe UI" w:cs="Segoe UI"/>
          <w:bCs/>
          <w:iCs/>
          <w:sz w:val="24"/>
          <w:szCs w:val="24"/>
        </w:rPr>
        <w:t xml:space="preserve"> engagement</w:t>
      </w:r>
      <w:r w:rsidR="00C24886" w:rsidRPr="001541CB">
        <w:rPr>
          <w:rFonts w:ascii="Segoe UI" w:hAnsi="Segoe UI" w:cs="Segoe UI"/>
          <w:bCs/>
          <w:iCs/>
          <w:sz w:val="24"/>
          <w:szCs w:val="24"/>
        </w:rPr>
        <w:t>s</w:t>
      </w:r>
      <w:r w:rsidRPr="001541CB">
        <w:rPr>
          <w:rFonts w:ascii="Segoe UI" w:hAnsi="Segoe UI" w:cs="Segoe UI"/>
          <w:bCs/>
          <w:iCs/>
          <w:sz w:val="24"/>
          <w:szCs w:val="24"/>
        </w:rPr>
        <w:t xml:space="preserve"> par nature de</w:t>
      </w:r>
      <w:r w:rsidR="004E388C" w:rsidRPr="001541CB">
        <w:rPr>
          <w:rFonts w:ascii="Segoe UI" w:hAnsi="Segoe UI" w:cs="Segoe UI"/>
          <w:bCs/>
          <w:iCs/>
          <w:sz w:val="24"/>
          <w:szCs w:val="24"/>
        </w:rPr>
        <w:t>s</w:t>
      </w:r>
      <w:r w:rsidRPr="001541CB">
        <w:rPr>
          <w:rFonts w:ascii="Segoe UI" w:hAnsi="Segoe UI" w:cs="Segoe UI"/>
          <w:bCs/>
          <w:iCs/>
          <w:sz w:val="24"/>
          <w:szCs w:val="24"/>
        </w:rPr>
        <w:t xml:space="preserve"> dépenses</w:t>
      </w:r>
      <w:r w:rsidR="004E388C" w:rsidRPr="001541CB">
        <w:rPr>
          <w:rFonts w:ascii="Segoe UI" w:hAnsi="Segoe UI" w:cs="Segoe UI"/>
          <w:bCs/>
          <w:iCs/>
          <w:sz w:val="24"/>
          <w:szCs w:val="24"/>
        </w:rPr>
        <w:t xml:space="preserve"> ordinaires sont récapitulés</w:t>
      </w:r>
      <w:r w:rsidRPr="001541CB">
        <w:rPr>
          <w:rFonts w:ascii="Segoe UI" w:hAnsi="Segoe UI" w:cs="Segoe UI"/>
          <w:bCs/>
          <w:iCs/>
          <w:sz w:val="24"/>
          <w:szCs w:val="24"/>
        </w:rPr>
        <w:t xml:space="preserve"> dans le tableau n° </w:t>
      </w:r>
      <w:r w:rsidR="00A60A45" w:rsidRPr="001541CB">
        <w:rPr>
          <w:rFonts w:ascii="Segoe UI" w:hAnsi="Segoe UI" w:cs="Segoe UI"/>
          <w:bCs/>
          <w:iCs/>
          <w:sz w:val="24"/>
          <w:szCs w:val="24"/>
        </w:rPr>
        <w:t>4</w:t>
      </w:r>
      <w:r w:rsidRPr="001541CB">
        <w:rPr>
          <w:rFonts w:ascii="Segoe UI" w:hAnsi="Segoe UI" w:cs="Segoe UI"/>
          <w:bCs/>
          <w:iCs/>
          <w:sz w:val="24"/>
          <w:szCs w:val="24"/>
        </w:rPr>
        <w:t xml:space="preserve"> ci-après :</w:t>
      </w:r>
      <w:bookmarkStart w:id="20" w:name="OLE_LINK1"/>
      <w:bookmarkStart w:id="21" w:name="OLE_LINK2"/>
    </w:p>
    <w:p w14:paraId="46D9557F" w14:textId="77777777" w:rsidR="00312521" w:rsidRDefault="00312521" w:rsidP="00F86F7D">
      <w:pPr>
        <w:spacing w:after="0" w:line="360" w:lineRule="auto"/>
        <w:jc w:val="both"/>
        <w:rPr>
          <w:rFonts w:ascii="Segoe UI" w:hAnsi="Segoe UI" w:cs="Segoe UI"/>
          <w:bCs/>
          <w:iCs/>
          <w:sz w:val="24"/>
          <w:szCs w:val="24"/>
        </w:rPr>
      </w:pPr>
    </w:p>
    <w:p w14:paraId="1C0E8DFF" w14:textId="62F4D65F" w:rsidR="00CF62E7" w:rsidRDefault="00CF62E7" w:rsidP="00F86F7D">
      <w:pPr>
        <w:spacing w:after="0" w:line="360" w:lineRule="auto"/>
        <w:jc w:val="both"/>
        <w:rPr>
          <w:rFonts w:ascii="Segoe UI" w:hAnsi="Segoe UI" w:cs="Segoe UI"/>
          <w:bCs/>
          <w:iCs/>
          <w:sz w:val="24"/>
          <w:szCs w:val="24"/>
        </w:rPr>
      </w:pPr>
      <w:r>
        <w:rPr>
          <w:rFonts w:ascii="Segoe UI" w:hAnsi="Segoe UI" w:cs="Segoe UI"/>
          <w:bCs/>
          <w:iCs/>
          <w:sz w:val="24"/>
          <w:szCs w:val="24"/>
        </w:rPr>
        <w:br/>
      </w:r>
    </w:p>
    <w:p w14:paraId="23325FF7" w14:textId="77777777" w:rsidR="005A5585" w:rsidRDefault="00510A64" w:rsidP="00F411BB">
      <w:pPr>
        <w:pStyle w:val="Listedestableaux"/>
        <w:spacing w:line="240" w:lineRule="auto"/>
        <w:rPr>
          <w:rFonts w:ascii="Segoe UI" w:hAnsi="Segoe UI" w:cs="Segoe UI"/>
          <w:sz w:val="24"/>
          <w:szCs w:val="24"/>
        </w:rPr>
      </w:pPr>
      <w:bookmarkStart w:id="22" w:name="_Toc481952108"/>
      <w:r w:rsidRPr="001541CB">
        <w:rPr>
          <w:rFonts w:ascii="Segoe UI" w:hAnsi="Segoe UI" w:cs="Segoe UI"/>
          <w:sz w:val="24"/>
          <w:szCs w:val="24"/>
          <w:u w:val="single"/>
        </w:rPr>
        <w:lastRenderedPageBreak/>
        <w:t xml:space="preserve">Tableau </w:t>
      </w:r>
      <w:r w:rsidR="00A60A45" w:rsidRPr="001541CB">
        <w:rPr>
          <w:rFonts w:ascii="Segoe UI" w:hAnsi="Segoe UI" w:cs="Segoe UI"/>
          <w:sz w:val="24"/>
          <w:szCs w:val="24"/>
          <w:u w:val="single"/>
        </w:rPr>
        <w:t>4</w:t>
      </w:r>
      <w:r w:rsidRPr="001541CB">
        <w:rPr>
          <w:rFonts w:ascii="Segoe UI" w:hAnsi="Segoe UI" w:cs="Segoe UI"/>
          <w:sz w:val="24"/>
          <w:szCs w:val="24"/>
        </w:rPr>
        <w:t xml:space="preserve"> : Evolution des engagements des dépenses ordinaires au </w:t>
      </w:r>
      <w:r w:rsidR="00A31BA8" w:rsidRPr="001541CB">
        <w:rPr>
          <w:rFonts w:ascii="Segoe UI" w:hAnsi="Segoe UI" w:cs="Segoe UI"/>
          <w:sz w:val="24"/>
          <w:szCs w:val="24"/>
        </w:rPr>
        <w:t>3</w:t>
      </w:r>
      <w:r w:rsidR="001F5B2E" w:rsidRPr="001541CB">
        <w:rPr>
          <w:rFonts w:ascii="Segoe UI" w:hAnsi="Segoe UI" w:cs="Segoe UI"/>
          <w:sz w:val="24"/>
          <w:szCs w:val="24"/>
        </w:rPr>
        <w:t>1</w:t>
      </w:r>
      <w:r w:rsidR="00C1141B" w:rsidRPr="001541CB">
        <w:rPr>
          <w:rFonts w:ascii="Segoe UI" w:hAnsi="Segoe UI" w:cs="Segoe UI"/>
          <w:sz w:val="24"/>
          <w:szCs w:val="24"/>
        </w:rPr>
        <w:t xml:space="preserve"> </w:t>
      </w:r>
      <w:r w:rsidR="00F3061B" w:rsidRPr="001541CB">
        <w:rPr>
          <w:rFonts w:ascii="Segoe UI" w:hAnsi="Segoe UI" w:cs="Segoe UI"/>
          <w:sz w:val="24"/>
          <w:szCs w:val="24"/>
        </w:rPr>
        <w:t>mars</w:t>
      </w:r>
      <w:r w:rsidRPr="001541CB">
        <w:rPr>
          <w:rFonts w:ascii="Segoe UI" w:hAnsi="Segoe UI" w:cs="Segoe UI"/>
          <w:sz w:val="24"/>
          <w:szCs w:val="24"/>
        </w:rPr>
        <w:t xml:space="preserve"> 201</w:t>
      </w:r>
      <w:r w:rsidR="00C1141B" w:rsidRPr="001541CB">
        <w:rPr>
          <w:rFonts w:ascii="Segoe UI" w:hAnsi="Segoe UI" w:cs="Segoe UI"/>
          <w:sz w:val="24"/>
          <w:szCs w:val="24"/>
        </w:rPr>
        <w:t>6</w:t>
      </w:r>
      <w:r w:rsidRPr="001541CB">
        <w:rPr>
          <w:rFonts w:ascii="Segoe UI" w:hAnsi="Segoe UI" w:cs="Segoe UI"/>
          <w:sz w:val="24"/>
          <w:szCs w:val="24"/>
        </w:rPr>
        <w:t xml:space="preserve"> et 201</w:t>
      </w:r>
      <w:bookmarkEnd w:id="20"/>
      <w:bookmarkEnd w:id="21"/>
      <w:r w:rsidR="00C1141B" w:rsidRPr="001541CB">
        <w:rPr>
          <w:rFonts w:ascii="Segoe UI" w:hAnsi="Segoe UI" w:cs="Segoe UI"/>
          <w:sz w:val="24"/>
          <w:szCs w:val="24"/>
        </w:rPr>
        <w:t>7</w:t>
      </w:r>
      <w:bookmarkEnd w:id="22"/>
    </w:p>
    <w:p w14:paraId="5E985DF2" w14:textId="77777777" w:rsidR="00CE737D" w:rsidRPr="00CE737D" w:rsidRDefault="00CE737D" w:rsidP="00F32646">
      <w:pPr>
        <w:pStyle w:val="Listedestableaux"/>
        <w:spacing w:line="240" w:lineRule="auto"/>
        <w:rPr>
          <w:rFonts w:ascii="Segoe UI" w:hAnsi="Segoe UI" w:cs="Segoe UI"/>
          <w:b w:val="0"/>
          <w:sz w:val="24"/>
          <w:szCs w:val="24"/>
        </w:rPr>
      </w:pPr>
      <w:r w:rsidRPr="00CE737D">
        <w:rPr>
          <w:rFonts w:ascii="Segoe UI" w:hAnsi="Segoe UI" w:cs="Segoe UI"/>
          <w:b w:val="0"/>
          <w:sz w:val="24"/>
          <w:szCs w:val="24"/>
        </w:rPr>
        <w:t xml:space="preserve">                                                                   </w:t>
      </w:r>
      <w:r>
        <w:rPr>
          <w:rFonts w:ascii="Segoe UI" w:hAnsi="Segoe UI" w:cs="Segoe UI"/>
          <w:b w:val="0"/>
          <w:sz w:val="24"/>
          <w:szCs w:val="24"/>
        </w:rPr>
        <w:t xml:space="preserve">               </w:t>
      </w:r>
      <w:r w:rsidRPr="00CE737D">
        <w:rPr>
          <w:rFonts w:ascii="Segoe UI" w:hAnsi="Segoe UI" w:cs="Segoe UI"/>
          <w:b w:val="0"/>
          <w:sz w:val="24"/>
          <w:szCs w:val="24"/>
        </w:rPr>
        <w:t xml:space="preserve">     </w:t>
      </w:r>
      <w:bookmarkStart w:id="23" w:name="_Toc481952109"/>
      <w:r w:rsidRPr="00CE737D">
        <w:rPr>
          <w:rFonts w:ascii="Segoe UI" w:hAnsi="Segoe UI" w:cs="Segoe UI"/>
          <w:b w:val="0"/>
          <w:sz w:val="24"/>
          <w:szCs w:val="24"/>
        </w:rPr>
        <w:t>En millions de FCFA</w:t>
      </w:r>
      <w:bookmarkEnd w:id="23"/>
    </w:p>
    <w:tbl>
      <w:tblPr>
        <w:tblW w:w="10349" w:type="dxa"/>
        <w:tblInd w:w="-497" w:type="dxa"/>
        <w:tblLayout w:type="fixed"/>
        <w:tblCellMar>
          <w:left w:w="70" w:type="dxa"/>
          <w:right w:w="70" w:type="dxa"/>
        </w:tblCellMar>
        <w:tblLook w:val="04A0" w:firstRow="1" w:lastRow="0" w:firstColumn="1" w:lastColumn="0" w:noHBand="0" w:noVBand="1"/>
      </w:tblPr>
      <w:tblGrid>
        <w:gridCol w:w="1843"/>
        <w:gridCol w:w="1134"/>
        <w:gridCol w:w="1276"/>
        <w:gridCol w:w="709"/>
        <w:gridCol w:w="1134"/>
        <w:gridCol w:w="1275"/>
        <w:gridCol w:w="709"/>
        <w:gridCol w:w="1276"/>
        <w:gridCol w:w="993"/>
      </w:tblGrid>
      <w:tr w:rsidR="00756386" w:rsidRPr="006E396F" w14:paraId="269C4E51" w14:textId="77777777" w:rsidTr="0090500D">
        <w:trPr>
          <w:trHeight w:val="315"/>
        </w:trPr>
        <w:tc>
          <w:tcPr>
            <w:tcW w:w="1843" w:type="dxa"/>
            <w:vMerge w:val="restart"/>
            <w:tcBorders>
              <w:top w:val="single" w:sz="8" w:space="0" w:color="auto"/>
              <w:left w:val="single" w:sz="8" w:space="0" w:color="auto"/>
              <w:right w:val="nil"/>
            </w:tcBorders>
            <w:shd w:val="clear" w:color="auto" w:fill="auto"/>
            <w:hideMark/>
          </w:tcPr>
          <w:p w14:paraId="1658F73D" w14:textId="77777777" w:rsidR="00756386" w:rsidRPr="002E4977" w:rsidRDefault="00756386" w:rsidP="0090500D">
            <w:pPr>
              <w:spacing w:after="0" w:line="240" w:lineRule="auto"/>
              <w:jc w:val="center"/>
              <w:rPr>
                <w:rFonts w:ascii="Segoe UI" w:eastAsia="Times New Roman" w:hAnsi="Segoe UI" w:cs="Segoe UI"/>
                <w:b/>
                <w:bCs/>
                <w:sz w:val="20"/>
                <w:szCs w:val="20"/>
              </w:rPr>
            </w:pPr>
            <w:bookmarkStart w:id="24" w:name="_Hlk481166840"/>
            <w:r w:rsidRPr="002E4977">
              <w:rPr>
                <w:rFonts w:ascii="Segoe UI" w:eastAsia="Times New Roman" w:hAnsi="Segoe UI" w:cs="Segoe UI"/>
                <w:b/>
                <w:bCs/>
                <w:sz w:val="20"/>
                <w:szCs w:val="20"/>
              </w:rPr>
              <w:t>Nature des dépenses</w:t>
            </w:r>
          </w:p>
        </w:tc>
        <w:tc>
          <w:tcPr>
            <w:tcW w:w="3119" w:type="dxa"/>
            <w:gridSpan w:val="3"/>
            <w:tcBorders>
              <w:top w:val="single" w:sz="8" w:space="0" w:color="auto"/>
              <w:left w:val="double" w:sz="6" w:space="0" w:color="auto"/>
              <w:bottom w:val="single" w:sz="4" w:space="0" w:color="auto"/>
              <w:right w:val="double" w:sz="6" w:space="0" w:color="000000"/>
            </w:tcBorders>
            <w:shd w:val="clear" w:color="auto" w:fill="auto"/>
            <w:noWrap/>
            <w:vAlign w:val="bottom"/>
            <w:hideMark/>
          </w:tcPr>
          <w:p w14:paraId="6E11AF55" w14:textId="334C3938" w:rsidR="00756386" w:rsidRPr="002E4977" w:rsidRDefault="00756386" w:rsidP="003F4CD8">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201</w:t>
            </w:r>
            <w:r w:rsidR="00AD245D" w:rsidRPr="002E4977">
              <w:rPr>
                <w:rFonts w:ascii="Segoe UI" w:eastAsia="Times New Roman" w:hAnsi="Segoe UI" w:cs="Segoe UI"/>
                <w:b/>
                <w:bCs/>
                <w:sz w:val="20"/>
                <w:szCs w:val="20"/>
              </w:rPr>
              <w:t>6</w:t>
            </w:r>
            <w:r w:rsidR="00D06FBE">
              <w:rPr>
                <w:rFonts w:ascii="Segoe UI" w:eastAsia="Times New Roman" w:hAnsi="Segoe UI" w:cs="Segoe UI"/>
                <w:b/>
                <w:bCs/>
                <w:sz w:val="20"/>
                <w:szCs w:val="20"/>
              </w:rPr>
              <w:t xml:space="preserve"> (LFR)</w:t>
            </w:r>
          </w:p>
        </w:tc>
        <w:tc>
          <w:tcPr>
            <w:tcW w:w="3118" w:type="dxa"/>
            <w:gridSpan w:val="3"/>
            <w:tcBorders>
              <w:top w:val="single" w:sz="8" w:space="0" w:color="auto"/>
              <w:left w:val="nil"/>
              <w:bottom w:val="single" w:sz="4" w:space="0" w:color="auto"/>
              <w:right w:val="double" w:sz="6" w:space="0" w:color="000000"/>
            </w:tcBorders>
            <w:shd w:val="clear" w:color="auto" w:fill="auto"/>
            <w:noWrap/>
            <w:vAlign w:val="bottom"/>
            <w:hideMark/>
          </w:tcPr>
          <w:p w14:paraId="3780375B" w14:textId="0E3BDA63" w:rsidR="00756386" w:rsidRPr="002E4977" w:rsidRDefault="00756386" w:rsidP="003F4CD8">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201</w:t>
            </w:r>
            <w:r w:rsidR="00AD245D" w:rsidRPr="002E4977">
              <w:rPr>
                <w:rFonts w:ascii="Segoe UI" w:eastAsia="Times New Roman" w:hAnsi="Segoe UI" w:cs="Segoe UI"/>
                <w:b/>
                <w:bCs/>
                <w:sz w:val="20"/>
                <w:szCs w:val="20"/>
              </w:rPr>
              <w:t>7</w:t>
            </w:r>
            <w:r w:rsidR="00D06FBE">
              <w:rPr>
                <w:rFonts w:ascii="Segoe UI" w:eastAsia="Times New Roman" w:hAnsi="Segoe UI" w:cs="Segoe UI"/>
                <w:b/>
                <w:bCs/>
                <w:sz w:val="20"/>
                <w:szCs w:val="20"/>
              </w:rPr>
              <w:t xml:space="preserve"> (LFI)</w:t>
            </w:r>
          </w:p>
        </w:tc>
        <w:tc>
          <w:tcPr>
            <w:tcW w:w="2269" w:type="dxa"/>
            <w:gridSpan w:val="2"/>
            <w:tcBorders>
              <w:top w:val="single" w:sz="8" w:space="0" w:color="auto"/>
              <w:left w:val="nil"/>
              <w:bottom w:val="single" w:sz="4" w:space="0" w:color="auto"/>
              <w:right w:val="single" w:sz="8" w:space="0" w:color="000000"/>
            </w:tcBorders>
            <w:shd w:val="clear" w:color="auto" w:fill="auto"/>
            <w:vAlign w:val="center"/>
            <w:hideMark/>
          </w:tcPr>
          <w:p w14:paraId="4CD8720E" w14:textId="77777777" w:rsidR="00756386" w:rsidRPr="002E4977" w:rsidRDefault="00756386" w:rsidP="003F4CD8">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ECARTS</w:t>
            </w:r>
          </w:p>
        </w:tc>
      </w:tr>
      <w:tr w:rsidR="0090500D" w:rsidRPr="006E396F" w14:paraId="5A9592D8" w14:textId="77777777" w:rsidTr="0090500D">
        <w:trPr>
          <w:trHeight w:val="929"/>
        </w:trPr>
        <w:tc>
          <w:tcPr>
            <w:tcW w:w="1843" w:type="dxa"/>
            <w:vMerge/>
            <w:tcBorders>
              <w:left w:val="single" w:sz="8" w:space="0" w:color="auto"/>
              <w:bottom w:val="nil"/>
              <w:right w:val="nil"/>
            </w:tcBorders>
            <w:vAlign w:val="center"/>
            <w:hideMark/>
          </w:tcPr>
          <w:p w14:paraId="55753AFD" w14:textId="77777777" w:rsidR="00756386" w:rsidRPr="002E4977" w:rsidRDefault="00756386" w:rsidP="003F4CD8">
            <w:pPr>
              <w:spacing w:after="0" w:line="240" w:lineRule="auto"/>
              <w:rPr>
                <w:rFonts w:ascii="Segoe UI" w:eastAsia="Times New Roman" w:hAnsi="Segoe UI" w:cs="Segoe UI"/>
                <w:b/>
                <w:bCs/>
                <w:sz w:val="20"/>
                <w:szCs w:val="20"/>
              </w:rPr>
            </w:pPr>
          </w:p>
        </w:tc>
        <w:tc>
          <w:tcPr>
            <w:tcW w:w="1134" w:type="dxa"/>
            <w:vMerge w:val="restart"/>
            <w:tcBorders>
              <w:top w:val="nil"/>
              <w:left w:val="double" w:sz="6" w:space="0" w:color="auto"/>
              <w:right w:val="single" w:sz="4" w:space="0" w:color="auto"/>
            </w:tcBorders>
            <w:shd w:val="clear" w:color="auto" w:fill="auto"/>
            <w:hideMark/>
          </w:tcPr>
          <w:p w14:paraId="0D64D348" w14:textId="77777777" w:rsidR="00756386" w:rsidRPr="002E4977" w:rsidRDefault="00756386" w:rsidP="003F4CD8">
            <w:pPr>
              <w:spacing w:after="0" w:line="240" w:lineRule="auto"/>
              <w:jc w:val="center"/>
              <w:rPr>
                <w:rFonts w:ascii="Segoe UI" w:eastAsia="Times New Roman" w:hAnsi="Segoe UI" w:cs="Segoe UI"/>
                <w:sz w:val="20"/>
                <w:szCs w:val="20"/>
              </w:rPr>
            </w:pPr>
            <w:proofErr w:type="spellStart"/>
            <w:r w:rsidRPr="002E4977">
              <w:rPr>
                <w:rFonts w:ascii="Segoe UI" w:eastAsia="Times New Roman" w:hAnsi="Segoe UI" w:cs="Segoe UI"/>
                <w:sz w:val="20"/>
                <w:szCs w:val="20"/>
              </w:rPr>
              <w:t>Prév</w:t>
            </w:r>
            <w:proofErr w:type="spellEnd"/>
            <w:r w:rsidR="0015077C" w:rsidRPr="002E4977">
              <w:rPr>
                <w:rFonts w:ascii="Segoe UI" w:eastAsia="Times New Roman" w:hAnsi="Segoe UI" w:cs="Segoe UI"/>
                <w:sz w:val="20"/>
                <w:szCs w:val="20"/>
              </w:rPr>
              <w:t>.</w:t>
            </w:r>
          </w:p>
        </w:tc>
        <w:tc>
          <w:tcPr>
            <w:tcW w:w="1276" w:type="dxa"/>
            <w:vMerge w:val="restart"/>
            <w:tcBorders>
              <w:top w:val="nil"/>
              <w:left w:val="single" w:sz="4" w:space="0" w:color="auto"/>
              <w:right w:val="single" w:sz="4" w:space="0" w:color="auto"/>
            </w:tcBorders>
            <w:shd w:val="clear" w:color="auto" w:fill="auto"/>
            <w:hideMark/>
          </w:tcPr>
          <w:p w14:paraId="700A1CB0" w14:textId="77777777" w:rsidR="00756386" w:rsidRPr="002E4977" w:rsidRDefault="00C85530" w:rsidP="003F4CD8">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Eng.</w:t>
            </w:r>
          </w:p>
        </w:tc>
        <w:tc>
          <w:tcPr>
            <w:tcW w:w="709" w:type="dxa"/>
            <w:vMerge w:val="restart"/>
            <w:tcBorders>
              <w:top w:val="nil"/>
              <w:left w:val="single" w:sz="4" w:space="0" w:color="auto"/>
              <w:right w:val="double" w:sz="6" w:space="0" w:color="auto"/>
            </w:tcBorders>
            <w:shd w:val="clear" w:color="auto" w:fill="auto"/>
            <w:hideMark/>
          </w:tcPr>
          <w:p w14:paraId="4EFB7A3B" w14:textId="2E2C197C" w:rsidR="00756386" w:rsidRPr="002E4977" w:rsidRDefault="0015077C" w:rsidP="003F4CD8">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Taux  Eng</w:t>
            </w:r>
            <w:r w:rsidR="00756386" w:rsidRPr="002E4977">
              <w:rPr>
                <w:rFonts w:ascii="Segoe UI" w:eastAsia="Times New Roman" w:hAnsi="Segoe UI" w:cs="Segoe UI"/>
                <w:sz w:val="20"/>
                <w:szCs w:val="20"/>
              </w:rPr>
              <w:t>.</w:t>
            </w:r>
            <w:r w:rsidR="00D06FBE">
              <w:rPr>
                <w:rFonts w:ascii="Segoe UI" w:eastAsia="Times New Roman" w:hAnsi="Segoe UI" w:cs="Segoe UI"/>
                <w:sz w:val="20"/>
                <w:szCs w:val="20"/>
              </w:rPr>
              <w:t xml:space="preserve"> (%)</w:t>
            </w:r>
          </w:p>
        </w:tc>
        <w:tc>
          <w:tcPr>
            <w:tcW w:w="1134" w:type="dxa"/>
            <w:vMerge w:val="restart"/>
            <w:tcBorders>
              <w:top w:val="nil"/>
              <w:left w:val="double" w:sz="6" w:space="0" w:color="auto"/>
              <w:right w:val="single" w:sz="4" w:space="0" w:color="auto"/>
            </w:tcBorders>
            <w:shd w:val="clear" w:color="auto" w:fill="auto"/>
            <w:hideMark/>
          </w:tcPr>
          <w:p w14:paraId="208D11A9" w14:textId="77777777" w:rsidR="00756386" w:rsidRPr="002E4977" w:rsidRDefault="00C85530" w:rsidP="003F4CD8">
            <w:pPr>
              <w:spacing w:after="0" w:line="240" w:lineRule="auto"/>
              <w:jc w:val="center"/>
              <w:rPr>
                <w:rFonts w:ascii="Segoe UI" w:eastAsia="Times New Roman" w:hAnsi="Segoe UI" w:cs="Segoe UI"/>
                <w:sz w:val="20"/>
                <w:szCs w:val="20"/>
              </w:rPr>
            </w:pPr>
            <w:proofErr w:type="spellStart"/>
            <w:r w:rsidRPr="002E4977">
              <w:rPr>
                <w:rFonts w:ascii="Segoe UI" w:eastAsia="Times New Roman" w:hAnsi="Segoe UI" w:cs="Segoe UI"/>
                <w:sz w:val="20"/>
                <w:szCs w:val="20"/>
              </w:rPr>
              <w:t>Prév</w:t>
            </w:r>
            <w:proofErr w:type="spellEnd"/>
            <w:r w:rsidRPr="002E4977">
              <w:rPr>
                <w:rFonts w:ascii="Segoe UI" w:eastAsia="Times New Roman" w:hAnsi="Segoe UI" w:cs="Segoe UI"/>
                <w:sz w:val="20"/>
                <w:szCs w:val="20"/>
              </w:rPr>
              <w:t>.</w:t>
            </w:r>
          </w:p>
        </w:tc>
        <w:tc>
          <w:tcPr>
            <w:tcW w:w="1275" w:type="dxa"/>
            <w:vMerge w:val="restart"/>
            <w:tcBorders>
              <w:top w:val="nil"/>
              <w:left w:val="single" w:sz="4" w:space="0" w:color="auto"/>
              <w:right w:val="single" w:sz="4" w:space="0" w:color="auto"/>
            </w:tcBorders>
            <w:shd w:val="clear" w:color="auto" w:fill="auto"/>
            <w:hideMark/>
          </w:tcPr>
          <w:p w14:paraId="5EEB4D45" w14:textId="77777777" w:rsidR="00756386" w:rsidRPr="002E4977" w:rsidRDefault="00756386" w:rsidP="003F4CD8">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Eng.</w:t>
            </w:r>
          </w:p>
        </w:tc>
        <w:tc>
          <w:tcPr>
            <w:tcW w:w="709" w:type="dxa"/>
            <w:vMerge w:val="restart"/>
            <w:tcBorders>
              <w:top w:val="nil"/>
              <w:left w:val="single" w:sz="4" w:space="0" w:color="auto"/>
              <w:right w:val="double" w:sz="6" w:space="0" w:color="auto"/>
            </w:tcBorders>
            <w:shd w:val="clear" w:color="auto" w:fill="auto"/>
            <w:hideMark/>
          </w:tcPr>
          <w:p w14:paraId="040037D9" w14:textId="24DE5689" w:rsidR="00756386" w:rsidRPr="002E4977" w:rsidRDefault="0015077C" w:rsidP="004875D3">
            <w:pPr>
              <w:spacing w:after="0" w:line="240" w:lineRule="auto"/>
              <w:rPr>
                <w:rFonts w:ascii="Segoe UI" w:eastAsia="Times New Roman" w:hAnsi="Segoe UI" w:cs="Segoe UI"/>
                <w:sz w:val="20"/>
                <w:szCs w:val="20"/>
              </w:rPr>
            </w:pPr>
            <w:r w:rsidRPr="002E4977">
              <w:rPr>
                <w:rFonts w:ascii="Segoe UI" w:eastAsia="Times New Roman" w:hAnsi="Segoe UI" w:cs="Segoe UI"/>
                <w:sz w:val="20"/>
                <w:szCs w:val="20"/>
              </w:rPr>
              <w:t>Taux  Eng.</w:t>
            </w:r>
            <w:r w:rsidR="00790756">
              <w:rPr>
                <w:rFonts w:ascii="Segoe UI" w:eastAsia="Times New Roman" w:hAnsi="Segoe UI" w:cs="Segoe UI"/>
                <w:sz w:val="20"/>
                <w:szCs w:val="20"/>
              </w:rPr>
              <w:t xml:space="preserve"> (%)</w:t>
            </w:r>
          </w:p>
        </w:tc>
        <w:tc>
          <w:tcPr>
            <w:tcW w:w="1276" w:type="dxa"/>
            <w:vMerge w:val="restart"/>
            <w:tcBorders>
              <w:top w:val="nil"/>
              <w:left w:val="double" w:sz="6" w:space="0" w:color="auto"/>
              <w:right w:val="single" w:sz="4" w:space="0" w:color="auto"/>
            </w:tcBorders>
            <w:shd w:val="clear" w:color="auto" w:fill="auto"/>
            <w:hideMark/>
          </w:tcPr>
          <w:p w14:paraId="176B22E7" w14:textId="1BD19C57" w:rsidR="00756386" w:rsidRPr="002E4977" w:rsidRDefault="00BF5EB2" w:rsidP="00BF5EB2">
            <w:pPr>
              <w:spacing w:after="0" w:line="240" w:lineRule="auto"/>
              <w:jc w:val="center"/>
              <w:rPr>
                <w:rFonts w:ascii="Segoe UI" w:eastAsia="Times New Roman" w:hAnsi="Segoe UI" w:cs="Segoe UI"/>
                <w:sz w:val="20"/>
                <w:szCs w:val="20"/>
              </w:rPr>
            </w:pPr>
            <w:r>
              <w:rPr>
                <w:rFonts w:ascii="Segoe UI" w:eastAsia="Times New Roman" w:hAnsi="Segoe UI" w:cs="Segoe UI"/>
                <w:sz w:val="20"/>
                <w:szCs w:val="20"/>
              </w:rPr>
              <w:t>En valeur</w:t>
            </w:r>
          </w:p>
        </w:tc>
        <w:tc>
          <w:tcPr>
            <w:tcW w:w="993" w:type="dxa"/>
            <w:tcBorders>
              <w:top w:val="nil"/>
              <w:left w:val="single" w:sz="4" w:space="0" w:color="auto"/>
              <w:bottom w:val="nil"/>
              <w:right w:val="single" w:sz="8" w:space="0" w:color="auto"/>
            </w:tcBorders>
            <w:shd w:val="clear" w:color="auto" w:fill="auto"/>
            <w:hideMark/>
          </w:tcPr>
          <w:p w14:paraId="0426ABB3" w14:textId="00AA7A86" w:rsidR="00756386" w:rsidRPr="002E4977" w:rsidRDefault="0090500D" w:rsidP="003F4CD8">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Taux d’</w:t>
            </w:r>
            <w:r w:rsidR="00A129D0" w:rsidRPr="002E4977">
              <w:rPr>
                <w:rFonts w:ascii="Segoe UI" w:eastAsia="Times New Roman" w:hAnsi="Segoe UI" w:cs="Segoe UI"/>
                <w:sz w:val="20"/>
                <w:szCs w:val="20"/>
              </w:rPr>
              <w:t xml:space="preserve"> </w:t>
            </w:r>
            <w:proofErr w:type="spellStart"/>
            <w:r w:rsidR="00A129D0" w:rsidRPr="002E4977">
              <w:rPr>
                <w:rFonts w:ascii="Segoe UI" w:eastAsia="Times New Roman" w:hAnsi="Segoe UI" w:cs="Segoe UI"/>
                <w:sz w:val="20"/>
                <w:szCs w:val="20"/>
              </w:rPr>
              <w:t>croiss</w:t>
            </w:r>
            <w:proofErr w:type="spellEnd"/>
            <w:r w:rsidR="00A129D0" w:rsidRPr="002E4977">
              <w:rPr>
                <w:rFonts w:ascii="Segoe UI" w:eastAsia="Times New Roman" w:hAnsi="Segoe UI" w:cs="Segoe UI"/>
                <w:sz w:val="20"/>
                <w:szCs w:val="20"/>
              </w:rPr>
              <w:t>.</w:t>
            </w:r>
            <w:r w:rsidR="00790756">
              <w:rPr>
                <w:rFonts w:ascii="Segoe UI" w:eastAsia="Times New Roman" w:hAnsi="Segoe UI" w:cs="Segoe UI"/>
                <w:sz w:val="20"/>
                <w:szCs w:val="20"/>
              </w:rPr>
              <w:t xml:space="preserve"> (%)</w:t>
            </w:r>
          </w:p>
        </w:tc>
      </w:tr>
      <w:tr w:rsidR="0090500D" w:rsidRPr="006E396F" w14:paraId="6AC40D37" w14:textId="77777777" w:rsidTr="0090500D">
        <w:trPr>
          <w:trHeight w:val="60"/>
        </w:trPr>
        <w:tc>
          <w:tcPr>
            <w:tcW w:w="1843" w:type="dxa"/>
            <w:vMerge/>
            <w:tcBorders>
              <w:left w:val="single" w:sz="8" w:space="0" w:color="auto"/>
              <w:bottom w:val="single" w:sz="4" w:space="0" w:color="auto"/>
              <w:right w:val="nil"/>
            </w:tcBorders>
            <w:shd w:val="clear" w:color="auto" w:fill="auto"/>
            <w:noWrap/>
            <w:vAlign w:val="bottom"/>
            <w:hideMark/>
          </w:tcPr>
          <w:p w14:paraId="372F57BD" w14:textId="77777777" w:rsidR="00756386" w:rsidRPr="002E4977" w:rsidRDefault="00756386" w:rsidP="005A5585">
            <w:pPr>
              <w:spacing w:after="0" w:line="240" w:lineRule="auto"/>
              <w:rPr>
                <w:rFonts w:ascii="Segoe UI" w:eastAsia="Times New Roman" w:hAnsi="Segoe UI" w:cs="Segoe UI"/>
                <w:b/>
                <w:bCs/>
                <w:sz w:val="20"/>
                <w:szCs w:val="20"/>
              </w:rPr>
            </w:pPr>
          </w:p>
        </w:tc>
        <w:tc>
          <w:tcPr>
            <w:tcW w:w="1134" w:type="dxa"/>
            <w:vMerge/>
            <w:tcBorders>
              <w:left w:val="double" w:sz="6" w:space="0" w:color="auto"/>
              <w:bottom w:val="single" w:sz="4" w:space="0" w:color="auto"/>
              <w:right w:val="single" w:sz="4" w:space="0" w:color="auto"/>
            </w:tcBorders>
            <w:shd w:val="clear" w:color="auto" w:fill="auto"/>
            <w:noWrap/>
            <w:vAlign w:val="bottom"/>
            <w:hideMark/>
          </w:tcPr>
          <w:p w14:paraId="2E45BD63" w14:textId="77777777" w:rsidR="00756386" w:rsidRPr="002E4977" w:rsidRDefault="00756386" w:rsidP="005A5585">
            <w:pPr>
              <w:spacing w:after="0" w:line="240" w:lineRule="auto"/>
              <w:jc w:val="right"/>
              <w:rPr>
                <w:rFonts w:ascii="Segoe UI" w:eastAsia="Times New Roman" w:hAnsi="Segoe UI" w:cs="Segoe UI"/>
                <w:b/>
                <w:bCs/>
                <w:sz w:val="20"/>
                <w:szCs w:val="20"/>
              </w:rPr>
            </w:pPr>
          </w:p>
        </w:tc>
        <w:tc>
          <w:tcPr>
            <w:tcW w:w="1276" w:type="dxa"/>
            <w:vMerge/>
            <w:tcBorders>
              <w:left w:val="single" w:sz="4" w:space="0" w:color="auto"/>
              <w:bottom w:val="single" w:sz="4" w:space="0" w:color="auto"/>
              <w:right w:val="single" w:sz="4" w:space="0" w:color="auto"/>
            </w:tcBorders>
            <w:shd w:val="clear" w:color="auto" w:fill="auto"/>
            <w:noWrap/>
            <w:vAlign w:val="bottom"/>
            <w:hideMark/>
          </w:tcPr>
          <w:p w14:paraId="447F3CA2" w14:textId="77777777" w:rsidR="00756386" w:rsidRPr="002E4977" w:rsidRDefault="00756386" w:rsidP="005A5585">
            <w:pPr>
              <w:spacing w:after="0" w:line="240" w:lineRule="auto"/>
              <w:jc w:val="right"/>
              <w:rPr>
                <w:rFonts w:ascii="Segoe UI" w:eastAsia="Times New Roman" w:hAnsi="Segoe UI" w:cs="Segoe UI"/>
                <w:b/>
                <w:bCs/>
                <w:sz w:val="20"/>
                <w:szCs w:val="20"/>
              </w:rPr>
            </w:pPr>
          </w:p>
        </w:tc>
        <w:tc>
          <w:tcPr>
            <w:tcW w:w="709" w:type="dxa"/>
            <w:vMerge/>
            <w:tcBorders>
              <w:left w:val="single" w:sz="4" w:space="0" w:color="auto"/>
              <w:bottom w:val="single" w:sz="4" w:space="0" w:color="auto"/>
              <w:right w:val="double" w:sz="6" w:space="0" w:color="auto"/>
            </w:tcBorders>
            <w:shd w:val="clear" w:color="auto" w:fill="auto"/>
            <w:noWrap/>
            <w:vAlign w:val="bottom"/>
            <w:hideMark/>
          </w:tcPr>
          <w:p w14:paraId="6045D922" w14:textId="77777777" w:rsidR="00756386" w:rsidRPr="002E4977" w:rsidRDefault="00756386" w:rsidP="005A5585">
            <w:pPr>
              <w:spacing w:after="0" w:line="240" w:lineRule="auto"/>
              <w:jc w:val="right"/>
              <w:rPr>
                <w:rFonts w:ascii="Segoe UI" w:eastAsia="Times New Roman" w:hAnsi="Segoe UI" w:cs="Segoe UI"/>
                <w:b/>
                <w:bCs/>
                <w:sz w:val="20"/>
                <w:szCs w:val="20"/>
              </w:rPr>
            </w:pPr>
          </w:p>
        </w:tc>
        <w:tc>
          <w:tcPr>
            <w:tcW w:w="1134" w:type="dxa"/>
            <w:vMerge/>
            <w:tcBorders>
              <w:left w:val="double" w:sz="6" w:space="0" w:color="auto"/>
              <w:bottom w:val="single" w:sz="4" w:space="0" w:color="auto"/>
              <w:right w:val="single" w:sz="4" w:space="0" w:color="auto"/>
            </w:tcBorders>
            <w:shd w:val="clear" w:color="auto" w:fill="auto"/>
            <w:noWrap/>
            <w:vAlign w:val="bottom"/>
            <w:hideMark/>
          </w:tcPr>
          <w:p w14:paraId="72A7D5B9" w14:textId="77777777" w:rsidR="00756386" w:rsidRPr="002E4977" w:rsidRDefault="00756386" w:rsidP="005A5585">
            <w:pPr>
              <w:spacing w:after="0" w:line="240" w:lineRule="auto"/>
              <w:jc w:val="center"/>
              <w:rPr>
                <w:rFonts w:ascii="Segoe UI" w:eastAsia="Times New Roman" w:hAnsi="Segoe UI" w:cs="Segoe UI"/>
                <w:b/>
                <w:bCs/>
                <w:sz w:val="20"/>
                <w:szCs w:val="20"/>
              </w:rPr>
            </w:pPr>
          </w:p>
        </w:tc>
        <w:tc>
          <w:tcPr>
            <w:tcW w:w="1275" w:type="dxa"/>
            <w:vMerge/>
            <w:tcBorders>
              <w:left w:val="single" w:sz="4" w:space="0" w:color="auto"/>
              <w:bottom w:val="single" w:sz="4" w:space="0" w:color="auto"/>
              <w:right w:val="single" w:sz="4" w:space="0" w:color="auto"/>
            </w:tcBorders>
            <w:shd w:val="clear" w:color="auto" w:fill="auto"/>
            <w:noWrap/>
            <w:vAlign w:val="bottom"/>
            <w:hideMark/>
          </w:tcPr>
          <w:p w14:paraId="2BBF1B63" w14:textId="77777777" w:rsidR="00756386" w:rsidRPr="002E4977" w:rsidRDefault="00756386" w:rsidP="005A5585">
            <w:pPr>
              <w:spacing w:after="0" w:line="240" w:lineRule="auto"/>
              <w:jc w:val="right"/>
              <w:rPr>
                <w:rFonts w:ascii="Segoe UI" w:eastAsia="Times New Roman" w:hAnsi="Segoe UI" w:cs="Segoe UI"/>
                <w:b/>
                <w:bCs/>
                <w:sz w:val="20"/>
                <w:szCs w:val="20"/>
              </w:rPr>
            </w:pPr>
          </w:p>
        </w:tc>
        <w:tc>
          <w:tcPr>
            <w:tcW w:w="709" w:type="dxa"/>
            <w:vMerge/>
            <w:tcBorders>
              <w:left w:val="single" w:sz="4" w:space="0" w:color="auto"/>
              <w:bottom w:val="single" w:sz="4" w:space="0" w:color="auto"/>
              <w:right w:val="double" w:sz="6" w:space="0" w:color="auto"/>
            </w:tcBorders>
            <w:shd w:val="clear" w:color="auto" w:fill="auto"/>
            <w:noWrap/>
            <w:vAlign w:val="bottom"/>
            <w:hideMark/>
          </w:tcPr>
          <w:p w14:paraId="5D8A5E22" w14:textId="77777777" w:rsidR="00756386" w:rsidRPr="002E4977" w:rsidRDefault="00756386" w:rsidP="005A5585">
            <w:pPr>
              <w:spacing w:after="0" w:line="240" w:lineRule="auto"/>
              <w:jc w:val="right"/>
              <w:rPr>
                <w:rFonts w:ascii="Segoe UI" w:eastAsia="Times New Roman" w:hAnsi="Segoe UI" w:cs="Segoe UI"/>
                <w:b/>
                <w:bCs/>
                <w:sz w:val="20"/>
                <w:szCs w:val="20"/>
              </w:rPr>
            </w:pPr>
          </w:p>
        </w:tc>
        <w:tc>
          <w:tcPr>
            <w:tcW w:w="1276" w:type="dxa"/>
            <w:vMerge/>
            <w:tcBorders>
              <w:left w:val="double" w:sz="6" w:space="0" w:color="auto"/>
              <w:bottom w:val="single" w:sz="4" w:space="0" w:color="auto"/>
              <w:right w:val="single" w:sz="4" w:space="0" w:color="auto"/>
            </w:tcBorders>
            <w:shd w:val="clear" w:color="auto" w:fill="auto"/>
            <w:noWrap/>
            <w:vAlign w:val="center"/>
            <w:hideMark/>
          </w:tcPr>
          <w:p w14:paraId="204A2EE5" w14:textId="77777777" w:rsidR="00756386" w:rsidRPr="002E4977" w:rsidRDefault="00756386" w:rsidP="005A5585">
            <w:pPr>
              <w:spacing w:after="0" w:line="240" w:lineRule="auto"/>
              <w:jc w:val="right"/>
              <w:rPr>
                <w:rFonts w:ascii="Segoe UI" w:eastAsia="Times New Roman" w:hAnsi="Segoe UI" w:cs="Segoe UI"/>
                <w:b/>
                <w:bCs/>
                <w:sz w:val="20"/>
                <w:szCs w:val="20"/>
              </w:rPr>
            </w:pPr>
          </w:p>
        </w:tc>
        <w:tc>
          <w:tcPr>
            <w:tcW w:w="993" w:type="dxa"/>
            <w:tcBorders>
              <w:left w:val="nil"/>
              <w:bottom w:val="single" w:sz="4" w:space="0" w:color="auto"/>
              <w:right w:val="single" w:sz="8" w:space="0" w:color="auto"/>
            </w:tcBorders>
            <w:shd w:val="clear" w:color="auto" w:fill="auto"/>
            <w:noWrap/>
            <w:vAlign w:val="center"/>
            <w:hideMark/>
          </w:tcPr>
          <w:p w14:paraId="58F5DA49" w14:textId="77777777" w:rsidR="00756386" w:rsidRPr="002E4977" w:rsidRDefault="00756386" w:rsidP="005A5585">
            <w:pPr>
              <w:spacing w:after="0" w:line="240" w:lineRule="auto"/>
              <w:jc w:val="right"/>
              <w:rPr>
                <w:rFonts w:ascii="Segoe UI" w:eastAsia="Times New Roman" w:hAnsi="Segoe UI" w:cs="Segoe UI"/>
                <w:b/>
                <w:bCs/>
                <w:sz w:val="20"/>
                <w:szCs w:val="20"/>
              </w:rPr>
            </w:pPr>
          </w:p>
        </w:tc>
      </w:tr>
      <w:tr w:rsidR="0090500D" w:rsidRPr="006E396F" w14:paraId="1DB612E1" w14:textId="77777777" w:rsidTr="0090500D">
        <w:trPr>
          <w:trHeight w:val="300"/>
        </w:trPr>
        <w:tc>
          <w:tcPr>
            <w:tcW w:w="1843" w:type="dxa"/>
            <w:tcBorders>
              <w:top w:val="nil"/>
              <w:left w:val="single" w:sz="4" w:space="0" w:color="auto"/>
              <w:bottom w:val="single" w:sz="4" w:space="0" w:color="auto"/>
              <w:right w:val="nil"/>
            </w:tcBorders>
            <w:shd w:val="clear" w:color="auto" w:fill="auto"/>
            <w:noWrap/>
            <w:vAlign w:val="center"/>
            <w:hideMark/>
          </w:tcPr>
          <w:p w14:paraId="7E3BE9FE" w14:textId="77777777" w:rsidR="00AB40BF" w:rsidRPr="002E4977" w:rsidRDefault="00AB40BF" w:rsidP="004875D3">
            <w:pPr>
              <w:spacing w:after="0" w:line="240" w:lineRule="auto"/>
              <w:rPr>
                <w:rFonts w:ascii="Segoe UI" w:eastAsia="Times New Roman" w:hAnsi="Segoe UI" w:cs="Segoe UI"/>
                <w:sz w:val="20"/>
                <w:szCs w:val="20"/>
              </w:rPr>
            </w:pPr>
            <w:r w:rsidRPr="002E4977">
              <w:rPr>
                <w:rFonts w:ascii="Segoe UI" w:eastAsia="Times New Roman" w:hAnsi="Segoe UI" w:cs="Segoe UI"/>
                <w:sz w:val="20"/>
                <w:szCs w:val="20"/>
              </w:rPr>
              <w:t>Charges fin. de la Dette Pub</w:t>
            </w:r>
          </w:p>
        </w:tc>
        <w:tc>
          <w:tcPr>
            <w:tcW w:w="1134" w:type="dxa"/>
            <w:tcBorders>
              <w:top w:val="nil"/>
              <w:left w:val="double" w:sz="6" w:space="0" w:color="auto"/>
              <w:bottom w:val="single" w:sz="4" w:space="0" w:color="auto"/>
              <w:right w:val="single" w:sz="4" w:space="0" w:color="auto"/>
            </w:tcBorders>
            <w:shd w:val="clear" w:color="auto" w:fill="auto"/>
            <w:noWrap/>
            <w:hideMark/>
          </w:tcPr>
          <w:p w14:paraId="5B8CAE82" w14:textId="0B7645F8" w:rsidR="00AB40BF" w:rsidRPr="002E4977" w:rsidRDefault="00D06FBE" w:rsidP="0046612B">
            <w:pPr>
              <w:spacing w:after="0" w:line="240" w:lineRule="auto"/>
              <w:jc w:val="center"/>
              <w:rPr>
                <w:rFonts w:ascii="Segoe UI" w:eastAsia="Times New Roman" w:hAnsi="Segoe UI" w:cs="Segoe UI"/>
                <w:sz w:val="20"/>
                <w:szCs w:val="20"/>
              </w:rPr>
            </w:pPr>
            <w:r>
              <w:rPr>
                <w:rFonts w:ascii="Segoe UI" w:eastAsia="Times New Roman" w:hAnsi="Segoe UI" w:cs="Segoe UI"/>
                <w:sz w:val="20"/>
                <w:szCs w:val="20"/>
              </w:rPr>
              <w:t>82 000</w:t>
            </w:r>
          </w:p>
        </w:tc>
        <w:tc>
          <w:tcPr>
            <w:tcW w:w="1276" w:type="dxa"/>
            <w:tcBorders>
              <w:top w:val="nil"/>
              <w:left w:val="nil"/>
              <w:bottom w:val="single" w:sz="4" w:space="0" w:color="auto"/>
              <w:right w:val="single" w:sz="4" w:space="0" w:color="auto"/>
            </w:tcBorders>
            <w:shd w:val="clear" w:color="auto" w:fill="auto"/>
            <w:noWrap/>
            <w:hideMark/>
          </w:tcPr>
          <w:p w14:paraId="3F0F872B" w14:textId="29DE7923" w:rsidR="00AB40BF" w:rsidRPr="002E4977" w:rsidRDefault="00AB40BF" w:rsidP="0046612B">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13</w:t>
            </w:r>
            <w:r w:rsidR="00D06FBE">
              <w:rPr>
                <w:rFonts w:ascii="Segoe UI" w:eastAsia="Times New Roman" w:hAnsi="Segoe UI" w:cs="Segoe UI"/>
                <w:sz w:val="20"/>
                <w:szCs w:val="20"/>
              </w:rPr>
              <w:t xml:space="preserve"> </w:t>
            </w:r>
            <w:r w:rsidRPr="002E4977">
              <w:rPr>
                <w:rFonts w:ascii="Segoe UI" w:eastAsia="Times New Roman" w:hAnsi="Segoe UI" w:cs="Segoe UI"/>
                <w:sz w:val="20"/>
                <w:szCs w:val="20"/>
              </w:rPr>
              <w:t>646,9</w:t>
            </w:r>
          </w:p>
        </w:tc>
        <w:tc>
          <w:tcPr>
            <w:tcW w:w="709" w:type="dxa"/>
            <w:tcBorders>
              <w:top w:val="nil"/>
              <w:left w:val="nil"/>
              <w:bottom w:val="single" w:sz="4" w:space="0" w:color="auto"/>
              <w:right w:val="double" w:sz="6" w:space="0" w:color="auto"/>
            </w:tcBorders>
            <w:shd w:val="clear" w:color="auto" w:fill="auto"/>
            <w:noWrap/>
            <w:hideMark/>
          </w:tcPr>
          <w:p w14:paraId="51C16392" w14:textId="318749EF" w:rsidR="00AB40BF" w:rsidRPr="002E4977" w:rsidRDefault="00D06FBE" w:rsidP="0046612B">
            <w:pPr>
              <w:spacing w:after="0" w:line="240" w:lineRule="auto"/>
              <w:jc w:val="center"/>
              <w:rPr>
                <w:rFonts w:ascii="Segoe UI" w:eastAsia="Times New Roman" w:hAnsi="Segoe UI" w:cs="Segoe UI"/>
                <w:sz w:val="20"/>
                <w:szCs w:val="20"/>
              </w:rPr>
            </w:pPr>
            <w:r>
              <w:rPr>
                <w:rFonts w:ascii="Segoe UI" w:eastAsia="Times New Roman" w:hAnsi="Segoe UI" w:cs="Segoe UI"/>
                <w:sz w:val="20"/>
                <w:szCs w:val="20"/>
              </w:rPr>
              <w:t>16,6</w:t>
            </w:r>
          </w:p>
        </w:tc>
        <w:tc>
          <w:tcPr>
            <w:tcW w:w="1134" w:type="dxa"/>
            <w:tcBorders>
              <w:top w:val="nil"/>
              <w:left w:val="nil"/>
              <w:bottom w:val="single" w:sz="4" w:space="0" w:color="auto"/>
              <w:right w:val="single" w:sz="4" w:space="0" w:color="auto"/>
            </w:tcBorders>
            <w:shd w:val="clear" w:color="auto" w:fill="auto"/>
            <w:noWrap/>
            <w:hideMark/>
          </w:tcPr>
          <w:p w14:paraId="0315C7E9" w14:textId="77777777" w:rsidR="00AB40BF" w:rsidRPr="002E4977" w:rsidRDefault="00AB40BF" w:rsidP="0046612B">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103 700</w:t>
            </w:r>
          </w:p>
        </w:tc>
        <w:tc>
          <w:tcPr>
            <w:tcW w:w="1275" w:type="dxa"/>
            <w:tcBorders>
              <w:top w:val="nil"/>
              <w:left w:val="nil"/>
              <w:bottom w:val="single" w:sz="4" w:space="0" w:color="auto"/>
              <w:right w:val="single" w:sz="4" w:space="0" w:color="auto"/>
            </w:tcBorders>
            <w:shd w:val="clear" w:color="auto" w:fill="auto"/>
            <w:noWrap/>
            <w:hideMark/>
          </w:tcPr>
          <w:p w14:paraId="75A2F063" w14:textId="77777777" w:rsidR="00AB40BF" w:rsidRPr="002E4977" w:rsidRDefault="00AB40BF" w:rsidP="0046612B">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18 332,2</w:t>
            </w:r>
          </w:p>
        </w:tc>
        <w:tc>
          <w:tcPr>
            <w:tcW w:w="709" w:type="dxa"/>
            <w:tcBorders>
              <w:top w:val="nil"/>
              <w:left w:val="nil"/>
              <w:bottom w:val="single" w:sz="4" w:space="0" w:color="auto"/>
              <w:right w:val="double" w:sz="6" w:space="0" w:color="auto"/>
            </w:tcBorders>
            <w:shd w:val="clear" w:color="auto" w:fill="auto"/>
            <w:noWrap/>
            <w:hideMark/>
          </w:tcPr>
          <w:p w14:paraId="06ECEF65" w14:textId="77777777" w:rsidR="00AB40BF" w:rsidRPr="002E4977" w:rsidRDefault="00AB40BF" w:rsidP="0046612B">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17 ,7</w:t>
            </w:r>
          </w:p>
        </w:tc>
        <w:tc>
          <w:tcPr>
            <w:tcW w:w="1276" w:type="dxa"/>
            <w:tcBorders>
              <w:top w:val="nil"/>
              <w:left w:val="nil"/>
              <w:bottom w:val="single" w:sz="4" w:space="0" w:color="auto"/>
              <w:right w:val="single" w:sz="4" w:space="0" w:color="auto"/>
            </w:tcBorders>
            <w:shd w:val="clear" w:color="auto" w:fill="auto"/>
            <w:noWrap/>
            <w:hideMark/>
          </w:tcPr>
          <w:p w14:paraId="4AA8AF9C" w14:textId="77777777" w:rsidR="00AB40BF" w:rsidRPr="002E4977" w:rsidRDefault="00AB40BF" w:rsidP="0046612B">
            <w:pPr>
              <w:spacing w:after="0" w:line="240" w:lineRule="auto"/>
              <w:jc w:val="center"/>
              <w:rPr>
                <w:rFonts w:ascii="Segoe UI" w:eastAsia="Times New Roman" w:hAnsi="Segoe UI" w:cs="Segoe UI"/>
                <w:bCs/>
                <w:sz w:val="20"/>
                <w:szCs w:val="20"/>
              </w:rPr>
            </w:pPr>
          </w:p>
          <w:p w14:paraId="4465DD2C" w14:textId="77777777" w:rsidR="00AB40BF" w:rsidRPr="002E4977" w:rsidRDefault="007261F4" w:rsidP="0046612B">
            <w:pPr>
              <w:spacing w:after="0" w:line="240" w:lineRule="auto"/>
              <w:jc w:val="center"/>
              <w:rPr>
                <w:rFonts w:ascii="Segoe UI" w:eastAsia="Times New Roman" w:hAnsi="Segoe UI" w:cs="Segoe UI"/>
                <w:bCs/>
                <w:sz w:val="20"/>
                <w:szCs w:val="20"/>
              </w:rPr>
            </w:pPr>
            <w:r w:rsidRPr="002E4977">
              <w:rPr>
                <w:rFonts w:ascii="Segoe UI" w:eastAsia="Times New Roman" w:hAnsi="Segoe UI" w:cs="Segoe UI"/>
                <w:bCs/>
                <w:sz w:val="20"/>
                <w:szCs w:val="20"/>
              </w:rPr>
              <w:t>4 685,3</w:t>
            </w:r>
          </w:p>
        </w:tc>
        <w:tc>
          <w:tcPr>
            <w:tcW w:w="993" w:type="dxa"/>
            <w:tcBorders>
              <w:top w:val="nil"/>
              <w:left w:val="nil"/>
              <w:bottom w:val="single" w:sz="4" w:space="0" w:color="auto"/>
              <w:right w:val="single" w:sz="8" w:space="0" w:color="auto"/>
            </w:tcBorders>
            <w:shd w:val="clear" w:color="auto" w:fill="auto"/>
            <w:noWrap/>
            <w:hideMark/>
          </w:tcPr>
          <w:p w14:paraId="12E2B13C" w14:textId="77777777" w:rsidR="00AB40BF" w:rsidRPr="002E4977" w:rsidRDefault="007261F4" w:rsidP="0046612B">
            <w:pPr>
              <w:spacing w:after="0" w:line="240" w:lineRule="auto"/>
              <w:jc w:val="center"/>
              <w:rPr>
                <w:rFonts w:ascii="Segoe UI" w:eastAsia="Times New Roman" w:hAnsi="Segoe UI" w:cs="Segoe UI"/>
                <w:bCs/>
                <w:sz w:val="20"/>
                <w:szCs w:val="20"/>
              </w:rPr>
            </w:pPr>
            <w:r w:rsidRPr="002E4977">
              <w:rPr>
                <w:rFonts w:ascii="Segoe UI" w:eastAsia="Times New Roman" w:hAnsi="Segoe UI" w:cs="Segoe UI"/>
                <w:bCs/>
                <w:sz w:val="20"/>
                <w:szCs w:val="20"/>
              </w:rPr>
              <w:t>34,3</w:t>
            </w:r>
          </w:p>
        </w:tc>
      </w:tr>
      <w:tr w:rsidR="0090500D" w:rsidRPr="006E396F" w14:paraId="582610B0" w14:textId="77777777" w:rsidTr="0090500D">
        <w:trPr>
          <w:trHeight w:val="300"/>
        </w:trPr>
        <w:tc>
          <w:tcPr>
            <w:tcW w:w="1843" w:type="dxa"/>
            <w:tcBorders>
              <w:top w:val="nil"/>
              <w:left w:val="single" w:sz="4" w:space="0" w:color="auto"/>
              <w:bottom w:val="single" w:sz="4" w:space="0" w:color="auto"/>
              <w:right w:val="nil"/>
            </w:tcBorders>
            <w:shd w:val="clear" w:color="auto" w:fill="auto"/>
            <w:noWrap/>
            <w:vAlign w:val="center"/>
            <w:hideMark/>
          </w:tcPr>
          <w:p w14:paraId="6CFF1189" w14:textId="77777777" w:rsidR="00AB40BF" w:rsidRPr="002E4977" w:rsidRDefault="00AB40BF" w:rsidP="004575AD">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Dépenses de Personnel</w:t>
            </w:r>
          </w:p>
        </w:tc>
        <w:tc>
          <w:tcPr>
            <w:tcW w:w="1134" w:type="dxa"/>
            <w:tcBorders>
              <w:top w:val="nil"/>
              <w:left w:val="double" w:sz="6" w:space="0" w:color="auto"/>
              <w:bottom w:val="single" w:sz="4" w:space="0" w:color="auto"/>
              <w:right w:val="single" w:sz="4" w:space="0" w:color="auto"/>
            </w:tcBorders>
            <w:shd w:val="clear" w:color="auto" w:fill="auto"/>
            <w:noWrap/>
            <w:hideMark/>
          </w:tcPr>
          <w:p w14:paraId="10509FC5" w14:textId="16220BB8" w:rsidR="00AB40BF" w:rsidRPr="002E4977" w:rsidRDefault="00D06FBE" w:rsidP="0046612B">
            <w:pPr>
              <w:spacing w:after="0" w:line="240" w:lineRule="auto"/>
              <w:jc w:val="center"/>
              <w:rPr>
                <w:rFonts w:ascii="Segoe UI" w:eastAsia="Times New Roman" w:hAnsi="Segoe UI" w:cs="Segoe UI"/>
                <w:sz w:val="20"/>
                <w:szCs w:val="20"/>
              </w:rPr>
            </w:pPr>
            <w:r>
              <w:rPr>
                <w:rFonts w:ascii="Segoe UI" w:eastAsia="Times New Roman" w:hAnsi="Segoe UI" w:cs="Segoe UI"/>
                <w:sz w:val="20"/>
                <w:szCs w:val="20"/>
              </w:rPr>
              <w:t>346 000</w:t>
            </w:r>
          </w:p>
        </w:tc>
        <w:tc>
          <w:tcPr>
            <w:tcW w:w="1276" w:type="dxa"/>
            <w:tcBorders>
              <w:top w:val="nil"/>
              <w:left w:val="nil"/>
              <w:bottom w:val="single" w:sz="4" w:space="0" w:color="auto"/>
              <w:right w:val="single" w:sz="4" w:space="0" w:color="auto"/>
            </w:tcBorders>
            <w:shd w:val="clear" w:color="auto" w:fill="auto"/>
            <w:noWrap/>
            <w:hideMark/>
          </w:tcPr>
          <w:p w14:paraId="000E0ABB" w14:textId="33283DFA" w:rsidR="00AB40BF" w:rsidRPr="002E4977" w:rsidRDefault="00AB40BF" w:rsidP="0046612B">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104</w:t>
            </w:r>
            <w:r w:rsidR="00D06FBE">
              <w:rPr>
                <w:rFonts w:ascii="Segoe UI" w:eastAsia="Times New Roman" w:hAnsi="Segoe UI" w:cs="Segoe UI"/>
                <w:sz w:val="20"/>
                <w:szCs w:val="20"/>
              </w:rPr>
              <w:t xml:space="preserve"> </w:t>
            </w:r>
            <w:r w:rsidRPr="002E4977">
              <w:rPr>
                <w:rFonts w:ascii="Segoe UI" w:eastAsia="Times New Roman" w:hAnsi="Segoe UI" w:cs="Segoe UI"/>
                <w:sz w:val="20"/>
                <w:szCs w:val="20"/>
              </w:rPr>
              <w:t>687,2</w:t>
            </w:r>
          </w:p>
        </w:tc>
        <w:tc>
          <w:tcPr>
            <w:tcW w:w="709" w:type="dxa"/>
            <w:tcBorders>
              <w:top w:val="nil"/>
              <w:left w:val="nil"/>
              <w:bottom w:val="single" w:sz="4" w:space="0" w:color="auto"/>
              <w:right w:val="double" w:sz="6" w:space="0" w:color="auto"/>
            </w:tcBorders>
            <w:shd w:val="clear" w:color="auto" w:fill="auto"/>
            <w:noWrap/>
            <w:hideMark/>
          </w:tcPr>
          <w:p w14:paraId="35BE6A52" w14:textId="037DF256" w:rsidR="00AB40BF" w:rsidRPr="002E4977" w:rsidRDefault="00D06FBE" w:rsidP="0046612B">
            <w:pPr>
              <w:spacing w:after="0" w:line="240" w:lineRule="auto"/>
              <w:jc w:val="center"/>
              <w:rPr>
                <w:rFonts w:ascii="Segoe UI" w:eastAsia="Times New Roman" w:hAnsi="Segoe UI" w:cs="Segoe UI"/>
                <w:sz w:val="20"/>
                <w:szCs w:val="20"/>
              </w:rPr>
            </w:pPr>
            <w:r>
              <w:rPr>
                <w:rFonts w:ascii="Segoe UI" w:eastAsia="Times New Roman" w:hAnsi="Segoe UI" w:cs="Segoe UI"/>
                <w:sz w:val="20"/>
                <w:szCs w:val="20"/>
              </w:rPr>
              <w:t>30,3</w:t>
            </w:r>
          </w:p>
        </w:tc>
        <w:tc>
          <w:tcPr>
            <w:tcW w:w="1134" w:type="dxa"/>
            <w:tcBorders>
              <w:top w:val="nil"/>
              <w:left w:val="nil"/>
              <w:bottom w:val="single" w:sz="4" w:space="0" w:color="auto"/>
              <w:right w:val="single" w:sz="4" w:space="0" w:color="auto"/>
            </w:tcBorders>
            <w:shd w:val="clear" w:color="auto" w:fill="auto"/>
            <w:noWrap/>
            <w:hideMark/>
          </w:tcPr>
          <w:p w14:paraId="6501A314" w14:textId="77777777" w:rsidR="00AB40BF" w:rsidRPr="002E4977" w:rsidRDefault="0040578B" w:rsidP="0046612B">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354 628</w:t>
            </w:r>
          </w:p>
        </w:tc>
        <w:tc>
          <w:tcPr>
            <w:tcW w:w="1275" w:type="dxa"/>
            <w:tcBorders>
              <w:top w:val="nil"/>
              <w:left w:val="nil"/>
              <w:bottom w:val="single" w:sz="4" w:space="0" w:color="auto"/>
              <w:right w:val="single" w:sz="4" w:space="0" w:color="auto"/>
            </w:tcBorders>
            <w:shd w:val="clear" w:color="auto" w:fill="auto"/>
            <w:noWrap/>
            <w:hideMark/>
          </w:tcPr>
          <w:p w14:paraId="0ADA3533" w14:textId="77777777" w:rsidR="00AB40BF" w:rsidRPr="002E4977" w:rsidRDefault="0040578B" w:rsidP="0046612B">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94 331,8</w:t>
            </w:r>
          </w:p>
        </w:tc>
        <w:tc>
          <w:tcPr>
            <w:tcW w:w="709" w:type="dxa"/>
            <w:tcBorders>
              <w:top w:val="nil"/>
              <w:left w:val="nil"/>
              <w:bottom w:val="single" w:sz="4" w:space="0" w:color="auto"/>
              <w:right w:val="double" w:sz="6" w:space="0" w:color="auto"/>
            </w:tcBorders>
            <w:shd w:val="clear" w:color="auto" w:fill="auto"/>
            <w:noWrap/>
            <w:hideMark/>
          </w:tcPr>
          <w:p w14:paraId="70378D76" w14:textId="77777777" w:rsidR="00AB40BF" w:rsidRPr="002E4977" w:rsidRDefault="0040578B" w:rsidP="0046612B">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26,6</w:t>
            </w:r>
          </w:p>
        </w:tc>
        <w:tc>
          <w:tcPr>
            <w:tcW w:w="1276" w:type="dxa"/>
            <w:tcBorders>
              <w:top w:val="nil"/>
              <w:left w:val="nil"/>
              <w:bottom w:val="single" w:sz="4" w:space="0" w:color="auto"/>
              <w:right w:val="single" w:sz="4" w:space="0" w:color="auto"/>
            </w:tcBorders>
            <w:shd w:val="clear" w:color="auto" w:fill="auto"/>
            <w:noWrap/>
            <w:hideMark/>
          </w:tcPr>
          <w:p w14:paraId="1E3AE0F4" w14:textId="77777777" w:rsidR="00AB40BF" w:rsidRPr="002E4977" w:rsidRDefault="00AB40BF" w:rsidP="0046612B">
            <w:pPr>
              <w:spacing w:after="0" w:line="240" w:lineRule="auto"/>
              <w:jc w:val="center"/>
              <w:rPr>
                <w:rFonts w:ascii="Segoe UI" w:eastAsia="Times New Roman" w:hAnsi="Segoe UI" w:cs="Segoe UI"/>
                <w:bCs/>
                <w:sz w:val="20"/>
                <w:szCs w:val="20"/>
              </w:rPr>
            </w:pPr>
          </w:p>
          <w:p w14:paraId="53D4B87F" w14:textId="77777777" w:rsidR="00AB40BF" w:rsidRPr="002E4977" w:rsidRDefault="007261F4" w:rsidP="0046612B">
            <w:pPr>
              <w:spacing w:after="0" w:line="240" w:lineRule="auto"/>
              <w:jc w:val="center"/>
              <w:rPr>
                <w:rFonts w:ascii="Segoe UI" w:eastAsia="Times New Roman" w:hAnsi="Segoe UI" w:cs="Segoe UI"/>
                <w:bCs/>
                <w:sz w:val="20"/>
                <w:szCs w:val="20"/>
              </w:rPr>
            </w:pPr>
            <w:r w:rsidRPr="002E4977">
              <w:rPr>
                <w:rFonts w:ascii="Segoe UI" w:eastAsia="Times New Roman" w:hAnsi="Segoe UI" w:cs="Segoe UI"/>
                <w:bCs/>
                <w:sz w:val="20"/>
                <w:szCs w:val="20"/>
              </w:rPr>
              <w:t>-10 355,4</w:t>
            </w:r>
          </w:p>
        </w:tc>
        <w:tc>
          <w:tcPr>
            <w:tcW w:w="993" w:type="dxa"/>
            <w:tcBorders>
              <w:top w:val="nil"/>
              <w:left w:val="nil"/>
              <w:bottom w:val="single" w:sz="4" w:space="0" w:color="auto"/>
              <w:right w:val="single" w:sz="8" w:space="0" w:color="auto"/>
            </w:tcBorders>
            <w:shd w:val="clear" w:color="auto" w:fill="auto"/>
            <w:noWrap/>
            <w:hideMark/>
          </w:tcPr>
          <w:p w14:paraId="22B6C165" w14:textId="77777777" w:rsidR="00AB40BF" w:rsidRPr="002E4977" w:rsidRDefault="007261F4" w:rsidP="0046612B">
            <w:pPr>
              <w:spacing w:after="0" w:line="240" w:lineRule="auto"/>
              <w:jc w:val="center"/>
              <w:rPr>
                <w:rFonts w:ascii="Segoe UI" w:eastAsia="Times New Roman" w:hAnsi="Segoe UI" w:cs="Segoe UI"/>
                <w:bCs/>
                <w:sz w:val="20"/>
                <w:szCs w:val="20"/>
              </w:rPr>
            </w:pPr>
            <w:r w:rsidRPr="002E4977">
              <w:rPr>
                <w:rFonts w:ascii="Segoe UI" w:eastAsia="Times New Roman" w:hAnsi="Segoe UI" w:cs="Segoe UI"/>
                <w:bCs/>
                <w:sz w:val="20"/>
                <w:szCs w:val="20"/>
              </w:rPr>
              <w:t>-</w:t>
            </w:r>
            <w:r w:rsidR="0044404E" w:rsidRPr="002E4977">
              <w:rPr>
                <w:rFonts w:ascii="Segoe UI" w:eastAsia="Times New Roman" w:hAnsi="Segoe UI" w:cs="Segoe UI"/>
                <w:bCs/>
                <w:sz w:val="20"/>
                <w:szCs w:val="20"/>
              </w:rPr>
              <w:t xml:space="preserve">  </w:t>
            </w:r>
            <w:r w:rsidRPr="002E4977">
              <w:rPr>
                <w:rFonts w:ascii="Segoe UI" w:eastAsia="Times New Roman" w:hAnsi="Segoe UI" w:cs="Segoe UI"/>
                <w:bCs/>
                <w:sz w:val="20"/>
                <w:szCs w:val="20"/>
              </w:rPr>
              <w:t>9,9</w:t>
            </w:r>
          </w:p>
        </w:tc>
      </w:tr>
      <w:tr w:rsidR="0090500D" w:rsidRPr="006E396F" w14:paraId="5858F7F0" w14:textId="77777777" w:rsidTr="0090500D">
        <w:trPr>
          <w:trHeight w:val="300"/>
        </w:trPr>
        <w:tc>
          <w:tcPr>
            <w:tcW w:w="1843" w:type="dxa"/>
            <w:tcBorders>
              <w:top w:val="nil"/>
              <w:left w:val="single" w:sz="4" w:space="0" w:color="auto"/>
              <w:bottom w:val="single" w:sz="4" w:space="0" w:color="auto"/>
              <w:right w:val="nil"/>
            </w:tcBorders>
            <w:shd w:val="clear" w:color="auto" w:fill="auto"/>
            <w:noWrap/>
            <w:vAlign w:val="center"/>
            <w:hideMark/>
          </w:tcPr>
          <w:p w14:paraId="475B1757" w14:textId="77777777" w:rsidR="00AB40BF" w:rsidRPr="002E4977" w:rsidRDefault="00AB40BF" w:rsidP="004575AD">
            <w:pPr>
              <w:spacing w:after="0" w:line="240" w:lineRule="auto"/>
              <w:jc w:val="center"/>
              <w:rPr>
                <w:rFonts w:ascii="Segoe UI" w:eastAsia="Times New Roman" w:hAnsi="Segoe UI" w:cs="Segoe UI"/>
                <w:sz w:val="20"/>
                <w:szCs w:val="20"/>
              </w:rPr>
            </w:pPr>
            <w:proofErr w:type="spellStart"/>
            <w:r w:rsidRPr="002E4977">
              <w:rPr>
                <w:rFonts w:ascii="Segoe UI" w:eastAsia="Times New Roman" w:hAnsi="Segoe UI" w:cs="Segoe UI"/>
                <w:sz w:val="20"/>
                <w:szCs w:val="20"/>
              </w:rPr>
              <w:t>Dép</w:t>
            </w:r>
            <w:proofErr w:type="spellEnd"/>
            <w:r w:rsidRPr="002E4977">
              <w:rPr>
                <w:rFonts w:ascii="Segoe UI" w:eastAsia="Times New Roman" w:hAnsi="Segoe UI" w:cs="Segoe UI"/>
                <w:sz w:val="20"/>
                <w:szCs w:val="20"/>
              </w:rPr>
              <w:t xml:space="preserve"> d'acquis de biens et services</w:t>
            </w:r>
          </w:p>
        </w:tc>
        <w:tc>
          <w:tcPr>
            <w:tcW w:w="1134" w:type="dxa"/>
            <w:tcBorders>
              <w:top w:val="nil"/>
              <w:left w:val="double" w:sz="6" w:space="0" w:color="auto"/>
              <w:bottom w:val="single" w:sz="4" w:space="0" w:color="auto"/>
              <w:right w:val="single" w:sz="4" w:space="0" w:color="auto"/>
            </w:tcBorders>
            <w:shd w:val="clear" w:color="auto" w:fill="auto"/>
            <w:noWrap/>
            <w:hideMark/>
          </w:tcPr>
          <w:p w14:paraId="0C9B318F" w14:textId="20BCDE1E" w:rsidR="00AB40BF" w:rsidRPr="002E4977" w:rsidRDefault="00D06FBE" w:rsidP="0046612B">
            <w:pPr>
              <w:spacing w:after="0" w:line="240" w:lineRule="auto"/>
              <w:jc w:val="center"/>
              <w:rPr>
                <w:rFonts w:ascii="Segoe UI" w:eastAsia="Times New Roman" w:hAnsi="Segoe UI" w:cs="Segoe UI"/>
                <w:sz w:val="20"/>
                <w:szCs w:val="20"/>
              </w:rPr>
            </w:pPr>
            <w:r>
              <w:rPr>
                <w:rFonts w:ascii="Segoe UI" w:eastAsia="Times New Roman" w:hAnsi="Segoe UI" w:cs="Segoe UI"/>
                <w:sz w:val="20"/>
                <w:szCs w:val="20"/>
              </w:rPr>
              <w:t>99 005</w:t>
            </w:r>
          </w:p>
        </w:tc>
        <w:tc>
          <w:tcPr>
            <w:tcW w:w="1276" w:type="dxa"/>
            <w:tcBorders>
              <w:top w:val="nil"/>
              <w:left w:val="nil"/>
              <w:bottom w:val="single" w:sz="4" w:space="0" w:color="auto"/>
              <w:right w:val="single" w:sz="4" w:space="0" w:color="auto"/>
            </w:tcBorders>
            <w:shd w:val="clear" w:color="auto" w:fill="auto"/>
            <w:noWrap/>
            <w:hideMark/>
          </w:tcPr>
          <w:p w14:paraId="38C90355" w14:textId="77777777" w:rsidR="00AB40BF" w:rsidRPr="002E4977" w:rsidRDefault="0090500D" w:rsidP="0090500D">
            <w:pPr>
              <w:spacing w:after="0" w:line="240" w:lineRule="auto"/>
              <w:rPr>
                <w:rFonts w:ascii="Segoe UI" w:eastAsia="Times New Roman" w:hAnsi="Segoe UI" w:cs="Segoe UI"/>
                <w:sz w:val="20"/>
                <w:szCs w:val="20"/>
              </w:rPr>
            </w:pPr>
            <w:r w:rsidRPr="002E4977">
              <w:rPr>
                <w:rFonts w:ascii="Segoe UI" w:eastAsia="Times New Roman" w:hAnsi="Segoe UI" w:cs="Segoe UI"/>
                <w:sz w:val="20"/>
                <w:szCs w:val="20"/>
              </w:rPr>
              <w:t xml:space="preserve">48 </w:t>
            </w:r>
            <w:r w:rsidR="00AB40BF" w:rsidRPr="002E4977">
              <w:rPr>
                <w:rFonts w:ascii="Segoe UI" w:eastAsia="Times New Roman" w:hAnsi="Segoe UI" w:cs="Segoe UI"/>
                <w:sz w:val="20"/>
                <w:szCs w:val="20"/>
              </w:rPr>
              <w:t>961,1</w:t>
            </w:r>
          </w:p>
        </w:tc>
        <w:tc>
          <w:tcPr>
            <w:tcW w:w="709" w:type="dxa"/>
            <w:tcBorders>
              <w:top w:val="nil"/>
              <w:left w:val="nil"/>
              <w:bottom w:val="single" w:sz="4" w:space="0" w:color="auto"/>
              <w:right w:val="double" w:sz="6" w:space="0" w:color="auto"/>
            </w:tcBorders>
            <w:shd w:val="clear" w:color="auto" w:fill="auto"/>
            <w:noWrap/>
            <w:hideMark/>
          </w:tcPr>
          <w:p w14:paraId="12919931" w14:textId="48CD94CF" w:rsidR="00AB40BF" w:rsidRPr="002E4977" w:rsidRDefault="00D06FBE" w:rsidP="0046612B">
            <w:pPr>
              <w:spacing w:after="0" w:line="240" w:lineRule="auto"/>
              <w:jc w:val="center"/>
              <w:rPr>
                <w:rFonts w:ascii="Segoe UI" w:eastAsia="Times New Roman" w:hAnsi="Segoe UI" w:cs="Segoe UI"/>
                <w:sz w:val="20"/>
                <w:szCs w:val="20"/>
              </w:rPr>
            </w:pPr>
            <w:r>
              <w:rPr>
                <w:rFonts w:ascii="Segoe UI" w:eastAsia="Times New Roman" w:hAnsi="Segoe UI" w:cs="Segoe UI"/>
                <w:sz w:val="20"/>
                <w:szCs w:val="20"/>
              </w:rPr>
              <w:t>49,5</w:t>
            </w:r>
          </w:p>
        </w:tc>
        <w:tc>
          <w:tcPr>
            <w:tcW w:w="1134" w:type="dxa"/>
            <w:tcBorders>
              <w:top w:val="nil"/>
              <w:left w:val="nil"/>
              <w:bottom w:val="single" w:sz="4" w:space="0" w:color="auto"/>
              <w:right w:val="single" w:sz="4" w:space="0" w:color="auto"/>
            </w:tcBorders>
            <w:shd w:val="clear" w:color="auto" w:fill="auto"/>
            <w:noWrap/>
            <w:hideMark/>
          </w:tcPr>
          <w:p w14:paraId="76AEA0F3" w14:textId="77777777" w:rsidR="00AB40BF" w:rsidRPr="002E4977" w:rsidRDefault="0040578B" w:rsidP="0046612B">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102 597</w:t>
            </w:r>
          </w:p>
        </w:tc>
        <w:tc>
          <w:tcPr>
            <w:tcW w:w="1275" w:type="dxa"/>
            <w:tcBorders>
              <w:top w:val="nil"/>
              <w:left w:val="nil"/>
              <w:bottom w:val="single" w:sz="4" w:space="0" w:color="auto"/>
              <w:right w:val="single" w:sz="4" w:space="0" w:color="auto"/>
            </w:tcBorders>
            <w:shd w:val="clear" w:color="auto" w:fill="auto"/>
            <w:noWrap/>
            <w:hideMark/>
          </w:tcPr>
          <w:p w14:paraId="2461744E" w14:textId="77777777" w:rsidR="00AB40BF" w:rsidRPr="002E4977" w:rsidRDefault="0040578B" w:rsidP="0046612B">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23 085,2</w:t>
            </w:r>
          </w:p>
        </w:tc>
        <w:tc>
          <w:tcPr>
            <w:tcW w:w="709" w:type="dxa"/>
            <w:tcBorders>
              <w:top w:val="nil"/>
              <w:left w:val="nil"/>
              <w:bottom w:val="single" w:sz="4" w:space="0" w:color="auto"/>
              <w:right w:val="double" w:sz="6" w:space="0" w:color="auto"/>
            </w:tcBorders>
            <w:shd w:val="clear" w:color="auto" w:fill="auto"/>
            <w:noWrap/>
            <w:hideMark/>
          </w:tcPr>
          <w:p w14:paraId="49B788B6" w14:textId="77777777" w:rsidR="00AB40BF" w:rsidRPr="002E4977" w:rsidRDefault="0040578B" w:rsidP="0046612B">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22,5</w:t>
            </w:r>
          </w:p>
        </w:tc>
        <w:tc>
          <w:tcPr>
            <w:tcW w:w="1276" w:type="dxa"/>
            <w:tcBorders>
              <w:top w:val="nil"/>
              <w:left w:val="nil"/>
              <w:bottom w:val="single" w:sz="4" w:space="0" w:color="auto"/>
              <w:right w:val="single" w:sz="4" w:space="0" w:color="auto"/>
            </w:tcBorders>
            <w:shd w:val="clear" w:color="auto" w:fill="auto"/>
            <w:noWrap/>
            <w:hideMark/>
          </w:tcPr>
          <w:p w14:paraId="210486AF" w14:textId="77777777" w:rsidR="00AB40BF" w:rsidRPr="002E4977" w:rsidRDefault="00F33C77" w:rsidP="0046612B">
            <w:pPr>
              <w:spacing w:after="0" w:line="240" w:lineRule="auto"/>
              <w:jc w:val="center"/>
              <w:rPr>
                <w:rFonts w:ascii="Segoe UI" w:eastAsia="Times New Roman" w:hAnsi="Segoe UI" w:cs="Segoe UI"/>
                <w:bCs/>
                <w:sz w:val="20"/>
                <w:szCs w:val="20"/>
              </w:rPr>
            </w:pPr>
            <w:r w:rsidRPr="002E4977">
              <w:rPr>
                <w:rFonts w:ascii="Segoe UI" w:eastAsia="Times New Roman" w:hAnsi="Segoe UI" w:cs="Segoe UI"/>
                <w:bCs/>
                <w:sz w:val="20"/>
                <w:szCs w:val="20"/>
              </w:rPr>
              <w:t>-25 875,9</w:t>
            </w:r>
          </w:p>
        </w:tc>
        <w:tc>
          <w:tcPr>
            <w:tcW w:w="993" w:type="dxa"/>
            <w:tcBorders>
              <w:top w:val="nil"/>
              <w:left w:val="nil"/>
              <w:bottom w:val="single" w:sz="4" w:space="0" w:color="auto"/>
              <w:right w:val="single" w:sz="8" w:space="0" w:color="auto"/>
            </w:tcBorders>
            <w:shd w:val="clear" w:color="auto" w:fill="auto"/>
            <w:noWrap/>
            <w:hideMark/>
          </w:tcPr>
          <w:p w14:paraId="45AFB5E0" w14:textId="77777777" w:rsidR="00AB40BF" w:rsidRPr="002E4977" w:rsidRDefault="00AB40BF" w:rsidP="0046612B">
            <w:pPr>
              <w:spacing w:after="0" w:line="240" w:lineRule="auto"/>
              <w:jc w:val="center"/>
              <w:rPr>
                <w:rFonts w:ascii="Segoe UI" w:eastAsia="Times New Roman" w:hAnsi="Segoe UI" w:cs="Segoe UI"/>
                <w:bCs/>
                <w:sz w:val="20"/>
                <w:szCs w:val="20"/>
              </w:rPr>
            </w:pPr>
          </w:p>
          <w:p w14:paraId="00E1251A" w14:textId="77777777" w:rsidR="00AB40BF" w:rsidRPr="002E4977" w:rsidRDefault="00AB40BF" w:rsidP="0046612B">
            <w:pPr>
              <w:spacing w:after="0" w:line="240" w:lineRule="auto"/>
              <w:jc w:val="center"/>
              <w:rPr>
                <w:rFonts w:ascii="Segoe UI" w:eastAsia="Times New Roman" w:hAnsi="Segoe UI" w:cs="Segoe UI"/>
                <w:bCs/>
                <w:sz w:val="20"/>
                <w:szCs w:val="20"/>
              </w:rPr>
            </w:pPr>
            <w:r w:rsidRPr="002E4977">
              <w:rPr>
                <w:rFonts w:ascii="Segoe UI" w:eastAsia="Times New Roman" w:hAnsi="Segoe UI" w:cs="Segoe UI"/>
                <w:bCs/>
                <w:sz w:val="20"/>
                <w:szCs w:val="20"/>
              </w:rPr>
              <w:t>-</w:t>
            </w:r>
            <w:r w:rsidR="0044404E" w:rsidRPr="002E4977">
              <w:rPr>
                <w:rFonts w:ascii="Segoe UI" w:eastAsia="Times New Roman" w:hAnsi="Segoe UI" w:cs="Segoe UI"/>
                <w:bCs/>
                <w:sz w:val="20"/>
                <w:szCs w:val="20"/>
              </w:rPr>
              <w:t xml:space="preserve"> </w:t>
            </w:r>
            <w:r w:rsidR="00F33C77" w:rsidRPr="002E4977">
              <w:rPr>
                <w:rFonts w:ascii="Segoe UI" w:eastAsia="Times New Roman" w:hAnsi="Segoe UI" w:cs="Segoe UI"/>
                <w:bCs/>
                <w:sz w:val="20"/>
                <w:szCs w:val="20"/>
              </w:rPr>
              <w:t>52,</w:t>
            </w:r>
            <w:r w:rsidR="00744418" w:rsidRPr="002E4977">
              <w:rPr>
                <w:rFonts w:ascii="Segoe UI" w:eastAsia="Times New Roman" w:hAnsi="Segoe UI" w:cs="Segoe UI"/>
                <w:bCs/>
                <w:sz w:val="20"/>
                <w:szCs w:val="20"/>
              </w:rPr>
              <w:t>8</w:t>
            </w:r>
          </w:p>
        </w:tc>
      </w:tr>
      <w:tr w:rsidR="0090500D" w:rsidRPr="006E396F" w14:paraId="735BB01D" w14:textId="77777777" w:rsidTr="0090500D">
        <w:trPr>
          <w:trHeight w:val="300"/>
        </w:trPr>
        <w:tc>
          <w:tcPr>
            <w:tcW w:w="1843" w:type="dxa"/>
            <w:tcBorders>
              <w:top w:val="nil"/>
              <w:left w:val="single" w:sz="4" w:space="0" w:color="auto"/>
              <w:bottom w:val="single" w:sz="4" w:space="0" w:color="auto"/>
              <w:right w:val="nil"/>
            </w:tcBorders>
            <w:shd w:val="clear" w:color="auto" w:fill="auto"/>
            <w:noWrap/>
            <w:vAlign w:val="center"/>
            <w:hideMark/>
          </w:tcPr>
          <w:p w14:paraId="682C9372" w14:textId="77777777" w:rsidR="00AB40BF" w:rsidRPr="002E4977" w:rsidRDefault="00AB40BF" w:rsidP="004575AD">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Dépenses de Transferts</w:t>
            </w:r>
          </w:p>
        </w:tc>
        <w:tc>
          <w:tcPr>
            <w:tcW w:w="1134" w:type="dxa"/>
            <w:tcBorders>
              <w:top w:val="nil"/>
              <w:left w:val="double" w:sz="6" w:space="0" w:color="auto"/>
              <w:bottom w:val="single" w:sz="4" w:space="0" w:color="auto"/>
              <w:right w:val="single" w:sz="4" w:space="0" w:color="auto"/>
            </w:tcBorders>
            <w:shd w:val="clear" w:color="auto" w:fill="auto"/>
            <w:noWrap/>
            <w:hideMark/>
          </w:tcPr>
          <w:p w14:paraId="112158E1" w14:textId="2F4F2D1C" w:rsidR="00AB40BF" w:rsidRPr="002E4977" w:rsidRDefault="00D06FBE" w:rsidP="00D06FBE">
            <w:pPr>
              <w:spacing w:after="0" w:line="240" w:lineRule="auto"/>
              <w:jc w:val="center"/>
              <w:rPr>
                <w:rFonts w:ascii="Segoe UI" w:eastAsia="Times New Roman" w:hAnsi="Segoe UI" w:cs="Segoe UI"/>
                <w:sz w:val="20"/>
                <w:szCs w:val="20"/>
              </w:rPr>
            </w:pPr>
            <w:r>
              <w:rPr>
                <w:rFonts w:ascii="Segoe UI" w:eastAsia="Times New Roman" w:hAnsi="Segoe UI" w:cs="Segoe UI"/>
                <w:sz w:val="20"/>
                <w:szCs w:val="20"/>
              </w:rPr>
              <w:t>218 713</w:t>
            </w:r>
          </w:p>
        </w:tc>
        <w:tc>
          <w:tcPr>
            <w:tcW w:w="1276" w:type="dxa"/>
            <w:tcBorders>
              <w:top w:val="nil"/>
              <w:left w:val="nil"/>
              <w:bottom w:val="single" w:sz="4" w:space="0" w:color="auto"/>
              <w:right w:val="single" w:sz="4" w:space="0" w:color="auto"/>
            </w:tcBorders>
            <w:shd w:val="clear" w:color="auto" w:fill="auto"/>
            <w:noWrap/>
            <w:hideMark/>
          </w:tcPr>
          <w:p w14:paraId="475B68C2" w14:textId="0B826A8F" w:rsidR="00AB40BF" w:rsidRPr="002E4977" w:rsidRDefault="00AB40BF" w:rsidP="0046612B">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103</w:t>
            </w:r>
            <w:r w:rsidR="00D06FBE">
              <w:rPr>
                <w:rFonts w:ascii="Segoe UI" w:eastAsia="Times New Roman" w:hAnsi="Segoe UI" w:cs="Segoe UI"/>
                <w:sz w:val="20"/>
                <w:szCs w:val="20"/>
              </w:rPr>
              <w:t xml:space="preserve"> </w:t>
            </w:r>
            <w:r w:rsidRPr="002E4977">
              <w:rPr>
                <w:rFonts w:ascii="Segoe UI" w:eastAsia="Times New Roman" w:hAnsi="Segoe UI" w:cs="Segoe UI"/>
                <w:sz w:val="20"/>
                <w:szCs w:val="20"/>
              </w:rPr>
              <w:t>589,</w:t>
            </w:r>
            <w:r w:rsidR="00D87ACB" w:rsidRPr="002E4977">
              <w:rPr>
                <w:rFonts w:ascii="Segoe UI" w:eastAsia="Times New Roman" w:hAnsi="Segoe UI" w:cs="Segoe UI"/>
                <w:sz w:val="20"/>
                <w:szCs w:val="20"/>
              </w:rPr>
              <w:t>6</w:t>
            </w:r>
          </w:p>
        </w:tc>
        <w:tc>
          <w:tcPr>
            <w:tcW w:w="709" w:type="dxa"/>
            <w:tcBorders>
              <w:top w:val="nil"/>
              <w:left w:val="nil"/>
              <w:bottom w:val="single" w:sz="4" w:space="0" w:color="auto"/>
              <w:right w:val="double" w:sz="6" w:space="0" w:color="auto"/>
            </w:tcBorders>
            <w:shd w:val="clear" w:color="auto" w:fill="auto"/>
            <w:noWrap/>
            <w:hideMark/>
          </w:tcPr>
          <w:p w14:paraId="18CEBD16" w14:textId="7060AF23" w:rsidR="00AB40BF" w:rsidRPr="002E4977" w:rsidRDefault="00D06FBE" w:rsidP="0046612B">
            <w:pPr>
              <w:spacing w:after="0" w:line="240" w:lineRule="auto"/>
              <w:jc w:val="center"/>
              <w:rPr>
                <w:rFonts w:ascii="Segoe UI" w:eastAsia="Times New Roman" w:hAnsi="Segoe UI" w:cs="Segoe UI"/>
                <w:sz w:val="20"/>
                <w:szCs w:val="20"/>
              </w:rPr>
            </w:pPr>
            <w:r>
              <w:rPr>
                <w:rFonts w:ascii="Segoe UI" w:eastAsia="Times New Roman" w:hAnsi="Segoe UI" w:cs="Segoe UI"/>
                <w:sz w:val="20"/>
                <w:szCs w:val="20"/>
              </w:rPr>
              <w:t>47,4</w:t>
            </w:r>
          </w:p>
        </w:tc>
        <w:tc>
          <w:tcPr>
            <w:tcW w:w="1134" w:type="dxa"/>
            <w:tcBorders>
              <w:top w:val="nil"/>
              <w:left w:val="nil"/>
              <w:bottom w:val="single" w:sz="4" w:space="0" w:color="auto"/>
              <w:right w:val="single" w:sz="4" w:space="0" w:color="auto"/>
            </w:tcBorders>
            <w:shd w:val="clear" w:color="auto" w:fill="auto"/>
            <w:noWrap/>
            <w:hideMark/>
          </w:tcPr>
          <w:p w14:paraId="4E38A9F7" w14:textId="77777777" w:rsidR="00AB40BF" w:rsidRPr="002E4977" w:rsidRDefault="0040578B" w:rsidP="0046612B">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200 200</w:t>
            </w:r>
          </w:p>
        </w:tc>
        <w:tc>
          <w:tcPr>
            <w:tcW w:w="1275" w:type="dxa"/>
            <w:tcBorders>
              <w:top w:val="nil"/>
              <w:left w:val="nil"/>
              <w:bottom w:val="single" w:sz="4" w:space="0" w:color="auto"/>
              <w:right w:val="single" w:sz="4" w:space="0" w:color="auto"/>
            </w:tcBorders>
            <w:shd w:val="clear" w:color="auto" w:fill="auto"/>
            <w:noWrap/>
            <w:hideMark/>
          </w:tcPr>
          <w:p w14:paraId="6EDD52AD" w14:textId="7D026495" w:rsidR="00AB40BF" w:rsidRPr="002E4977" w:rsidRDefault="009952CB" w:rsidP="009952CB">
            <w:pPr>
              <w:spacing w:after="0" w:line="240" w:lineRule="auto"/>
              <w:jc w:val="center"/>
              <w:rPr>
                <w:rFonts w:ascii="Segoe UI" w:eastAsia="Times New Roman" w:hAnsi="Segoe UI" w:cs="Segoe UI"/>
                <w:sz w:val="20"/>
                <w:szCs w:val="20"/>
              </w:rPr>
            </w:pPr>
            <w:r>
              <w:rPr>
                <w:rFonts w:ascii="Segoe UI" w:eastAsia="Times New Roman" w:hAnsi="Segoe UI" w:cs="Segoe UI"/>
                <w:sz w:val="20"/>
                <w:szCs w:val="20"/>
              </w:rPr>
              <w:t>33 087,6</w:t>
            </w:r>
          </w:p>
        </w:tc>
        <w:tc>
          <w:tcPr>
            <w:tcW w:w="709" w:type="dxa"/>
            <w:tcBorders>
              <w:top w:val="nil"/>
              <w:left w:val="nil"/>
              <w:bottom w:val="single" w:sz="4" w:space="0" w:color="auto"/>
              <w:right w:val="double" w:sz="6" w:space="0" w:color="auto"/>
            </w:tcBorders>
            <w:shd w:val="clear" w:color="auto" w:fill="auto"/>
            <w:noWrap/>
            <w:hideMark/>
          </w:tcPr>
          <w:p w14:paraId="3BB9B0E8" w14:textId="0FC17615" w:rsidR="00AB40BF" w:rsidRPr="002E4977" w:rsidRDefault="0040578B" w:rsidP="009952CB">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16</w:t>
            </w:r>
            <w:r w:rsidR="009952CB">
              <w:rPr>
                <w:rFonts w:ascii="Segoe UI" w:eastAsia="Times New Roman" w:hAnsi="Segoe UI" w:cs="Segoe UI"/>
                <w:sz w:val="20"/>
                <w:szCs w:val="20"/>
              </w:rPr>
              <w:t>,5</w:t>
            </w:r>
          </w:p>
        </w:tc>
        <w:tc>
          <w:tcPr>
            <w:tcW w:w="1276" w:type="dxa"/>
            <w:tcBorders>
              <w:top w:val="nil"/>
              <w:left w:val="nil"/>
              <w:bottom w:val="single" w:sz="4" w:space="0" w:color="auto"/>
              <w:right w:val="single" w:sz="4" w:space="0" w:color="auto"/>
            </w:tcBorders>
            <w:shd w:val="clear" w:color="auto" w:fill="auto"/>
            <w:noWrap/>
            <w:hideMark/>
          </w:tcPr>
          <w:p w14:paraId="5DC48A13" w14:textId="0A5B2B52" w:rsidR="00AB40BF" w:rsidRPr="002E4977" w:rsidRDefault="0044404E" w:rsidP="009952CB">
            <w:pPr>
              <w:spacing w:after="0" w:line="240" w:lineRule="auto"/>
              <w:jc w:val="center"/>
              <w:rPr>
                <w:rFonts w:ascii="Segoe UI" w:eastAsia="Times New Roman" w:hAnsi="Segoe UI" w:cs="Segoe UI"/>
                <w:bCs/>
                <w:sz w:val="20"/>
                <w:szCs w:val="20"/>
              </w:rPr>
            </w:pPr>
            <w:r w:rsidRPr="002E4977">
              <w:rPr>
                <w:rFonts w:ascii="Segoe UI" w:eastAsia="Times New Roman" w:hAnsi="Segoe UI" w:cs="Segoe UI"/>
                <w:bCs/>
                <w:sz w:val="20"/>
                <w:szCs w:val="20"/>
              </w:rPr>
              <w:t>-</w:t>
            </w:r>
            <w:r w:rsidR="009952CB">
              <w:rPr>
                <w:rFonts w:ascii="Segoe UI" w:eastAsia="Times New Roman" w:hAnsi="Segoe UI" w:cs="Segoe UI"/>
                <w:bCs/>
                <w:sz w:val="20"/>
                <w:szCs w:val="20"/>
              </w:rPr>
              <w:t>70</w:t>
            </w:r>
            <w:r w:rsidRPr="002E4977">
              <w:rPr>
                <w:rFonts w:ascii="Segoe UI" w:eastAsia="Times New Roman" w:hAnsi="Segoe UI" w:cs="Segoe UI"/>
                <w:bCs/>
                <w:sz w:val="20"/>
                <w:szCs w:val="20"/>
              </w:rPr>
              <w:t> </w:t>
            </w:r>
            <w:r w:rsidR="009952CB">
              <w:rPr>
                <w:rFonts w:ascii="Segoe UI" w:eastAsia="Times New Roman" w:hAnsi="Segoe UI" w:cs="Segoe UI"/>
                <w:bCs/>
                <w:sz w:val="20"/>
                <w:szCs w:val="20"/>
              </w:rPr>
              <w:t>502</w:t>
            </w:r>
            <w:r w:rsidRPr="002E4977">
              <w:rPr>
                <w:rFonts w:ascii="Segoe UI" w:eastAsia="Times New Roman" w:hAnsi="Segoe UI" w:cs="Segoe UI"/>
                <w:bCs/>
                <w:sz w:val="20"/>
                <w:szCs w:val="20"/>
              </w:rPr>
              <w:t>,</w:t>
            </w:r>
            <w:r w:rsidR="009952CB">
              <w:rPr>
                <w:rFonts w:ascii="Segoe UI" w:eastAsia="Times New Roman" w:hAnsi="Segoe UI" w:cs="Segoe UI"/>
                <w:bCs/>
                <w:sz w:val="20"/>
                <w:szCs w:val="20"/>
              </w:rPr>
              <w:t>0</w:t>
            </w:r>
          </w:p>
        </w:tc>
        <w:tc>
          <w:tcPr>
            <w:tcW w:w="993" w:type="dxa"/>
            <w:tcBorders>
              <w:top w:val="nil"/>
              <w:left w:val="nil"/>
              <w:bottom w:val="single" w:sz="4" w:space="0" w:color="auto"/>
              <w:right w:val="single" w:sz="8" w:space="0" w:color="auto"/>
            </w:tcBorders>
            <w:shd w:val="clear" w:color="auto" w:fill="auto"/>
            <w:noWrap/>
            <w:hideMark/>
          </w:tcPr>
          <w:p w14:paraId="57F1D3EB" w14:textId="5BBBD0AB" w:rsidR="00AB40BF" w:rsidRPr="002E4977" w:rsidRDefault="0044404E" w:rsidP="009952CB">
            <w:pPr>
              <w:spacing w:after="0" w:line="240" w:lineRule="auto"/>
              <w:jc w:val="center"/>
              <w:rPr>
                <w:rFonts w:ascii="Segoe UI" w:eastAsia="Times New Roman" w:hAnsi="Segoe UI" w:cs="Segoe UI"/>
                <w:bCs/>
                <w:sz w:val="20"/>
                <w:szCs w:val="20"/>
              </w:rPr>
            </w:pPr>
            <w:r w:rsidRPr="002E4977">
              <w:rPr>
                <w:rFonts w:ascii="Segoe UI" w:eastAsia="Times New Roman" w:hAnsi="Segoe UI" w:cs="Segoe UI"/>
                <w:bCs/>
                <w:sz w:val="20"/>
                <w:szCs w:val="20"/>
              </w:rPr>
              <w:t>-  6</w:t>
            </w:r>
            <w:r w:rsidR="009952CB">
              <w:rPr>
                <w:rFonts w:ascii="Segoe UI" w:eastAsia="Times New Roman" w:hAnsi="Segoe UI" w:cs="Segoe UI"/>
                <w:bCs/>
                <w:sz w:val="20"/>
                <w:szCs w:val="20"/>
              </w:rPr>
              <w:t>8</w:t>
            </w:r>
            <w:r w:rsidRPr="002E4977">
              <w:rPr>
                <w:rFonts w:ascii="Segoe UI" w:eastAsia="Times New Roman" w:hAnsi="Segoe UI" w:cs="Segoe UI"/>
                <w:bCs/>
                <w:sz w:val="20"/>
                <w:szCs w:val="20"/>
              </w:rPr>
              <w:t>,</w:t>
            </w:r>
            <w:r w:rsidR="009952CB">
              <w:rPr>
                <w:rFonts w:ascii="Segoe UI" w:eastAsia="Times New Roman" w:hAnsi="Segoe UI" w:cs="Segoe UI"/>
                <w:bCs/>
                <w:sz w:val="20"/>
                <w:szCs w:val="20"/>
              </w:rPr>
              <w:t>1</w:t>
            </w:r>
          </w:p>
        </w:tc>
      </w:tr>
      <w:tr w:rsidR="0090500D" w:rsidRPr="006E396F" w14:paraId="5E3D59EA" w14:textId="77777777" w:rsidTr="0090500D">
        <w:trPr>
          <w:trHeight w:val="330"/>
        </w:trPr>
        <w:tc>
          <w:tcPr>
            <w:tcW w:w="1843" w:type="dxa"/>
            <w:tcBorders>
              <w:top w:val="single" w:sz="8" w:space="0" w:color="auto"/>
              <w:left w:val="single" w:sz="8" w:space="0" w:color="auto"/>
              <w:bottom w:val="single" w:sz="8" w:space="0" w:color="auto"/>
              <w:right w:val="nil"/>
            </w:tcBorders>
            <w:shd w:val="clear" w:color="auto" w:fill="auto"/>
            <w:noWrap/>
            <w:vAlign w:val="center"/>
            <w:hideMark/>
          </w:tcPr>
          <w:p w14:paraId="1F804F42" w14:textId="77777777" w:rsidR="00AB40BF" w:rsidRPr="002E4977" w:rsidRDefault="00AB40BF" w:rsidP="004575AD">
            <w:pPr>
              <w:spacing w:after="0" w:line="240" w:lineRule="auto"/>
              <w:jc w:val="center"/>
              <w:rPr>
                <w:rFonts w:ascii="Segoe UI" w:eastAsia="Times New Roman" w:hAnsi="Segoe UI" w:cs="Segoe UI"/>
                <w:sz w:val="20"/>
                <w:szCs w:val="20"/>
              </w:rPr>
            </w:pPr>
            <w:r w:rsidRPr="002E4977">
              <w:rPr>
                <w:rFonts w:ascii="Segoe UI" w:eastAsia="Times New Roman" w:hAnsi="Segoe UI" w:cs="Segoe UI"/>
                <w:b/>
                <w:bCs/>
                <w:sz w:val="20"/>
                <w:szCs w:val="20"/>
              </w:rPr>
              <w:t>TOTAL</w:t>
            </w:r>
          </w:p>
        </w:tc>
        <w:tc>
          <w:tcPr>
            <w:tcW w:w="1134" w:type="dxa"/>
            <w:tcBorders>
              <w:top w:val="nil"/>
              <w:left w:val="double" w:sz="6" w:space="0" w:color="auto"/>
              <w:bottom w:val="single" w:sz="8" w:space="0" w:color="auto"/>
              <w:right w:val="single" w:sz="4" w:space="0" w:color="auto"/>
            </w:tcBorders>
            <w:shd w:val="clear" w:color="auto" w:fill="auto"/>
            <w:noWrap/>
            <w:hideMark/>
          </w:tcPr>
          <w:p w14:paraId="186D613C" w14:textId="0CBCB4C1" w:rsidR="00AB40BF" w:rsidRPr="002E4977" w:rsidRDefault="00D06FBE" w:rsidP="0046612B">
            <w:pPr>
              <w:spacing w:after="0" w:line="240" w:lineRule="auto"/>
              <w:jc w:val="center"/>
              <w:rPr>
                <w:rFonts w:ascii="Segoe UI" w:eastAsia="Times New Roman" w:hAnsi="Segoe UI" w:cs="Segoe UI"/>
                <w:b/>
                <w:bCs/>
                <w:sz w:val="20"/>
                <w:szCs w:val="20"/>
              </w:rPr>
            </w:pPr>
            <w:r>
              <w:rPr>
                <w:rFonts w:ascii="Segoe UI" w:eastAsia="Times New Roman" w:hAnsi="Segoe UI" w:cs="Segoe UI"/>
                <w:b/>
                <w:bCs/>
                <w:sz w:val="20"/>
                <w:szCs w:val="20"/>
              </w:rPr>
              <w:t>745 718</w:t>
            </w:r>
          </w:p>
        </w:tc>
        <w:tc>
          <w:tcPr>
            <w:tcW w:w="1276" w:type="dxa"/>
            <w:tcBorders>
              <w:top w:val="single" w:sz="8" w:space="0" w:color="auto"/>
              <w:left w:val="nil"/>
              <w:bottom w:val="single" w:sz="8" w:space="0" w:color="auto"/>
              <w:right w:val="single" w:sz="4" w:space="0" w:color="auto"/>
            </w:tcBorders>
            <w:shd w:val="clear" w:color="auto" w:fill="auto"/>
            <w:noWrap/>
            <w:hideMark/>
          </w:tcPr>
          <w:p w14:paraId="3737EE80" w14:textId="77777777" w:rsidR="00AB40BF" w:rsidRPr="002E4977" w:rsidRDefault="00AB40BF" w:rsidP="0046612B">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270 884,</w:t>
            </w:r>
            <w:r w:rsidR="00D87ACB" w:rsidRPr="002E4977">
              <w:rPr>
                <w:rFonts w:ascii="Segoe UI" w:eastAsia="Times New Roman" w:hAnsi="Segoe UI" w:cs="Segoe UI"/>
                <w:b/>
                <w:bCs/>
                <w:sz w:val="20"/>
                <w:szCs w:val="20"/>
              </w:rPr>
              <w:t>8</w:t>
            </w:r>
          </w:p>
        </w:tc>
        <w:tc>
          <w:tcPr>
            <w:tcW w:w="709" w:type="dxa"/>
            <w:tcBorders>
              <w:top w:val="single" w:sz="8" w:space="0" w:color="auto"/>
              <w:left w:val="nil"/>
              <w:bottom w:val="single" w:sz="8" w:space="0" w:color="auto"/>
              <w:right w:val="double" w:sz="6" w:space="0" w:color="auto"/>
            </w:tcBorders>
            <w:shd w:val="clear" w:color="auto" w:fill="auto"/>
            <w:hideMark/>
          </w:tcPr>
          <w:p w14:paraId="77C564B6" w14:textId="436DEF17" w:rsidR="00AB40BF" w:rsidRPr="002E4977" w:rsidRDefault="00D06FBE" w:rsidP="0046612B">
            <w:pPr>
              <w:spacing w:after="0" w:line="240" w:lineRule="auto"/>
              <w:jc w:val="center"/>
              <w:rPr>
                <w:rFonts w:ascii="Segoe UI" w:eastAsia="Times New Roman" w:hAnsi="Segoe UI" w:cs="Segoe UI"/>
                <w:b/>
                <w:bCs/>
                <w:sz w:val="20"/>
                <w:szCs w:val="20"/>
              </w:rPr>
            </w:pPr>
            <w:r>
              <w:rPr>
                <w:rFonts w:ascii="Segoe UI" w:eastAsia="Times New Roman" w:hAnsi="Segoe UI" w:cs="Segoe UI"/>
                <w:b/>
                <w:bCs/>
                <w:sz w:val="20"/>
                <w:szCs w:val="20"/>
              </w:rPr>
              <w:t>36,3</w:t>
            </w:r>
          </w:p>
        </w:tc>
        <w:tc>
          <w:tcPr>
            <w:tcW w:w="1134" w:type="dxa"/>
            <w:tcBorders>
              <w:top w:val="nil"/>
              <w:left w:val="nil"/>
              <w:bottom w:val="single" w:sz="8" w:space="0" w:color="auto"/>
              <w:right w:val="single" w:sz="4" w:space="0" w:color="auto"/>
            </w:tcBorders>
            <w:shd w:val="clear" w:color="auto" w:fill="auto"/>
            <w:noWrap/>
            <w:hideMark/>
          </w:tcPr>
          <w:p w14:paraId="6AB58D81" w14:textId="77777777" w:rsidR="00AB40BF" w:rsidRPr="002E4977" w:rsidRDefault="00973736" w:rsidP="0046612B">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761 125</w:t>
            </w:r>
          </w:p>
        </w:tc>
        <w:tc>
          <w:tcPr>
            <w:tcW w:w="1275" w:type="dxa"/>
            <w:tcBorders>
              <w:top w:val="single" w:sz="8" w:space="0" w:color="auto"/>
              <w:left w:val="nil"/>
              <w:bottom w:val="single" w:sz="8" w:space="0" w:color="auto"/>
              <w:right w:val="single" w:sz="4" w:space="0" w:color="auto"/>
            </w:tcBorders>
            <w:shd w:val="clear" w:color="auto" w:fill="auto"/>
            <w:noWrap/>
            <w:hideMark/>
          </w:tcPr>
          <w:p w14:paraId="52028393" w14:textId="796E776F" w:rsidR="00AB40BF" w:rsidRPr="002E4977" w:rsidRDefault="009952CB" w:rsidP="009952CB">
            <w:pPr>
              <w:spacing w:after="0" w:line="240" w:lineRule="auto"/>
              <w:rPr>
                <w:rFonts w:ascii="Segoe UI" w:eastAsia="Times New Roman" w:hAnsi="Segoe UI" w:cs="Segoe UI"/>
                <w:b/>
                <w:bCs/>
                <w:sz w:val="20"/>
                <w:szCs w:val="20"/>
              </w:rPr>
            </w:pPr>
            <w:r>
              <w:rPr>
                <w:rFonts w:ascii="Segoe UI" w:eastAsia="Times New Roman" w:hAnsi="Segoe UI" w:cs="Segoe UI"/>
                <w:b/>
                <w:bCs/>
                <w:sz w:val="20"/>
                <w:szCs w:val="20"/>
              </w:rPr>
              <w:t>168 836</w:t>
            </w:r>
            <w:r w:rsidR="00973736" w:rsidRPr="002E4977">
              <w:rPr>
                <w:rFonts w:ascii="Segoe UI" w:eastAsia="Times New Roman" w:hAnsi="Segoe UI" w:cs="Segoe UI"/>
                <w:b/>
                <w:bCs/>
                <w:sz w:val="20"/>
                <w:szCs w:val="20"/>
              </w:rPr>
              <w:t>,</w:t>
            </w:r>
            <w:r>
              <w:rPr>
                <w:rFonts w:ascii="Segoe UI" w:eastAsia="Times New Roman" w:hAnsi="Segoe UI" w:cs="Segoe UI"/>
                <w:b/>
                <w:bCs/>
                <w:sz w:val="20"/>
                <w:szCs w:val="20"/>
              </w:rPr>
              <w:t>8</w:t>
            </w:r>
          </w:p>
        </w:tc>
        <w:tc>
          <w:tcPr>
            <w:tcW w:w="709" w:type="dxa"/>
            <w:tcBorders>
              <w:top w:val="single" w:sz="8" w:space="0" w:color="auto"/>
              <w:left w:val="nil"/>
              <w:bottom w:val="single" w:sz="8" w:space="0" w:color="auto"/>
              <w:right w:val="double" w:sz="6" w:space="0" w:color="auto"/>
            </w:tcBorders>
            <w:shd w:val="clear" w:color="auto" w:fill="auto"/>
            <w:hideMark/>
          </w:tcPr>
          <w:p w14:paraId="457E85F4" w14:textId="2A8E2D57" w:rsidR="00AB40BF" w:rsidRPr="002E4977" w:rsidRDefault="00973736" w:rsidP="009952CB">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2</w:t>
            </w:r>
            <w:r w:rsidR="009952CB">
              <w:rPr>
                <w:rFonts w:ascii="Segoe UI" w:eastAsia="Times New Roman" w:hAnsi="Segoe UI" w:cs="Segoe UI"/>
                <w:b/>
                <w:bCs/>
                <w:sz w:val="20"/>
                <w:szCs w:val="20"/>
              </w:rPr>
              <w:t>2</w:t>
            </w:r>
            <w:r w:rsidRPr="002E4977">
              <w:rPr>
                <w:rFonts w:ascii="Segoe UI" w:eastAsia="Times New Roman" w:hAnsi="Segoe UI" w:cs="Segoe UI"/>
                <w:b/>
                <w:bCs/>
                <w:sz w:val="20"/>
                <w:szCs w:val="20"/>
              </w:rPr>
              <w:t>,</w:t>
            </w:r>
            <w:r w:rsidR="009952CB">
              <w:rPr>
                <w:rFonts w:ascii="Segoe UI" w:eastAsia="Times New Roman" w:hAnsi="Segoe UI" w:cs="Segoe UI"/>
                <w:b/>
                <w:bCs/>
                <w:sz w:val="20"/>
                <w:szCs w:val="20"/>
              </w:rPr>
              <w:t>2</w:t>
            </w:r>
          </w:p>
        </w:tc>
        <w:tc>
          <w:tcPr>
            <w:tcW w:w="1276" w:type="dxa"/>
            <w:tcBorders>
              <w:top w:val="single" w:sz="8" w:space="0" w:color="auto"/>
              <w:left w:val="nil"/>
              <w:bottom w:val="single" w:sz="8" w:space="0" w:color="auto"/>
              <w:right w:val="nil"/>
            </w:tcBorders>
            <w:shd w:val="clear" w:color="auto" w:fill="auto"/>
            <w:noWrap/>
            <w:hideMark/>
          </w:tcPr>
          <w:p w14:paraId="21E5BC88" w14:textId="657248E1" w:rsidR="00AB40BF" w:rsidRPr="002E4977" w:rsidRDefault="0090500D" w:rsidP="009952CB">
            <w:pPr>
              <w:spacing w:after="0" w:line="240" w:lineRule="auto"/>
              <w:rPr>
                <w:rFonts w:ascii="Segoe UI" w:eastAsia="Times New Roman" w:hAnsi="Segoe UI" w:cs="Segoe UI"/>
                <w:b/>
                <w:bCs/>
                <w:sz w:val="20"/>
                <w:szCs w:val="20"/>
              </w:rPr>
            </w:pPr>
            <w:r w:rsidRPr="002E4977">
              <w:rPr>
                <w:rFonts w:ascii="Segoe UI" w:eastAsia="Times New Roman" w:hAnsi="Segoe UI" w:cs="Segoe UI"/>
                <w:b/>
                <w:bCs/>
                <w:sz w:val="20"/>
                <w:szCs w:val="20"/>
              </w:rPr>
              <w:t>-10</w:t>
            </w:r>
            <w:r w:rsidR="009952CB">
              <w:rPr>
                <w:rFonts w:ascii="Segoe UI" w:eastAsia="Times New Roman" w:hAnsi="Segoe UI" w:cs="Segoe UI"/>
                <w:b/>
                <w:bCs/>
                <w:sz w:val="20"/>
                <w:szCs w:val="20"/>
              </w:rPr>
              <w:t>2 048</w:t>
            </w:r>
            <w:r w:rsidR="0044404E" w:rsidRPr="002E4977">
              <w:rPr>
                <w:rFonts w:ascii="Segoe UI" w:eastAsia="Times New Roman" w:hAnsi="Segoe UI" w:cs="Segoe UI"/>
                <w:b/>
                <w:bCs/>
                <w:sz w:val="20"/>
                <w:szCs w:val="20"/>
              </w:rPr>
              <w:t>,</w:t>
            </w:r>
            <w:r w:rsidR="009952CB">
              <w:rPr>
                <w:rFonts w:ascii="Segoe UI" w:eastAsia="Times New Roman" w:hAnsi="Segoe UI" w:cs="Segoe UI"/>
                <w:b/>
                <w:bCs/>
                <w:sz w:val="20"/>
                <w:szCs w:val="20"/>
              </w:rPr>
              <w:t>0</w:t>
            </w:r>
          </w:p>
        </w:tc>
        <w:tc>
          <w:tcPr>
            <w:tcW w:w="993" w:type="dxa"/>
            <w:tcBorders>
              <w:top w:val="single" w:sz="8" w:space="0" w:color="auto"/>
              <w:left w:val="single" w:sz="4" w:space="0" w:color="auto"/>
              <w:bottom w:val="single" w:sz="8" w:space="0" w:color="auto"/>
              <w:right w:val="single" w:sz="8" w:space="0" w:color="auto"/>
            </w:tcBorders>
            <w:shd w:val="clear" w:color="auto" w:fill="auto"/>
            <w:noWrap/>
            <w:hideMark/>
          </w:tcPr>
          <w:p w14:paraId="057E6D8C" w14:textId="65800992" w:rsidR="00AB40BF" w:rsidRPr="002E4977" w:rsidRDefault="0044404E" w:rsidP="009952CB">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- 3</w:t>
            </w:r>
            <w:r w:rsidR="009952CB">
              <w:rPr>
                <w:rFonts w:ascii="Segoe UI" w:eastAsia="Times New Roman" w:hAnsi="Segoe UI" w:cs="Segoe UI"/>
                <w:b/>
                <w:bCs/>
                <w:sz w:val="20"/>
                <w:szCs w:val="20"/>
              </w:rPr>
              <w:t>7</w:t>
            </w:r>
            <w:r w:rsidRPr="002E4977">
              <w:rPr>
                <w:rFonts w:ascii="Segoe UI" w:eastAsia="Times New Roman" w:hAnsi="Segoe UI" w:cs="Segoe UI"/>
                <w:b/>
                <w:bCs/>
                <w:sz w:val="20"/>
                <w:szCs w:val="20"/>
              </w:rPr>
              <w:t>,</w:t>
            </w:r>
            <w:r w:rsidR="009952CB">
              <w:rPr>
                <w:rFonts w:ascii="Segoe UI" w:eastAsia="Times New Roman" w:hAnsi="Segoe UI" w:cs="Segoe UI"/>
                <w:b/>
                <w:bCs/>
                <w:sz w:val="20"/>
                <w:szCs w:val="20"/>
              </w:rPr>
              <w:t>7</w:t>
            </w:r>
          </w:p>
        </w:tc>
      </w:tr>
    </w:tbl>
    <w:bookmarkEnd w:id="24"/>
    <w:p w14:paraId="72AF5FD7" w14:textId="7BFC2065" w:rsidR="002F15C3" w:rsidRPr="002E4977" w:rsidRDefault="00510A64" w:rsidP="000C178C">
      <w:pPr>
        <w:rPr>
          <w:rFonts w:ascii="Segoe UI" w:hAnsi="Segoe UI" w:cs="Segoe UI"/>
          <w:sz w:val="20"/>
          <w:szCs w:val="24"/>
        </w:rPr>
      </w:pPr>
      <w:r w:rsidRPr="002E4977">
        <w:rPr>
          <w:rFonts w:ascii="Segoe UI" w:hAnsi="Segoe UI" w:cs="Segoe UI"/>
          <w:b/>
          <w:sz w:val="20"/>
          <w:szCs w:val="24"/>
          <w:u w:val="single"/>
        </w:rPr>
        <w:t>Source</w:t>
      </w:r>
      <w:r w:rsidRPr="002E4977">
        <w:rPr>
          <w:rFonts w:ascii="Segoe UI" w:hAnsi="Segoe UI" w:cs="Segoe UI"/>
          <w:sz w:val="20"/>
          <w:szCs w:val="24"/>
        </w:rPr>
        <w:t>: MEF/DGB/</w:t>
      </w:r>
      <w:proofErr w:type="spellStart"/>
      <w:r w:rsidRPr="002E4977">
        <w:rPr>
          <w:rFonts w:ascii="Segoe UI" w:hAnsi="Segoe UI" w:cs="Segoe UI"/>
          <w:sz w:val="20"/>
          <w:szCs w:val="24"/>
        </w:rPr>
        <w:t>SIGFiP</w:t>
      </w:r>
      <w:proofErr w:type="spellEnd"/>
      <w:r w:rsidRPr="002E4977">
        <w:rPr>
          <w:rFonts w:ascii="Segoe UI" w:hAnsi="Segoe UI" w:cs="Segoe UI"/>
          <w:sz w:val="20"/>
          <w:szCs w:val="24"/>
        </w:rPr>
        <w:t xml:space="preserve">, </w:t>
      </w:r>
      <w:r w:rsidR="00E1193B" w:rsidRPr="002E4977">
        <w:rPr>
          <w:rFonts w:ascii="Segoe UI" w:hAnsi="Segoe UI" w:cs="Segoe UI"/>
          <w:sz w:val="20"/>
          <w:szCs w:val="24"/>
        </w:rPr>
        <w:t xml:space="preserve">avril </w:t>
      </w:r>
      <w:r w:rsidR="00756386" w:rsidRPr="002E4977">
        <w:rPr>
          <w:rFonts w:ascii="Segoe UI" w:hAnsi="Segoe UI" w:cs="Segoe UI"/>
          <w:sz w:val="20"/>
          <w:szCs w:val="24"/>
        </w:rPr>
        <w:t>201</w:t>
      </w:r>
      <w:r w:rsidR="005C53A7" w:rsidRPr="002E4977">
        <w:rPr>
          <w:rFonts w:ascii="Segoe UI" w:hAnsi="Segoe UI" w:cs="Segoe UI"/>
          <w:sz w:val="20"/>
          <w:szCs w:val="24"/>
        </w:rPr>
        <w:t>7</w:t>
      </w:r>
      <w:r w:rsidR="009952CB">
        <w:rPr>
          <w:rFonts w:ascii="Segoe UI" w:hAnsi="Segoe UI" w:cs="Segoe UI"/>
          <w:sz w:val="20"/>
          <w:szCs w:val="24"/>
        </w:rPr>
        <w:t>.</w:t>
      </w:r>
    </w:p>
    <w:p w14:paraId="4CFCA248" w14:textId="77777777" w:rsidR="00F411BB" w:rsidRPr="00F411BB" w:rsidRDefault="00F411BB" w:rsidP="000C178C">
      <w:pPr>
        <w:rPr>
          <w:rFonts w:ascii="Segoe UI" w:hAnsi="Segoe UI" w:cs="Segoe UI"/>
          <w:b/>
          <w:sz w:val="2"/>
          <w:szCs w:val="24"/>
        </w:rPr>
      </w:pPr>
    </w:p>
    <w:p w14:paraId="12EA82A5" w14:textId="77777777" w:rsidR="006316FD" w:rsidRPr="001541CB" w:rsidRDefault="00A67184" w:rsidP="000C178C">
      <w:pPr>
        <w:rPr>
          <w:rFonts w:ascii="Segoe UI" w:hAnsi="Segoe UI" w:cs="Segoe UI"/>
          <w:b/>
          <w:sz w:val="24"/>
          <w:szCs w:val="24"/>
        </w:rPr>
      </w:pPr>
      <w:r w:rsidRPr="001541CB">
        <w:rPr>
          <w:rFonts w:ascii="Segoe UI" w:hAnsi="Segoe UI" w:cs="Segoe UI"/>
          <w:b/>
          <w:sz w:val="24"/>
          <w:szCs w:val="24"/>
        </w:rPr>
        <w:t>B-</w:t>
      </w:r>
      <w:r w:rsidR="00BD1603" w:rsidRPr="001541CB">
        <w:rPr>
          <w:rFonts w:ascii="Segoe UI" w:hAnsi="Segoe UI" w:cs="Segoe UI"/>
          <w:b/>
          <w:sz w:val="24"/>
          <w:szCs w:val="24"/>
        </w:rPr>
        <w:t>1-</w:t>
      </w:r>
      <w:r w:rsidRPr="001541CB">
        <w:rPr>
          <w:rFonts w:ascii="Segoe UI" w:hAnsi="Segoe UI" w:cs="Segoe UI"/>
          <w:b/>
          <w:sz w:val="24"/>
          <w:szCs w:val="24"/>
        </w:rPr>
        <w:t>2 Dépenses en capital</w:t>
      </w:r>
    </w:p>
    <w:p w14:paraId="4D6066F0" w14:textId="5517FF7C" w:rsidR="006622ED" w:rsidRPr="001541CB" w:rsidRDefault="00064A04" w:rsidP="008A3C84">
      <w:pPr>
        <w:tabs>
          <w:tab w:val="left" w:pos="426"/>
        </w:tabs>
        <w:spacing w:after="120" w:line="360" w:lineRule="auto"/>
        <w:jc w:val="both"/>
        <w:rPr>
          <w:rFonts w:ascii="Segoe UI" w:hAnsi="Segoe UI" w:cs="Segoe UI"/>
          <w:sz w:val="24"/>
          <w:szCs w:val="24"/>
        </w:rPr>
      </w:pPr>
      <w:r w:rsidRPr="001541CB">
        <w:rPr>
          <w:rFonts w:ascii="Segoe UI" w:hAnsi="Segoe UI" w:cs="Segoe UI"/>
          <w:sz w:val="24"/>
          <w:szCs w:val="24"/>
        </w:rPr>
        <w:t>Sur une prévision</w:t>
      </w:r>
      <w:r w:rsidR="00DB6241" w:rsidRPr="001541CB">
        <w:rPr>
          <w:rFonts w:ascii="Segoe UI" w:hAnsi="Segoe UI" w:cs="Segoe UI"/>
          <w:sz w:val="24"/>
          <w:szCs w:val="24"/>
        </w:rPr>
        <w:t xml:space="preserve"> </w:t>
      </w:r>
      <w:r w:rsidRPr="001541CB">
        <w:rPr>
          <w:rFonts w:ascii="Segoe UI" w:hAnsi="Segoe UI" w:cs="Segoe UI"/>
          <w:sz w:val="24"/>
          <w:szCs w:val="24"/>
        </w:rPr>
        <w:t xml:space="preserve">de </w:t>
      </w:r>
      <w:r w:rsidR="00A6161C" w:rsidRPr="001541CB">
        <w:rPr>
          <w:rFonts w:ascii="Segoe UI" w:hAnsi="Segoe UI" w:cs="Segoe UI"/>
          <w:sz w:val="24"/>
          <w:szCs w:val="24"/>
        </w:rPr>
        <w:t>808 317</w:t>
      </w:r>
      <w:r w:rsidRPr="001541CB">
        <w:rPr>
          <w:rFonts w:ascii="Segoe UI" w:hAnsi="Segoe UI" w:cs="Segoe UI"/>
          <w:sz w:val="24"/>
          <w:szCs w:val="24"/>
        </w:rPr>
        <w:t xml:space="preserve"> millions de FCFA</w:t>
      </w:r>
      <w:r w:rsidR="003A3FB7" w:rsidRPr="001541CB">
        <w:rPr>
          <w:rFonts w:ascii="Segoe UI" w:hAnsi="Segoe UI" w:cs="Segoe UI"/>
          <w:sz w:val="24"/>
          <w:szCs w:val="24"/>
        </w:rPr>
        <w:t xml:space="preserve">, </w:t>
      </w:r>
      <w:r w:rsidR="00A6161C" w:rsidRPr="001541CB">
        <w:rPr>
          <w:rFonts w:ascii="Segoe UI" w:hAnsi="Segoe UI" w:cs="Segoe UI"/>
          <w:sz w:val="24"/>
          <w:szCs w:val="24"/>
        </w:rPr>
        <w:t>85 148,6</w:t>
      </w:r>
      <w:r w:rsidR="00C878B3" w:rsidRPr="001541CB">
        <w:rPr>
          <w:rFonts w:ascii="Segoe UI" w:hAnsi="Segoe UI" w:cs="Segoe UI"/>
          <w:sz w:val="24"/>
          <w:szCs w:val="24"/>
        </w:rPr>
        <w:t xml:space="preserve"> </w:t>
      </w:r>
      <w:r w:rsidR="003A3FB7" w:rsidRPr="001541CB">
        <w:rPr>
          <w:rFonts w:ascii="Segoe UI" w:hAnsi="Segoe UI" w:cs="Segoe UI"/>
          <w:sz w:val="24"/>
          <w:szCs w:val="24"/>
        </w:rPr>
        <w:t>millions de FCFA</w:t>
      </w:r>
      <w:r w:rsidR="00C878B3" w:rsidRPr="001541CB">
        <w:rPr>
          <w:rFonts w:ascii="Segoe UI" w:hAnsi="Segoe UI" w:cs="Segoe UI"/>
          <w:sz w:val="24"/>
          <w:szCs w:val="24"/>
        </w:rPr>
        <w:t xml:space="preserve"> </w:t>
      </w:r>
      <w:r w:rsidR="00B74C93" w:rsidRPr="001541CB">
        <w:rPr>
          <w:rFonts w:ascii="Segoe UI" w:hAnsi="Segoe UI" w:cs="Segoe UI"/>
          <w:sz w:val="24"/>
          <w:szCs w:val="24"/>
        </w:rPr>
        <w:t>ont</w:t>
      </w:r>
      <w:r w:rsidRPr="001541CB">
        <w:rPr>
          <w:rFonts w:ascii="Segoe UI" w:hAnsi="Segoe UI" w:cs="Segoe UI"/>
          <w:sz w:val="24"/>
          <w:szCs w:val="24"/>
        </w:rPr>
        <w:t xml:space="preserve"> été</w:t>
      </w:r>
      <w:r w:rsidR="00B74C93" w:rsidRPr="001541CB">
        <w:rPr>
          <w:rFonts w:ascii="Segoe UI" w:hAnsi="Segoe UI" w:cs="Segoe UI"/>
          <w:sz w:val="24"/>
          <w:szCs w:val="24"/>
        </w:rPr>
        <w:t xml:space="preserve"> engagées</w:t>
      </w:r>
      <w:r w:rsidR="00C878B3" w:rsidRPr="001541CB">
        <w:rPr>
          <w:rFonts w:ascii="Segoe UI" w:hAnsi="Segoe UI" w:cs="Segoe UI"/>
          <w:sz w:val="24"/>
          <w:szCs w:val="24"/>
        </w:rPr>
        <w:t xml:space="preserve"> </w:t>
      </w:r>
      <w:r w:rsidR="003327B0" w:rsidRPr="001541CB">
        <w:rPr>
          <w:rFonts w:ascii="Segoe UI" w:hAnsi="Segoe UI" w:cs="Segoe UI"/>
          <w:sz w:val="24"/>
          <w:szCs w:val="24"/>
        </w:rPr>
        <w:t>au titre des dépenses en capital</w:t>
      </w:r>
      <w:r w:rsidR="00DB6241" w:rsidRPr="001541CB">
        <w:rPr>
          <w:rFonts w:ascii="Segoe UI" w:hAnsi="Segoe UI" w:cs="Segoe UI"/>
          <w:sz w:val="24"/>
          <w:szCs w:val="24"/>
        </w:rPr>
        <w:t xml:space="preserve"> </w:t>
      </w:r>
      <w:r w:rsidR="009A78B3" w:rsidRPr="001541CB">
        <w:rPr>
          <w:rFonts w:ascii="Segoe UI" w:hAnsi="Segoe UI" w:cs="Segoe UI"/>
          <w:sz w:val="24"/>
          <w:szCs w:val="24"/>
        </w:rPr>
        <w:t>à fin mars 201</w:t>
      </w:r>
      <w:r w:rsidR="00A6161C" w:rsidRPr="001541CB">
        <w:rPr>
          <w:rFonts w:ascii="Segoe UI" w:hAnsi="Segoe UI" w:cs="Segoe UI"/>
          <w:sz w:val="24"/>
          <w:szCs w:val="24"/>
        </w:rPr>
        <w:t>7</w:t>
      </w:r>
      <w:r w:rsidR="005703C9">
        <w:rPr>
          <w:rFonts w:ascii="Segoe UI" w:hAnsi="Segoe UI" w:cs="Segoe UI"/>
          <w:sz w:val="24"/>
          <w:szCs w:val="24"/>
        </w:rPr>
        <w:t>,</w:t>
      </w:r>
      <w:r w:rsidR="009968DD" w:rsidRPr="001541CB">
        <w:rPr>
          <w:rFonts w:ascii="Segoe UI" w:hAnsi="Segoe UI" w:cs="Segoe UI"/>
          <w:sz w:val="24"/>
          <w:szCs w:val="24"/>
        </w:rPr>
        <w:t xml:space="preserve"> </w:t>
      </w:r>
      <w:r w:rsidR="00DD085C" w:rsidRPr="001541CB">
        <w:rPr>
          <w:rFonts w:ascii="Segoe UI" w:hAnsi="Segoe UI" w:cs="Segoe UI"/>
          <w:sz w:val="24"/>
          <w:szCs w:val="24"/>
        </w:rPr>
        <w:t xml:space="preserve">soit </w:t>
      </w:r>
      <w:r w:rsidR="003A3FB7" w:rsidRPr="001541CB">
        <w:rPr>
          <w:rFonts w:ascii="Segoe UI" w:hAnsi="Segoe UI" w:cs="Segoe UI"/>
          <w:sz w:val="24"/>
          <w:szCs w:val="24"/>
        </w:rPr>
        <w:t xml:space="preserve">pour un taux </w:t>
      </w:r>
      <w:r w:rsidR="00DD085C" w:rsidRPr="001541CB">
        <w:rPr>
          <w:rFonts w:ascii="Segoe UI" w:hAnsi="Segoe UI" w:cs="Segoe UI"/>
          <w:sz w:val="24"/>
          <w:szCs w:val="24"/>
        </w:rPr>
        <w:t>de</w:t>
      </w:r>
      <w:r w:rsidR="00C878B3" w:rsidRPr="001541CB">
        <w:rPr>
          <w:rFonts w:ascii="Segoe UI" w:hAnsi="Segoe UI" w:cs="Segoe UI"/>
          <w:sz w:val="24"/>
          <w:szCs w:val="24"/>
        </w:rPr>
        <w:t xml:space="preserve"> </w:t>
      </w:r>
      <w:r w:rsidR="00A6161C" w:rsidRPr="001541CB">
        <w:rPr>
          <w:rFonts w:ascii="Segoe UI" w:hAnsi="Segoe UI" w:cs="Segoe UI"/>
          <w:sz w:val="24"/>
          <w:szCs w:val="24"/>
        </w:rPr>
        <w:t>10,5</w:t>
      </w:r>
      <w:r w:rsidR="003A3FB7" w:rsidRPr="001541CB">
        <w:rPr>
          <w:rFonts w:ascii="Segoe UI" w:hAnsi="Segoe UI" w:cs="Segoe UI"/>
          <w:sz w:val="24"/>
          <w:szCs w:val="24"/>
        </w:rPr>
        <w:t>%.</w:t>
      </w:r>
      <w:r w:rsidR="009A78B3" w:rsidRPr="001541CB">
        <w:rPr>
          <w:rFonts w:ascii="Segoe UI" w:hAnsi="Segoe UI" w:cs="Segoe UI"/>
          <w:sz w:val="24"/>
          <w:szCs w:val="24"/>
        </w:rPr>
        <w:t xml:space="preserve"> Pour la même période</w:t>
      </w:r>
      <w:r w:rsidR="00DB6241" w:rsidRPr="001541CB">
        <w:rPr>
          <w:rFonts w:ascii="Segoe UI" w:hAnsi="Segoe UI" w:cs="Segoe UI"/>
          <w:sz w:val="24"/>
          <w:szCs w:val="24"/>
        </w:rPr>
        <w:t xml:space="preserve"> </w:t>
      </w:r>
      <w:r w:rsidR="009A78B3" w:rsidRPr="001541CB">
        <w:rPr>
          <w:rFonts w:ascii="Segoe UI" w:hAnsi="Segoe UI" w:cs="Segoe UI"/>
          <w:sz w:val="24"/>
          <w:szCs w:val="24"/>
        </w:rPr>
        <w:t>e</w:t>
      </w:r>
      <w:r w:rsidR="003A3FB7" w:rsidRPr="001541CB">
        <w:rPr>
          <w:rFonts w:ascii="Segoe UI" w:hAnsi="Segoe UI" w:cs="Segoe UI"/>
          <w:sz w:val="24"/>
          <w:szCs w:val="24"/>
        </w:rPr>
        <w:t xml:space="preserve">n </w:t>
      </w:r>
      <w:r w:rsidR="005D34A4" w:rsidRPr="001541CB">
        <w:rPr>
          <w:rFonts w:ascii="Segoe UI" w:hAnsi="Segoe UI" w:cs="Segoe UI"/>
          <w:sz w:val="24"/>
          <w:szCs w:val="24"/>
        </w:rPr>
        <w:t>201</w:t>
      </w:r>
      <w:r w:rsidR="00A6161C" w:rsidRPr="001541CB">
        <w:rPr>
          <w:rFonts w:ascii="Segoe UI" w:hAnsi="Segoe UI" w:cs="Segoe UI"/>
          <w:sz w:val="24"/>
          <w:szCs w:val="24"/>
        </w:rPr>
        <w:t>6</w:t>
      </w:r>
      <w:r w:rsidR="005D34A4" w:rsidRPr="001541CB">
        <w:rPr>
          <w:rFonts w:ascii="Segoe UI" w:hAnsi="Segoe UI" w:cs="Segoe UI"/>
          <w:sz w:val="24"/>
          <w:szCs w:val="24"/>
        </w:rPr>
        <w:t xml:space="preserve">, </w:t>
      </w:r>
      <w:r w:rsidRPr="001541CB">
        <w:rPr>
          <w:rFonts w:ascii="Segoe UI" w:hAnsi="Segoe UI" w:cs="Segoe UI"/>
          <w:sz w:val="24"/>
          <w:szCs w:val="24"/>
        </w:rPr>
        <w:t xml:space="preserve">les dépenses en capital </w:t>
      </w:r>
      <w:r w:rsidR="00B74C93" w:rsidRPr="001541CB">
        <w:rPr>
          <w:rFonts w:ascii="Segoe UI" w:hAnsi="Segoe UI" w:cs="Segoe UI"/>
          <w:sz w:val="24"/>
          <w:szCs w:val="24"/>
        </w:rPr>
        <w:t xml:space="preserve">ont été engagées à hauteur de </w:t>
      </w:r>
      <w:r w:rsidR="00A6161C" w:rsidRPr="001541CB">
        <w:rPr>
          <w:rFonts w:ascii="Segoe UI" w:hAnsi="Segoe UI" w:cs="Segoe UI"/>
          <w:sz w:val="24"/>
          <w:szCs w:val="24"/>
        </w:rPr>
        <w:t>77 051,1</w:t>
      </w:r>
      <w:r w:rsidR="00B74C93" w:rsidRPr="001541CB">
        <w:rPr>
          <w:rFonts w:ascii="Segoe UI" w:hAnsi="Segoe UI" w:cs="Segoe UI"/>
          <w:sz w:val="24"/>
          <w:szCs w:val="24"/>
        </w:rPr>
        <w:t xml:space="preserve"> millions de FCFA sur une prévision annuelle de </w:t>
      </w:r>
      <w:r w:rsidR="006F4A7D">
        <w:rPr>
          <w:rFonts w:ascii="Segoe UI" w:hAnsi="Segoe UI" w:cs="Segoe UI"/>
          <w:sz w:val="24"/>
          <w:szCs w:val="24"/>
        </w:rPr>
        <w:t>280 914</w:t>
      </w:r>
      <w:r w:rsidR="00B74C93" w:rsidRPr="001541CB">
        <w:rPr>
          <w:rFonts w:ascii="Segoe UI" w:hAnsi="Segoe UI" w:cs="Segoe UI"/>
          <w:sz w:val="24"/>
          <w:szCs w:val="24"/>
        </w:rPr>
        <w:t xml:space="preserve"> millions de FCFA</w:t>
      </w:r>
      <w:r w:rsidRPr="001541CB">
        <w:rPr>
          <w:rFonts w:ascii="Segoe UI" w:hAnsi="Segoe UI" w:cs="Segoe UI"/>
          <w:sz w:val="24"/>
          <w:szCs w:val="24"/>
        </w:rPr>
        <w:t xml:space="preserve"> correspond</w:t>
      </w:r>
      <w:r w:rsidR="003A3FB7" w:rsidRPr="001541CB">
        <w:rPr>
          <w:rFonts w:ascii="Segoe UI" w:hAnsi="Segoe UI" w:cs="Segoe UI"/>
          <w:sz w:val="24"/>
          <w:szCs w:val="24"/>
        </w:rPr>
        <w:t>ant</w:t>
      </w:r>
      <w:r w:rsidRPr="001541CB">
        <w:rPr>
          <w:rFonts w:ascii="Segoe UI" w:hAnsi="Segoe UI" w:cs="Segoe UI"/>
          <w:sz w:val="24"/>
          <w:szCs w:val="24"/>
        </w:rPr>
        <w:t xml:space="preserve"> à</w:t>
      </w:r>
      <w:r w:rsidR="003A3FB7" w:rsidRPr="001541CB">
        <w:rPr>
          <w:rFonts w:ascii="Segoe UI" w:hAnsi="Segoe UI" w:cs="Segoe UI"/>
          <w:sz w:val="24"/>
          <w:szCs w:val="24"/>
        </w:rPr>
        <w:t xml:space="preserve"> un taux d’engagement de </w:t>
      </w:r>
      <w:r w:rsidR="006F4A7D">
        <w:rPr>
          <w:rFonts w:ascii="Segoe UI" w:hAnsi="Segoe UI" w:cs="Segoe UI"/>
          <w:sz w:val="24"/>
          <w:szCs w:val="24"/>
        </w:rPr>
        <w:t>27,4</w:t>
      </w:r>
      <w:r w:rsidR="003A3FB7" w:rsidRPr="001541CB">
        <w:rPr>
          <w:rFonts w:ascii="Segoe UI" w:hAnsi="Segoe UI" w:cs="Segoe UI"/>
          <w:sz w:val="24"/>
          <w:szCs w:val="24"/>
        </w:rPr>
        <w:t>%</w:t>
      </w:r>
      <w:r w:rsidR="00B74C93" w:rsidRPr="001541CB">
        <w:rPr>
          <w:rFonts w:ascii="Segoe UI" w:hAnsi="Segoe UI" w:cs="Segoe UI"/>
          <w:sz w:val="24"/>
          <w:szCs w:val="24"/>
        </w:rPr>
        <w:t>. L</w:t>
      </w:r>
      <w:r w:rsidR="003A3FB7" w:rsidRPr="001541CB">
        <w:rPr>
          <w:rFonts w:ascii="Segoe UI" w:hAnsi="Segoe UI" w:cs="Segoe UI"/>
          <w:sz w:val="24"/>
          <w:szCs w:val="24"/>
        </w:rPr>
        <w:t>e rapprochement de</w:t>
      </w:r>
      <w:r w:rsidR="00DD085C" w:rsidRPr="001541CB">
        <w:rPr>
          <w:rFonts w:ascii="Segoe UI" w:hAnsi="Segoe UI" w:cs="Segoe UI"/>
          <w:sz w:val="24"/>
          <w:szCs w:val="24"/>
        </w:rPr>
        <w:t>s niveaux d</w:t>
      </w:r>
      <w:r w:rsidR="005B63B8" w:rsidRPr="001541CB">
        <w:rPr>
          <w:rFonts w:ascii="Segoe UI" w:hAnsi="Segoe UI" w:cs="Segoe UI"/>
          <w:sz w:val="24"/>
          <w:szCs w:val="24"/>
        </w:rPr>
        <w:t>’e</w:t>
      </w:r>
      <w:r w:rsidR="00DD085C" w:rsidRPr="001541CB">
        <w:rPr>
          <w:rFonts w:ascii="Segoe UI" w:hAnsi="Segoe UI" w:cs="Segoe UI"/>
          <w:sz w:val="24"/>
          <w:szCs w:val="24"/>
        </w:rPr>
        <w:t>ngagement</w:t>
      </w:r>
      <w:r w:rsidR="007006F0" w:rsidRPr="001541CB">
        <w:rPr>
          <w:rFonts w:ascii="Segoe UI" w:hAnsi="Segoe UI" w:cs="Segoe UI"/>
          <w:sz w:val="24"/>
          <w:szCs w:val="24"/>
        </w:rPr>
        <w:t xml:space="preserve"> </w:t>
      </w:r>
      <w:r w:rsidR="003A3FB7" w:rsidRPr="001541CB">
        <w:rPr>
          <w:rFonts w:ascii="Segoe UI" w:hAnsi="Segoe UI" w:cs="Segoe UI"/>
          <w:sz w:val="24"/>
          <w:szCs w:val="24"/>
        </w:rPr>
        <w:t xml:space="preserve">des dépenses en capital au </w:t>
      </w:r>
      <w:r w:rsidR="009A78B3" w:rsidRPr="001541CB">
        <w:rPr>
          <w:rFonts w:ascii="Segoe UI" w:hAnsi="Segoe UI" w:cs="Segoe UI"/>
          <w:sz w:val="24"/>
          <w:szCs w:val="24"/>
        </w:rPr>
        <w:t>premier trimestre</w:t>
      </w:r>
      <w:r w:rsidR="00DB6241" w:rsidRPr="001541CB">
        <w:rPr>
          <w:rFonts w:ascii="Segoe UI" w:hAnsi="Segoe UI" w:cs="Segoe UI"/>
          <w:sz w:val="24"/>
          <w:szCs w:val="24"/>
        </w:rPr>
        <w:t xml:space="preserve"> </w:t>
      </w:r>
      <w:r w:rsidR="005D4A19" w:rsidRPr="001541CB">
        <w:rPr>
          <w:rFonts w:ascii="Segoe UI" w:hAnsi="Segoe UI" w:cs="Segoe UI"/>
          <w:sz w:val="24"/>
          <w:szCs w:val="24"/>
        </w:rPr>
        <w:t>201</w:t>
      </w:r>
      <w:r w:rsidR="00A6161C" w:rsidRPr="001541CB">
        <w:rPr>
          <w:rFonts w:ascii="Segoe UI" w:hAnsi="Segoe UI" w:cs="Segoe UI"/>
          <w:sz w:val="24"/>
          <w:szCs w:val="24"/>
        </w:rPr>
        <w:t>7</w:t>
      </w:r>
      <w:r w:rsidR="005D4A19" w:rsidRPr="001541CB">
        <w:rPr>
          <w:rFonts w:ascii="Segoe UI" w:hAnsi="Segoe UI" w:cs="Segoe UI"/>
          <w:sz w:val="24"/>
          <w:szCs w:val="24"/>
        </w:rPr>
        <w:t xml:space="preserve"> et au premier trimestre 201</w:t>
      </w:r>
      <w:r w:rsidR="00A6161C" w:rsidRPr="001541CB">
        <w:rPr>
          <w:rFonts w:ascii="Segoe UI" w:hAnsi="Segoe UI" w:cs="Segoe UI"/>
          <w:sz w:val="24"/>
          <w:szCs w:val="24"/>
        </w:rPr>
        <w:t>6</w:t>
      </w:r>
      <w:r w:rsidR="00DB6241" w:rsidRPr="001541CB">
        <w:rPr>
          <w:rFonts w:ascii="Segoe UI" w:hAnsi="Segoe UI" w:cs="Segoe UI"/>
          <w:sz w:val="24"/>
          <w:szCs w:val="24"/>
        </w:rPr>
        <w:t xml:space="preserve"> </w:t>
      </w:r>
      <w:r w:rsidRPr="001541CB">
        <w:rPr>
          <w:rFonts w:ascii="Segoe UI" w:hAnsi="Segoe UI" w:cs="Segoe UI"/>
          <w:sz w:val="24"/>
          <w:szCs w:val="24"/>
        </w:rPr>
        <w:t>montre</w:t>
      </w:r>
      <w:r w:rsidR="009E00C6" w:rsidRPr="001541CB">
        <w:rPr>
          <w:rFonts w:ascii="Segoe UI" w:hAnsi="Segoe UI" w:cs="Segoe UI"/>
          <w:sz w:val="24"/>
          <w:szCs w:val="24"/>
        </w:rPr>
        <w:t xml:space="preserve"> </w:t>
      </w:r>
      <w:r w:rsidR="00645353" w:rsidRPr="001541CB">
        <w:rPr>
          <w:rFonts w:ascii="Segoe UI" w:hAnsi="Segoe UI" w:cs="Segoe UI"/>
          <w:sz w:val="24"/>
          <w:szCs w:val="24"/>
        </w:rPr>
        <w:t>un</w:t>
      </w:r>
      <w:r w:rsidRPr="001541CB">
        <w:rPr>
          <w:rFonts w:ascii="Segoe UI" w:hAnsi="Segoe UI" w:cs="Segoe UI"/>
          <w:sz w:val="24"/>
          <w:szCs w:val="24"/>
        </w:rPr>
        <w:t>e</w:t>
      </w:r>
      <w:r w:rsidR="009E00C6" w:rsidRPr="001541CB">
        <w:rPr>
          <w:rFonts w:ascii="Segoe UI" w:hAnsi="Segoe UI" w:cs="Segoe UI"/>
          <w:sz w:val="24"/>
          <w:szCs w:val="24"/>
        </w:rPr>
        <w:t xml:space="preserve"> </w:t>
      </w:r>
      <w:r w:rsidRPr="001541CB">
        <w:rPr>
          <w:rFonts w:ascii="Segoe UI" w:hAnsi="Segoe UI" w:cs="Segoe UI"/>
          <w:sz w:val="24"/>
          <w:szCs w:val="24"/>
        </w:rPr>
        <w:t>progression de</w:t>
      </w:r>
      <w:r w:rsidR="009E00C6" w:rsidRPr="001541CB">
        <w:rPr>
          <w:rFonts w:ascii="Segoe UI" w:hAnsi="Segoe UI" w:cs="Segoe UI"/>
          <w:sz w:val="24"/>
          <w:szCs w:val="24"/>
        </w:rPr>
        <w:t xml:space="preserve"> </w:t>
      </w:r>
      <w:r w:rsidR="00A6161C" w:rsidRPr="001541CB">
        <w:rPr>
          <w:rFonts w:ascii="Segoe UI" w:hAnsi="Segoe UI" w:cs="Segoe UI"/>
          <w:sz w:val="24"/>
          <w:szCs w:val="24"/>
        </w:rPr>
        <w:t>8 097,5</w:t>
      </w:r>
      <w:r w:rsidR="00DB6241" w:rsidRPr="001541CB">
        <w:rPr>
          <w:rFonts w:ascii="Segoe UI" w:hAnsi="Segoe UI" w:cs="Segoe UI"/>
          <w:sz w:val="24"/>
          <w:szCs w:val="24"/>
        </w:rPr>
        <w:t xml:space="preserve"> </w:t>
      </w:r>
      <w:r w:rsidR="005D34A4" w:rsidRPr="001541CB">
        <w:rPr>
          <w:rFonts w:ascii="Segoe UI" w:hAnsi="Segoe UI" w:cs="Segoe UI"/>
          <w:sz w:val="24"/>
          <w:szCs w:val="24"/>
        </w:rPr>
        <w:t>millions de FCFA</w:t>
      </w:r>
      <w:r w:rsidR="009E00C6" w:rsidRPr="001541CB">
        <w:rPr>
          <w:rFonts w:ascii="Segoe UI" w:hAnsi="Segoe UI" w:cs="Segoe UI"/>
          <w:sz w:val="24"/>
          <w:szCs w:val="24"/>
        </w:rPr>
        <w:t xml:space="preserve"> </w:t>
      </w:r>
      <w:r w:rsidRPr="001541CB">
        <w:rPr>
          <w:rFonts w:ascii="Segoe UI" w:hAnsi="Segoe UI" w:cs="Segoe UI"/>
          <w:sz w:val="24"/>
          <w:szCs w:val="24"/>
        </w:rPr>
        <w:t>et</w:t>
      </w:r>
      <w:r w:rsidR="003A3FB7" w:rsidRPr="001541CB">
        <w:rPr>
          <w:rFonts w:ascii="Segoe UI" w:hAnsi="Segoe UI" w:cs="Segoe UI"/>
          <w:sz w:val="24"/>
          <w:szCs w:val="24"/>
        </w:rPr>
        <w:t xml:space="preserve"> un taux d’accroissement </w:t>
      </w:r>
      <w:r w:rsidRPr="001541CB">
        <w:rPr>
          <w:rFonts w:ascii="Segoe UI" w:hAnsi="Segoe UI" w:cs="Segoe UI"/>
          <w:sz w:val="24"/>
          <w:szCs w:val="24"/>
        </w:rPr>
        <w:t>de</w:t>
      </w:r>
      <w:r w:rsidR="000C178C" w:rsidRPr="001541CB">
        <w:rPr>
          <w:rFonts w:ascii="Segoe UI" w:hAnsi="Segoe UI" w:cs="Segoe UI"/>
          <w:sz w:val="24"/>
          <w:szCs w:val="24"/>
        </w:rPr>
        <w:t xml:space="preserve"> </w:t>
      </w:r>
      <w:r w:rsidR="00A6161C" w:rsidRPr="001541CB">
        <w:rPr>
          <w:rFonts w:ascii="Segoe UI" w:hAnsi="Segoe UI" w:cs="Segoe UI"/>
          <w:sz w:val="24"/>
          <w:szCs w:val="24"/>
        </w:rPr>
        <w:t>10,5</w:t>
      </w:r>
      <w:r w:rsidR="00462DDB" w:rsidRPr="001541CB">
        <w:rPr>
          <w:rFonts w:ascii="Segoe UI" w:hAnsi="Segoe UI" w:cs="Segoe UI"/>
          <w:sz w:val="24"/>
          <w:szCs w:val="24"/>
        </w:rPr>
        <w:t>%</w:t>
      </w:r>
      <w:r w:rsidR="005E4B71" w:rsidRPr="001541CB">
        <w:rPr>
          <w:rFonts w:ascii="Segoe UI" w:hAnsi="Segoe UI" w:cs="Segoe UI"/>
          <w:sz w:val="24"/>
          <w:szCs w:val="24"/>
        </w:rPr>
        <w:t xml:space="preserve">. </w:t>
      </w:r>
      <w:r w:rsidR="006622ED">
        <w:rPr>
          <w:rFonts w:ascii="Segoe UI" w:hAnsi="Segoe UI" w:cs="Segoe UI"/>
          <w:sz w:val="24"/>
          <w:szCs w:val="24"/>
        </w:rPr>
        <w:t xml:space="preserve">A proprement parler, les actions d’investissements n’ont pas  encore atteint un rythme normal de mise en œuvre. Ceci est imputable à la nécessité de faire refléter dans le budget 2017 la première tranche du Programme d’Actions du Gouvernement dénommé « Bénin révélé ». Le taux de 8,7% obtenu en ce qui concerne les investissements réalisés sur ressources intérieures est intrinsèquement lié aux activités de quelques secteurs stratégiques, notamment s’agissant des réservations de crédits pour les marchés en cours de signature au MCVDD, au MISP, au MESTFP, au MIT, au MEEM, au M. Santé et au MESRS. </w:t>
      </w:r>
    </w:p>
    <w:p w14:paraId="00456250" w14:textId="60D96781" w:rsidR="00B565FF" w:rsidRPr="001541CB" w:rsidRDefault="008C59B8" w:rsidP="00403C9D">
      <w:pPr>
        <w:tabs>
          <w:tab w:val="left" w:pos="426"/>
        </w:tabs>
        <w:spacing w:after="120" w:line="360" w:lineRule="auto"/>
        <w:jc w:val="both"/>
        <w:rPr>
          <w:rFonts w:ascii="Segoe UI" w:hAnsi="Segoe UI" w:cs="Segoe UI"/>
          <w:sz w:val="24"/>
          <w:szCs w:val="24"/>
        </w:rPr>
      </w:pPr>
      <w:r>
        <w:rPr>
          <w:rFonts w:ascii="Segoe UI" w:hAnsi="Segoe UI" w:cs="Segoe UI"/>
          <w:sz w:val="24"/>
          <w:szCs w:val="24"/>
        </w:rPr>
        <w:lastRenderedPageBreak/>
        <w:t xml:space="preserve"> Le niveau de mise en œuvre des investissements publics </w:t>
      </w:r>
      <w:r w:rsidR="006622ED">
        <w:rPr>
          <w:rFonts w:ascii="Segoe UI" w:hAnsi="Segoe UI" w:cs="Segoe UI"/>
          <w:sz w:val="24"/>
          <w:szCs w:val="24"/>
        </w:rPr>
        <w:t xml:space="preserve">financés sur ressources extérieures </w:t>
      </w:r>
      <w:r>
        <w:rPr>
          <w:rFonts w:ascii="Segoe UI" w:hAnsi="Segoe UI" w:cs="Segoe UI"/>
          <w:sz w:val="24"/>
          <w:szCs w:val="24"/>
        </w:rPr>
        <w:t xml:space="preserve">au titre du premier trimestre 2017 </w:t>
      </w:r>
      <w:r w:rsidR="00B213EF">
        <w:rPr>
          <w:rFonts w:ascii="Segoe UI" w:hAnsi="Segoe UI" w:cs="Segoe UI"/>
          <w:sz w:val="24"/>
          <w:szCs w:val="24"/>
        </w:rPr>
        <w:t xml:space="preserve">affiche un taux </w:t>
      </w:r>
      <w:r w:rsidR="006622ED">
        <w:rPr>
          <w:rFonts w:ascii="Segoe UI" w:hAnsi="Segoe UI" w:cs="Segoe UI"/>
          <w:sz w:val="24"/>
          <w:szCs w:val="24"/>
        </w:rPr>
        <w:t xml:space="preserve">de </w:t>
      </w:r>
      <w:r w:rsidR="00F650CE" w:rsidRPr="001541CB">
        <w:rPr>
          <w:rFonts w:ascii="Segoe UI" w:hAnsi="Segoe UI" w:cs="Segoe UI"/>
          <w:sz w:val="24"/>
          <w:szCs w:val="24"/>
        </w:rPr>
        <w:t xml:space="preserve"> </w:t>
      </w:r>
      <w:r w:rsidR="003B6535" w:rsidRPr="001541CB">
        <w:rPr>
          <w:rFonts w:ascii="Segoe UI" w:hAnsi="Segoe UI" w:cs="Segoe UI"/>
          <w:sz w:val="24"/>
          <w:szCs w:val="24"/>
        </w:rPr>
        <w:t>15,2</w:t>
      </w:r>
      <w:r w:rsidR="00D95B8A" w:rsidRPr="001541CB">
        <w:rPr>
          <w:rFonts w:ascii="Segoe UI" w:hAnsi="Segoe UI" w:cs="Segoe UI"/>
          <w:sz w:val="24"/>
          <w:szCs w:val="24"/>
        </w:rPr>
        <w:t xml:space="preserve">% </w:t>
      </w:r>
      <w:r w:rsidR="00F650CE" w:rsidRPr="001541CB">
        <w:rPr>
          <w:rFonts w:ascii="Segoe UI" w:hAnsi="Segoe UI" w:cs="Segoe UI"/>
          <w:sz w:val="24"/>
          <w:szCs w:val="24"/>
        </w:rPr>
        <w:t xml:space="preserve">pour un montant </w:t>
      </w:r>
      <w:r w:rsidR="00064A04" w:rsidRPr="001541CB">
        <w:rPr>
          <w:rFonts w:ascii="Segoe UI" w:hAnsi="Segoe UI" w:cs="Segoe UI"/>
          <w:sz w:val="24"/>
          <w:szCs w:val="24"/>
        </w:rPr>
        <w:t>de</w:t>
      </w:r>
      <w:r w:rsidR="00D95B8A" w:rsidRPr="001541CB">
        <w:rPr>
          <w:rFonts w:ascii="Segoe UI" w:hAnsi="Segoe UI" w:cs="Segoe UI"/>
          <w:sz w:val="24"/>
          <w:szCs w:val="24"/>
        </w:rPr>
        <w:t xml:space="preserve"> </w:t>
      </w:r>
      <w:r w:rsidR="003B6535" w:rsidRPr="001541CB">
        <w:rPr>
          <w:rFonts w:ascii="Segoe UI" w:hAnsi="Segoe UI" w:cs="Segoe UI"/>
          <w:sz w:val="24"/>
          <w:szCs w:val="24"/>
        </w:rPr>
        <w:t>35 354</w:t>
      </w:r>
      <w:r w:rsidR="00F650CE" w:rsidRPr="001541CB">
        <w:rPr>
          <w:rFonts w:ascii="Segoe UI" w:hAnsi="Segoe UI" w:cs="Segoe UI"/>
          <w:sz w:val="24"/>
          <w:szCs w:val="24"/>
        </w:rPr>
        <w:t xml:space="preserve"> millions de FCFA sur</w:t>
      </w:r>
      <w:r w:rsidR="00064A04" w:rsidRPr="001541CB">
        <w:rPr>
          <w:rFonts w:ascii="Segoe UI" w:hAnsi="Segoe UI" w:cs="Segoe UI"/>
          <w:sz w:val="24"/>
          <w:szCs w:val="24"/>
        </w:rPr>
        <w:t xml:space="preserve"> une prévision de</w:t>
      </w:r>
      <w:r w:rsidR="00D95B8A" w:rsidRPr="001541CB">
        <w:rPr>
          <w:rFonts w:ascii="Segoe UI" w:hAnsi="Segoe UI" w:cs="Segoe UI"/>
          <w:sz w:val="24"/>
          <w:szCs w:val="24"/>
        </w:rPr>
        <w:t xml:space="preserve"> </w:t>
      </w:r>
      <w:r w:rsidR="003B6535" w:rsidRPr="001541CB">
        <w:rPr>
          <w:rFonts w:ascii="Segoe UI" w:hAnsi="Segoe UI" w:cs="Segoe UI"/>
          <w:sz w:val="24"/>
          <w:szCs w:val="24"/>
        </w:rPr>
        <w:t>233 000</w:t>
      </w:r>
      <w:r w:rsidR="00F650CE" w:rsidRPr="001541CB">
        <w:rPr>
          <w:rFonts w:ascii="Segoe UI" w:hAnsi="Segoe UI" w:cs="Segoe UI"/>
          <w:sz w:val="24"/>
          <w:szCs w:val="24"/>
        </w:rPr>
        <w:t xml:space="preserve"> millions de FCFA</w:t>
      </w:r>
      <w:r w:rsidR="00B565FF" w:rsidRPr="001541CB">
        <w:rPr>
          <w:rFonts w:ascii="Segoe UI" w:hAnsi="Segoe UI" w:cs="Segoe UI"/>
          <w:sz w:val="24"/>
          <w:szCs w:val="24"/>
        </w:rPr>
        <w:t>.</w:t>
      </w:r>
    </w:p>
    <w:p w14:paraId="2CCAEDC3" w14:textId="77777777" w:rsidR="00D30190" w:rsidRPr="001541CB" w:rsidRDefault="008F1DE6" w:rsidP="008A3C84">
      <w:pPr>
        <w:tabs>
          <w:tab w:val="left" w:pos="426"/>
        </w:tabs>
        <w:spacing w:after="0" w:line="360" w:lineRule="auto"/>
        <w:jc w:val="both"/>
        <w:rPr>
          <w:rFonts w:ascii="Segoe UI" w:hAnsi="Segoe UI" w:cs="Segoe UI"/>
          <w:sz w:val="24"/>
          <w:szCs w:val="24"/>
        </w:rPr>
      </w:pPr>
      <w:r w:rsidRPr="001541CB">
        <w:rPr>
          <w:rFonts w:ascii="Segoe UI" w:hAnsi="Segoe UI" w:cs="Segoe UI"/>
          <w:sz w:val="24"/>
          <w:szCs w:val="24"/>
        </w:rPr>
        <w:t>L</w:t>
      </w:r>
      <w:r w:rsidR="008A3C84" w:rsidRPr="001541CB">
        <w:rPr>
          <w:rFonts w:ascii="Segoe UI" w:hAnsi="Segoe UI" w:cs="Segoe UI"/>
          <w:sz w:val="24"/>
          <w:szCs w:val="24"/>
        </w:rPr>
        <w:t>’</w:t>
      </w:r>
      <w:r w:rsidRPr="001541CB">
        <w:rPr>
          <w:rFonts w:ascii="Segoe UI" w:hAnsi="Segoe UI" w:cs="Segoe UI"/>
          <w:sz w:val="24"/>
          <w:szCs w:val="24"/>
        </w:rPr>
        <w:t>e</w:t>
      </w:r>
      <w:r w:rsidR="008A3C84" w:rsidRPr="001541CB">
        <w:rPr>
          <w:rFonts w:ascii="Segoe UI" w:hAnsi="Segoe UI" w:cs="Segoe UI"/>
          <w:sz w:val="24"/>
          <w:szCs w:val="24"/>
        </w:rPr>
        <w:t xml:space="preserve">xécution </w:t>
      </w:r>
      <w:r w:rsidRPr="001541CB">
        <w:rPr>
          <w:rFonts w:ascii="Segoe UI" w:hAnsi="Segoe UI" w:cs="Segoe UI"/>
          <w:sz w:val="24"/>
          <w:szCs w:val="24"/>
        </w:rPr>
        <w:t xml:space="preserve">des dépenses en capital </w:t>
      </w:r>
      <w:r w:rsidR="009A6721" w:rsidRPr="001541CB">
        <w:rPr>
          <w:rFonts w:ascii="Segoe UI" w:hAnsi="Segoe UI" w:cs="Segoe UI"/>
          <w:sz w:val="24"/>
          <w:szCs w:val="24"/>
        </w:rPr>
        <w:t xml:space="preserve">à fin </w:t>
      </w:r>
      <w:r w:rsidR="00F646E7" w:rsidRPr="001541CB">
        <w:rPr>
          <w:rFonts w:ascii="Segoe UI" w:hAnsi="Segoe UI" w:cs="Segoe UI"/>
          <w:sz w:val="24"/>
          <w:szCs w:val="24"/>
        </w:rPr>
        <w:t>mars</w:t>
      </w:r>
      <w:r w:rsidRPr="001541CB">
        <w:rPr>
          <w:rFonts w:ascii="Segoe UI" w:hAnsi="Segoe UI" w:cs="Segoe UI"/>
          <w:sz w:val="24"/>
          <w:szCs w:val="24"/>
        </w:rPr>
        <w:t xml:space="preserve"> 201</w:t>
      </w:r>
      <w:r w:rsidR="00DF43A1" w:rsidRPr="001541CB">
        <w:rPr>
          <w:rFonts w:ascii="Segoe UI" w:hAnsi="Segoe UI" w:cs="Segoe UI"/>
          <w:sz w:val="24"/>
          <w:szCs w:val="24"/>
        </w:rPr>
        <w:t>6</w:t>
      </w:r>
      <w:r w:rsidRPr="001541CB">
        <w:rPr>
          <w:rFonts w:ascii="Segoe UI" w:hAnsi="Segoe UI" w:cs="Segoe UI"/>
          <w:sz w:val="24"/>
          <w:szCs w:val="24"/>
        </w:rPr>
        <w:t xml:space="preserve"> et 201</w:t>
      </w:r>
      <w:r w:rsidR="00DF43A1" w:rsidRPr="001541CB">
        <w:rPr>
          <w:rFonts w:ascii="Segoe UI" w:hAnsi="Segoe UI" w:cs="Segoe UI"/>
          <w:sz w:val="24"/>
          <w:szCs w:val="24"/>
        </w:rPr>
        <w:t>7</w:t>
      </w:r>
      <w:r w:rsidRPr="001541CB">
        <w:rPr>
          <w:rFonts w:ascii="Segoe UI" w:hAnsi="Segoe UI" w:cs="Segoe UI"/>
          <w:sz w:val="24"/>
          <w:szCs w:val="24"/>
        </w:rPr>
        <w:t xml:space="preserve"> est retracé</w:t>
      </w:r>
      <w:r w:rsidR="008A3C84" w:rsidRPr="001541CB">
        <w:rPr>
          <w:rFonts w:ascii="Segoe UI" w:hAnsi="Segoe UI" w:cs="Segoe UI"/>
          <w:sz w:val="24"/>
          <w:szCs w:val="24"/>
        </w:rPr>
        <w:t>e</w:t>
      </w:r>
      <w:r w:rsidRPr="001541CB">
        <w:rPr>
          <w:rFonts w:ascii="Segoe UI" w:hAnsi="Segoe UI" w:cs="Segoe UI"/>
          <w:sz w:val="24"/>
          <w:szCs w:val="24"/>
        </w:rPr>
        <w:t xml:space="preserve"> dans le tableau</w:t>
      </w:r>
      <w:r w:rsidR="00001D16" w:rsidRPr="001541CB">
        <w:rPr>
          <w:rFonts w:ascii="Segoe UI" w:hAnsi="Segoe UI" w:cs="Segoe UI"/>
          <w:sz w:val="24"/>
          <w:szCs w:val="24"/>
        </w:rPr>
        <w:t xml:space="preserve"> n° </w:t>
      </w:r>
      <w:r w:rsidR="008A3C84" w:rsidRPr="001541CB">
        <w:rPr>
          <w:rFonts w:ascii="Segoe UI" w:hAnsi="Segoe UI" w:cs="Segoe UI"/>
          <w:sz w:val="24"/>
          <w:szCs w:val="24"/>
        </w:rPr>
        <w:t>5</w:t>
      </w:r>
      <w:r w:rsidRPr="001541CB">
        <w:rPr>
          <w:rFonts w:ascii="Segoe UI" w:hAnsi="Segoe UI" w:cs="Segoe UI"/>
          <w:sz w:val="24"/>
          <w:szCs w:val="24"/>
        </w:rPr>
        <w:t xml:space="preserve"> ci-après :</w:t>
      </w:r>
    </w:p>
    <w:p w14:paraId="001020A8" w14:textId="77777777" w:rsidR="000326C4" w:rsidRDefault="00B62A90" w:rsidP="002C5668">
      <w:pPr>
        <w:pStyle w:val="Listedestableaux"/>
        <w:spacing w:line="240" w:lineRule="auto"/>
        <w:rPr>
          <w:rFonts w:ascii="Segoe UI" w:hAnsi="Segoe UI" w:cs="Segoe UI"/>
          <w:sz w:val="24"/>
          <w:szCs w:val="24"/>
        </w:rPr>
      </w:pPr>
      <w:bookmarkStart w:id="25" w:name="_Toc481952110"/>
      <w:r w:rsidRPr="001541CB">
        <w:rPr>
          <w:rFonts w:ascii="Segoe UI" w:hAnsi="Segoe UI" w:cs="Segoe UI"/>
          <w:sz w:val="24"/>
          <w:szCs w:val="24"/>
          <w:u w:val="single"/>
        </w:rPr>
        <w:t xml:space="preserve">Tableau </w:t>
      </w:r>
      <w:r w:rsidR="00F86F7D" w:rsidRPr="001541CB">
        <w:rPr>
          <w:rFonts w:ascii="Segoe UI" w:hAnsi="Segoe UI" w:cs="Segoe UI"/>
          <w:sz w:val="24"/>
          <w:szCs w:val="24"/>
          <w:u w:val="single"/>
        </w:rPr>
        <w:t>5</w:t>
      </w:r>
      <w:r w:rsidRPr="001541CB">
        <w:rPr>
          <w:rFonts w:ascii="Segoe UI" w:hAnsi="Segoe UI" w:cs="Segoe UI"/>
          <w:sz w:val="24"/>
          <w:szCs w:val="24"/>
        </w:rPr>
        <w:t xml:space="preserve"> : Evolution des engagements </w:t>
      </w:r>
      <w:r w:rsidR="00412526" w:rsidRPr="001541CB">
        <w:rPr>
          <w:rFonts w:ascii="Segoe UI" w:hAnsi="Segoe UI" w:cs="Segoe UI"/>
          <w:sz w:val="24"/>
          <w:szCs w:val="24"/>
        </w:rPr>
        <w:t xml:space="preserve">des dépenses en capital </w:t>
      </w:r>
      <w:r w:rsidR="000C5E78" w:rsidRPr="001541CB">
        <w:rPr>
          <w:rFonts w:ascii="Segoe UI" w:hAnsi="Segoe UI" w:cs="Segoe UI"/>
          <w:sz w:val="24"/>
          <w:szCs w:val="24"/>
        </w:rPr>
        <w:t xml:space="preserve">à fin </w:t>
      </w:r>
      <w:r w:rsidR="00F646E7" w:rsidRPr="001541CB">
        <w:rPr>
          <w:rFonts w:ascii="Segoe UI" w:hAnsi="Segoe UI" w:cs="Segoe UI"/>
          <w:sz w:val="24"/>
          <w:szCs w:val="24"/>
        </w:rPr>
        <w:t xml:space="preserve">mars </w:t>
      </w:r>
      <w:r w:rsidR="000326C4" w:rsidRPr="001541CB">
        <w:rPr>
          <w:rFonts w:ascii="Segoe UI" w:hAnsi="Segoe UI" w:cs="Segoe UI"/>
          <w:sz w:val="24"/>
          <w:szCs w:val="24"/>
        </w:rPr>
        <w:t>2016 et 2017</w:t>
      </w:r>
      <w:bookmarkEnd w:id="25"/>
    </w:p>
    <w:p w14:paraId="05C1786B" w14:textId="77777777" w:rsidR="000326C4" w:rsidRPr="00484132" w:rsidRDefault="00484132" w:rsidP="00F4581B">
      <w:pPr>
        <w:pStyle w:val="Listedestableaux"/>
        <w:spacing w:line="240" w:lineRule="auto"/>
        <w:rPr>
          <w:rFonts w:ascii="Segoe UI" w:hAnsi="Segoe UI" w:cs="Segoe UI"/>
          <w:b w:val="0"/>
          <w:sz w:val="24"/>
          <w:szCs w:val="24"/>
        </w:rPr>
      </w:pPr>
      <w:r>
        <w:rPr>
          <w:rFonts w:ascii="Segoe UI" w:hAnsi="Segoe UI" w:cs="Segoe UI"/>
          <w:sz w:val="24"/>
          <w:szCs w:val="24"/>
        </w:rPr>
        <w:t xml:space="preserve">                                                                                             </w:t>
      </w:r>
      <w:bookmarkStart w:id="26" w:name="_Toc481952111"/>
      <w:r w:rsidRPr="00484132">
        <w:rPr>
          <w:rFonts w:ascii="Segoe UI" w:eastAsia="Times New Roman" w:hAnsi="Segoe UI" w:cs="Segoe UI"/>
          <w:b w:val="0"/>
          <w:sz w:val="24"/>
          <w:szCs w:val="24"/>
        </w:rPr>
        <w:t>En milliers de FCFA</w:t>
      </w:r>
      <w:bookmarkEnd w:id="26"/>
    </w:p>
    <w:tbl>
      <w:tblPr>
        <w:tblW w:w="9781" w:type="dxa"/>
        <w:tblInd w:w="-72" w:type="dxa"/>
        <w:tblLayout w:type="fixed"/>
        <w:tblCellMar>
          <w:left w:w="70" w:type="dxa"/>
          <w:right w:w="70" w:type="dxa"/>
        </w:tblCellMar>
        <w:tblLook w:val="04A0" w:firstRow="1" w:lastRow="0" w:firstColumn="1" w:lastColumn="0" w:noHBand="0" w:noVBand="1"/>
      </w:tblPr>
      <w:tblGrid>
        <w:gridCol w:w="1843"/>
        <w:gridCol w:w="1119"/>
        <w:gridCol w:w="1118"/>
        <w:gridCol w:w="784"/>
        <w:gridCol w:w="1134"/>
        <w:gridCol w:w="1090"/>
        <w:gridCol w:w="709"/>
        <w:gridCol w:w="992"/>
        <w:gridCol w:w="992"/>
      </w:tblGrid>
      <w:tr w:rsidR="000326C4" w:rsidRPr="005E55B0" w14:paraId="7899A9F0" w14:textId="77777777" w:rsidTr="009D1844">
        <w:trPr>
          <w:trHeight w:val="315"/>
        </w:trPr>
        <w:tc>
          <w:tcPr>
            <w:tcW w:w="1843" w:type="dxa"/>
            <w:vMerge w:val="restart"/>
            <w:tcBorders>
              <w:top w:val="single" w:sz="8" w:space="0" w:color="auto"/>
              <w:left w:val="single" w:sz="8" w:space="0" w:color="auto"/>
              <w:bottom w:val="nil"/>
              <w:right w:val="nil"/>
            </w:tcBorders>
            <w:shd w:val="clear" w:color="auto" w:fill="auto"/>
            <w:vAlign w:val="center"/>
            <w:hideMark/>
          </w:tcPr>
          <w:p w14:paraId="6A355ADD" w14:textId="77777777" w:rsidR="000326C4" w:rsidRPr="002E4977" w:rsidRDefault="000326C4" w:rsidP="00D2619F">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Financement des dépenses</w:t>
            </w:r>
          </w:p>
        </w:tc>
        <w:tc>
          <w:tcPr>
            <w:tcW w:w="3021" w:type="dxa"/>
            <w:gridSpan w:val="3"/>
            <w:tcBorders>
              <w:top w:val="single" w:sz="8" w:space="0" w:color="auto"/>
              <w:left w:val="double" w:sz="6" w:space="0" w:color="auto"/>
              <w:bottom w:val="single" w:sz="4" w:space="0" w:color="auto"/>
              <w:right w:val="double" w:sz="6" w:space="0" w:color="000000"/>
            </w:tcBorders>
            <w:shd w:val="clear" w:color="auto" w:fill="auto"/>
            <w:noWrap/>
            <w:vAlign w:val="bottom"/>
            <w:hideMark/>
          </w:tcPr>
          <w:p w14:paraId="1BEBCE69" w14:textId="7B64E9CA" w:rsidR="000326C4" w:rsidRPr="002E4977" w:rsidRDefault="000326C4" w:rsidP="00D2619F">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2016</w:t>
            </w:r>
            <w:r w:rsidR="004F4202">
              <w:rPr>
                <w:rFonts w:ascii="Segoe UI" w:eastAsia="Times New Roman" w:hAnsi="Segoe UI" w:cs="Segoe UI"/>
                <w:b/>
                <w:bCs/>
                <w:sz w:val="20"/>
                <w:szCs w:val="20"/>
              </w:rPr>
              <w:t xml:space="preserve"> (LFR)</w:t>
            </w:r>
          </w:p>
        </w:tc>
        <w:tc>
          <w:tcPr>
            <w:tcW w:w="2933" w:type="dxa"/>
            <w:gridSpan w:val="3"/>
            <w:tcBorders>
              <w:top w:val="single" w:sz="8" w:space="0" w:color="auto"/>
              <w:left w:val="nil"/>
              <w:bottom w:val="single" w:sz="4" w:space="0" w:color="auto"/>
              <w:right w:val="double" w:sz="6" w:space="0" w:color="000000"/>
            </w:tcBorders>
            <w:shd w:val="clear" w:color="auto" w:fill="auto"/>
            <w:noWrap/>
            <w:vAlign w:val="bottom"/>
            <w:hideMark/>
          </w:tcPr>
          <w:p w14:paraId="405A58A7" w14:textId="6969EF74" w:rsidR="000326C4" w:rsidRPr="002E4977" w:rsidRDefault="000326C4" w:rsidP="00D2619F">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2017</w:t>
            </w:r>
            <w:r w:rsidR="004F4202">
              <w:rPr>
                <w:rFonts w:ascii="Segoe UI" w:eastAsia="Times New Roman" w:hAnsi="Segoe UI" w:cs="Segoe UI"/>
                <w:b/>
                <w:bCs/>
                <w:sz w:val="20"/>
                <w:szCs w:val="20"/>
              </w:rPr>
              <w:t xml:space="preserve"> (LFI)</w:t>
            </w:r>
          </w:p>
        </w:tc>
        <w:tc>
          <w:tcPr>
            <w:tcW w:w="1984" w:type="dxa"/>
            <w:gridSpan w:val="2"/>
            <w:tcBorders>
              <w:top w:val="single" w:sz="8" w:space="0" w:color="auto"/>
              <w:left w:val="nil"/>
              <w:bottom w:val="single" w:sz="4" w:space="0" w:color="auto"/>
              <w:right w:val="single" w:sz="8" w:space="0" w:color="000000"/>
            </w:tcBorders>
            <w:shd w:val="clear" w:color="auto" w:fill="auto"/>
            <w:vAlign w:val="center"/>
            <w:hideMark/>
          </w:tcPr>
          <w:p w14:paraId="6507D595" w14:textId="77777777" w:rsidR="000326C4" w:rsidRPr="002E4977" w:rsidRDefault="000326C4" w:rsidP="00D2619F">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ECARTS</w:t>
            </w:r>
          </w:p>
        </w:tc>
      </w:tr>
      <w:tr w:rsidR="000326C4" w:rsidRPr="005E55B0" w14:paraId="08AFAC8C" w14:textId="77777777" w:rsidTr="009D1844">
        <w:trPr>
          <w:trHeight w:val="319"/>
        </w:trPr>
        <w:tc>
          <w:tcPr>
            <w:tcW w:w="1843" w:type="dxa"/>
            <w:vMerge/>
            <w:tcBorders>
              <w:top w:val="single" w:sz="8" w:space="0" w:color="auto"/>
              <w:left w:val="single" w:sz="8" w:space="0" w:color="auto"/>
              <w:bottom w:val="nil"/>
              <w:right w:val="nil"/>
            </w:tcBorders>
            <w:vAlign w:val="center"/>
            <w:hideMark/>
          </w:tcPr>
          <w:p w14:paraId="3A196335" w14:textId="77777777" w:rsidR="000326C4" w:rsidRPr="002E4977" w:rsidRDefault="000326C4" w:rsidP="00D2619F">
            <w:pPr>
              <w:spacing w:after="0" w:line="240" w:lineRule="auto"/>
              <w:rPr>
                <w:rFonts w:ascii="Segoe UI" w:eastAsia="Times New Roman" w:hAnsi="Segoe UI" w:cs="Segoe UI"/>
                <w:b/>
                <w:bCs/>
                <w:sz w:val="20"/>
                <w:szCs w:val="20"/>
              </w:rPr>
            </w:pPr>
          </w:p>
        </w:tc>
        <w:tc>
          <w:tcPr>
            <w:tcW w:w="1119" w:type="dxa"/>
            <w:vMerge w:val="restart"/>
            <w:tcBorders>
              <w:top w:val="nil"/>
              <w:left w:val="double" w:sz="6" w:space="0" w:color="auto"/>
              <w:bottom w:val="single" w:sz="4" w:space="0" w:color="auto"/>
              <w:right w:val="single" w:sz="4" w:space="0" w:color="auto"/>
            </w:tcBorders>
            <w:shd w:val="clear" w:color="auto" w:fill="auto"/>
            <w:vAlign w:val="center"/>
            <w:hideMark/>
          </w:tcPr>
          <w:p w14:paraId="7AFFCE61" w14:textId="77777777" w:rsidR="000326C4" w:rsidRPr="002E4977" w:rsidRDefault="000326C4" w:rsidP="00D2619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Prévis</w:t>
            </w:r>
          </w:p>
        </w:tc>
        <w:tc>
          <w:tcPr>
            <w:tcW w:w="1118" w:type="dxa"/>
            <w:vMerge w:val="restart"/>
            <w:tcBorders>
              <w:top w:val="nil"/>
              <w:left w:val="single" w:sz="4" w:space="0" w:color="auto"/>
              <w:bottom w:val="single" w:sz="4" w:space="0" w:color="auto"/>
              <w:right w:val="single" w:sz="4" w:space="0" w:color="auto"/>
            </w:tcBorders>
            <w:shd w:val="clear" w:color="auto" w:fill="auto"/>
            <w:vAlign w:val="center"/>
            <w:hideMark/>
          </w:tcPr>
          <w:p w14:paraId="429D4F2E" w14:textId="77777777" w:rsidR="000326C4" w:rsidRPr="002E4977" w:rsidRDefault="000326C4" w:rsidP="00D2619F">
            <w:pPr>
              <w:spacing w:after="0" w:line="240" w:lineRule="auto"/>
              <w:jc w:val="center"/>
              <w:rPr>
                <w:rFonts w:ascii="Segoe UI" w:eastAsia="Times New Roman" w:hAnsi="Segoe UI" w:cs="Segoe UI"/>
                <w:sz w:val="20"/>
                <w:szCs w:val="20"/>
              </w:rPr>
            </w:pPr>
            <w:proofErr w:type="spellStart"/>
            <w:r w:rsidRPr="002E4977">
              <w:rPr>
                <w:rFonts w:ascii="Segoe UI" w:eastAsia="Times New Roman" w:hAnsi="Segoe UI" w:cs="Segoe UI"/>
                <w:sz w:val="20"/>
                <w:szCs w:val="20"/>
              </w:rPr>
              <w:t>Engag</w:t>
            </w:r>
            <w:proofErr w:type="spellEnd"/>
            <w:r w:rsidRPr="002E4977">
              <w:rPr>
                <w:rFonts w:ascii="Segoe UI" w:eastAsia="Times New Roman" w:hAnsi="Segoe UI" w:cs="Segoe UI"/>
                <w:sz w:val="20"/>
                <w:szCs w:val="20"/>
              </w:rPr>
              <w:t xml:space="preserve">.     </w:t>
            </w:r>
          </w:p>
        </w:tc>
        <w:tc>
          <w:tcPr>
            <w:tcW w:w="784" w:type="dxa"/>
            <w:vMerge w:val="restart"/>
            <w:tcBorders>
              <w:top w:val="nil"/>
              <w:left w:val="single" w:sz="4" w:space="0" w:color="auto"/>
              <w:bottom w:val="single" w:sz="4" w:space="0" w:color="auto"/>
              <w:right w:val="double" w:sz="6" w:space="0" w:color="auto"/>
            </w:tcBorders>
            <w:shd w:val="clear" w:color="auto" w:fill="auto"/>
            <w:vAlign w:val="center"/>
            <w:hideMark/>
          </w:tcPr>
          <w:p w14:paraId="27F37FF0" w14:textId="4181C474" w:rsidR="000326C4" w:rsidRPr="002E4977" w:rsidRDefault="008A4AE4" w:rsidP="00D2619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Taux  Eng.</w:t>
            </w:r>
            <w:r w:rsidR="006971B9">
              <w:rPr>
                <w:rFonts w:ascii="Segoe UI" w:eastAsia="Times New Roman" w:hAnsi="Segoe UI" w:cs="Segoe UI"/>
                <w:sz w:val="20"/>
                <w:szCs w:val="20"/>
              </w:rPr>
              <w:t xml:space="preserve"> (%)</w:t>
            </w:r>
          </w:p>
        </w:tc>
        <w:tc>
          <w:tcPr>
            <w:tcW w:w="1134" w:type="dxa"/>
            <w:vMerge w:val="restart"/>
            <w:tcBorders>
              <w:top w:val="nil"/>
              <w:left w:val="double" w:sz="6" w:space="0" w:color="auto"/>
              <w:bottom w:val="single" w:sz="4" w:space="0" w:color="auto"/>
              <w:right w:val="single" w:sz="4" w:space="0" w:color="auto"/>
            </w:tcBorders>
            <w:shd w:val="clear" w:color="auto" w:fill="auto"/>
            <w:vAlign w:val="center"/>
            <w:hideMark/>
          </w:tcPr>
          <w:p w14:paraId="437FE710" w14:textId="77777777" w:rsidR="000326C4" w:rsidRPr="002E4977" w:rsidRDefault="000326C4" w:rsidP="00D2619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Prévis</w:t>
            </w:r>
          </w:p>
        </w:tc>
        <w:tc>
          <w:tcPr>
            <w:tcW w:w="1090" w:type="dxa"/>
            <w:vMerge w:val="restart"/>
            <w:tcBorders>
              <w:top w:val="nil"/>
              <w:left w:val="single" w:sz="4" w:space="0" w:color="auto"/>
              <w:bottom w:val="single" w:sz="4" w:space="0" w:color="auto"/>
              <w:right w:val="single" w:sz="4" w:space="0" w:color="auto"/>
            </w:tcBorders>
            <w:shd w:val="clear" w:color="auto" w:fill="auto"/>
            <w:vAlign w:val="center"/>
            <w:hideMark/>
          </w:tcPr>
          <w:p w14:paraId="1CD03897" w14:textId="77777777" w:rsidR="000326C4" w:rsidRPr="002E4977" w:rsidRDefault="00CD3B44" w:rsidP="00D2619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Eng</w:t>
            </w:r>
            <w:r w:rsidR="000326C4" w:rsidRPr="002E4977">
              <w:rPr>
                <w:rFonts w:ascii="Segoe UI" w:eastAsia="Times New Roman" w:hAnsi="Segoe UI" w:cs="Segoe UI"/>
                <w:sz w:val="20"/>
                <w:szCs w:val="20"/>
              </w:rPr>
              <w:t xml:space="preserve">.     </w:t>
            </w:r>
          </w:p>
        </w:tc>
        <w:tc>
          <w:tcPr>
            <w:tcW w:w="709" w:type="dxa"/>
            <w:vMerge w:val="restart"/>
            <w:tcBorders>
              <w:top w:val="nil"/>
              <w:left w:val="single" w:sz="4" w:space="0" w:color="auto"/>
              <w:bottom w:val="single" w:sz="4" w:space="0" w:color="auto"/>
              <w:right w:val="double" w:sz="6" w:space="0" w:color="auto"/>
            </w:tcBorders>
            <w:shd w:val="clear" w:color="auto" w:fill="auto"/>
            <w:vAlign w:val="center"/>
            <w:hideMark/>
          </w:tcPr>
          <w:p w14:paraId="7B17C248" w14:textId="77777777" w:rsidR="000326C4" w:rsidRPr="002E4977" w:rsidRDefault="00CD3B44" w:rsidP="00CD3B44">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Taux  Eng</w:t>
            </w:r>
            <w:r w:rsidR="000326C4" w:rsidRPr="002E4977">
              <w:rPr>
                <w:rFonts w:ascii="Segoe UI" w:eastAsia="Times New Roman" w:hAnsi="Segoe UI" w:cs="Segoe UI"/>
                <w:sz w:val="20"/>
                <w:szCs w:val="20"/>
              </w:rPr>
              <w:t>.</w:t>
            </w:r>
          </w:p>
        </w:tc>
        <w:tc>
          <w:tcPr>
            <w:tcW w:w="992" w:type="dxa"/>
            <w:vMerge w:val="restart"/>
            <w:tcBorders>
              <w:top w:val="nil"/>
              <w:left w:val="double" w:sz="6" w:space="0" w:color="auto"/>
              <w:bottom w:val="nil"/>
              <w:right w:val="single" w:sz="4" w:space="0" w:color="auto"/>
            </w:tcBorders>
            <w:shd w:val="clear" w:color="auto" w:fill="auto"/>
            <w:vAlign w:val="center"/>
            <w:hideMark/>
          </w:tcPr>
          <w:p w14:paraId="598544A8" w14:textId="3B97081D" w:rsidR="000326C4" w:rsidRPr="002E4977" w:rsidRDefault="008A65E9" w:rsidP="008A65E9">
            <w:pPr>
              <w:spacing w:after="0" w:line="240" w:lineRule="auto"/>
              <w:rPr>
                <w:rFonts w:ascii="Segoe UI" w:eastAsia="Times New Roman" w:hAnsi="Segoe UI" w:cs="Segoe UI"/>
                <w:sz w:val="20"/>
                <w:szCs w:val="20"/>
              </w:rPr>
            </w:pPr>
            <w:r>
              <w:rPr>
                <w:rFonts w:ascii="Segoe UI" w:eastAsia="Times New Roman" w:hAnsi="Segoe UI" w:cs="Segoe UI"/>
                <w:sz w:val="20"/>
                <w:szCs w:val="20"/>
              </w:rPr>
              <w:t>En valeur</w:t>
            </w:r>
          </w:p>
        </w:tc>
        <w:tc>
          <w:tcPr>
            <w:tcW w:w="992" w:type="dxa"/>
            <w:vMerge w:val="restart"/>
            <w:tcBorders>
              <w:top w:val="nil"/>
              <w:left w:val="single" w:sz="4" w:space="0" w:color="auto"/>
              <w:bottom w:val="nil"/>
              <w:right w:val="single" w:sz="8" w:space="0" w:color="auto"/>
            </w:tcBorders>
            <w:shd w:val="clear" w:color="auto" w:fill="auto"/>
            <w:hideMark/>
          </w:tcPr>
          <w:p w14:paraId="5DAA2DBF" w14:textId="77777777" w:rsidR="000326C4" w:rsidRDefault="00442BFC" w:rsidP="008A4AE4">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Taux d’</w:t>
            </w:r>
            <w:proofErr w:type="spellStart"/>
            <w:r w:rsidRPr="002E4977">
              <w:rPr>
                <w:rFonts w:ascii="Segoe UI" w:eastAsia="Times New Roman" w:hAnsi="Segoe UI" w:cs="Segoe UI"/>
                <w:sz w:val="20"/>
                <w:szCs w:val="20"/>
              </w:rPr>
              <w:t>accroi</w:t>
            </w:r>
            <w:proofErr w:type="spellEnd"/>
          </w:p>
          <w:p w14:paraId="68A7CEA6" w14:textId="64A9DBAA" w:rsidR="00325068" w:rsidRPr="002E4977" w:rsidRDefault="00325068" w:rsidP="008A4AE4">
            <w:pPr>
              <w:spacing w:after="0" w:line="240" w:lineRule="auto"/>
              <w:jc w:val="center"/>
              <w:rPr>
                <w:rFonts w:ascii="Segoe UI" w:eastAsia="Times New Roman" w:hAnsi="Segoe UI" w:cs="Segoe UI"/>
                <w:sz w:val="20"/>
                <w:szCs w:val="20"/>
              </w:rPr>
            </w:pPr>
            <w:r>
              <w:rPr>
                <w:rFonts w:ascii="Segoe UI" w:eastAsia="Times New Roman" w:hAnsi="Segoe UI" w:cs="Segoe UI"/>
                <w:sz w:val="20"/>
                <w:szCs w:val="20"/>
              </w:rPr>
              <w:t>(%)</w:t>
            </w:r>
          </w:p>
        </w:tc>
      </w:tr>
      <w:tr w:rsidR="000326C4" w:rsidRPr="005E55B0" w14:paraId="24754E58" w14:textId="77777777" w:rsidTr="009D1844">
        <w:trPr>
          <w:trHeight w:val="319"/>
        </w:trPr>
        <w:tc>
          <w:tcPr>
            <w:tcW w:w="1843" w:type="dxa"/>
            <w:vMerge/>
            <w:tcBorders>
              <w:top w:val="single" w:sz="8" w:space="0" w:color="auto"/>
              <w:left w:val="single" w:sz="8" w:space="0" w:color="auto"/>
              <w:bottom w:val="nil"/>
              <w:right w:val="nil"/>
            </w:tcBorders>
            <w:vAlign w:val="center"/>
            <w:hideMark/>
          </w:tcPr>
          <w:p w14:paraId="567B1C19" w14:textId="77777777" w:rsidR="000326C4" w:rsidRPr="002E4977" w:rsidRDefault="000326C4" w:rsidP="00D2619F">
            <w:pPr>
              <w:spacing w:after="0" w:line="240" w:lineRule="auto"/>
              <w:rPr>
                <w:rFonts w:ascii="Segoe UI" w:eastAsia="Times New Roman" w:hAnsi="Segoe UI" w:cs="Segoe UI"/>
                <w:b/>
                <w:bCs/>
                <w:sz w:val="20"/>
                <w:szCs w:val="20"/>
              </w:rPr>
            </w:pPr>
          </w:p>
        </w:tc>
        <w:tc>
          <w:tcPr>
            <w:tcW w:w="1119" w:type="dxa"/>
            <w:vMerge/>
            <w:tcBorders>
              <w:top w:val="nil"/>
              <w:left w:val="double" w:sz="6" w:space="0" w:color="auto"/>
              <w:bottom w:val="single" w:sz="4" w:space="0" w:color="auto"/>
              <w:right w:val="single" w:sz="4" w:space="0" w:color="auto"/>
            </w:tcBorders>
            <w:vAlign w:val="center"/>
            <w:hideMark/>
          </w:tcPr>
          <w:p w14:paraId="4BF1CF7C" w14:textId="77777777" w:rsidR="000326C4" w:rsidRPr="002E4977" w:rsidRDefault="000326C4" w:rsidP="00D2619F">
            <w:pPr>
              <w:spacing w:after="0" w:line="240" w:lineRule="auto"/>
              <w:rPr>
                <w:rFonts w:ascii="Segoe UI" w:eastAsia="Times New Roman" w:hAnsi="Segoe UI" w:cs="Segoe UI"/>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6B1B12D" w14:textId="77777777" w:rsidR="000326C4" w:rsidRPr="002E4977" w:rsidRDefault="000326C4" w:rsidP="00D2619F">
            <w:pPr>
              <w:spacing w:after="0" w:line="240" w:lineRule="auto"/>
              <w:rPr>
                <w:rFonts w:ascii="Segoe UI" w:eastAsia="Times New Roman" w:hAnsi="Segoe UI" w:cs="Segoe UI"/>
                <w:sz w:val="20"/>
                <w:szCs w:val="20"/>
              </w:rPr>
            </w:pPr>
          </w:p>
        </w:tc>
        <w:tc>
          <w:tcPr>
            <w:tcW w:w="784" w:type="dxa"/>
            <w:vMerge/>
            <w:tcBorders>
              <w:top w:val="nil"/>
              <w:left w:val="single" w:sz="4" w:space="0" w:color="auto"/>
              <w:bottom w:val="single" w:sz="4" w:space="0" w:color="auto"/>
              <w:right w:val="double" w:sz="6" w:space="0" w:color="auto"/>
            </w:tcBorders>
            <w:vAlign w:val="center"/>
            <w:hideMark/>
          </w:tcPr>
          <w:p w14:paraId="39E6B8C1" w14:textId="77777777" w:rsidR="000326C4" w:rsidRPr="002E4977" w:rsidRDefault="000326C4" w:rsidP="00D2619F">
            <w:pPr>
              <w:spacing w:after="0" w:line="240" w:lineRule="auto"/>
              <w:rPr>
                <w:rFonts w:ascii="Segoe UI" w:eastAsia="Times New Roman" w:hAnsi="Segoe UI" w:cs="Segoe UI"/>
                <w:sz w:val="20"/>
                <w:szCs w:val="20"/>
              </w:rPr>
            </w:pPr>
          </w:p>
        </w:tc>
        <w:tc>
          <w:tcPr>
            <w:tcW w:w="1134" w:type="dxa"/>
            <w:vMerge/>
            <w:tcBorders>
              <w:top w:val="nil"/>
              <w:left w:val="double" w:sz="6" w:space="0" w:color="auto"/>
              <w:bottom w:val="single" w:sz="4" w:space="0" w:color="auto"/>
              <w:right w:val="single" w:sz="4" w:space="0" w:color="auto"/>
            </w:tcBorders>
            <w:vAlign w:val="center"/>
            <w:hideMark/>
          </w:tcPr>
          <w:p w14:paraId="634AA0CC" w14:textId="77777777" w:rsidR="000326C4" w:rsidRPr="002E4977" w:rsidRDefault="000326C4" w:rsidP="00D2619F">
            <w:pPr>
              <w:spacing w:after="0" w:line="240" w:lineRule="auto"/>
              <w:rPr>
                <w:rFonts w:ascii="Segoe UI" w:eastAsia="Times New Roman" w:hAnsi="Segoe UI" w:cs="Segoe UI"/>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4107A666" w14:textId="77777777" w:rsidR="000326C4" w:rsidRPr="002E4977" w:rsidRDefault="000326C4" w:rsidP="00D2619F">
            <w:pPr>
              <w:spacing w:after="0" w:line="240" w:lineRule="auto"/>
              <w:rPr>
                <w:rFonts w:ascii="Segoe UI" w:eastAsia="Times New Roman" w:hAnsi="Segoe UI" w:cs="Segoe UI"/>
                <w:sz w:val="20"/>
                <w:szCs w:val="20"/>
              </w:rPr>
            </w:pPr>
          </w:p>
        </w:tc>
        <w:tc>
          <w:tcPr>
            <w:tcW w:w="709" w:type="dxa"/>
            <w:vMerge/>
            <w:tcBorders>
              <w:top w:val="nil"/>
              <w:left w:val="single" w:sz="4" w:space="0" w:color="auto"/>
              <w:bottom w:val="single" w:sz="4" w:space="0" w:color="auto"/>
              <w:right w:val="double" w:sz="6" w:space="0" w:color="auto"/>
            </w:tcBorders>
            <w:vAlign w:val="center"/>
            <w:hideMark/>
          </w:tcPr>
          <w:p w14:paraId="5D876D4C" w14:textId="77777777" w:rsidR="000326C4" w:rsidRPr="002E4977" w:rsidRDefault="000326C4" w:rsidP="00D2619F">
            <w:pPr>
              <w:spacing w:after="0" w:line="240" w:lineRule="auto"/>
              <w:rPr>
                <w:rFonts w:ascii="Segoe UI" w:eastAsia="Times New Roman" w:hAnsi="Segoe UI" w:cs="Segoe UI"/>
                <w:sz w:val="20"/>
                <w:szCs w:val="20"/>
              </w:rPr>
            </w:pPr>
          </w:p>
        </w:tc>
        <w:tc>
          <w:tcPr>
            <w:tcW w:w="992" w:type="dxa"/>
            <w:vMerge/>
            <w:tcBorders>
              <w:top w:val="nil"/>
              <w:left w:val="double" w:sz="6" w:space="0" w:color="auto"/>
              <w:bottom w:val="nil"/>
              <w:right w:val="single" w:sz="4" w:space="0" w:color="auto"/>
            </w:tcBorders>
            <w:vAlign w:val="center"/>
            <w:hideMark/>
          </w:tcPr>
          <w:p w14:paraId="2F78D912" w14:textId="77777777" w:rsidR="000326C4" w:rsidRPr="002E4977" w:rsidRDefault="000326C4" w:rsidP="00D2619F">
            <w:pPr>
              <w:spacing w:after="0" w:line="240" w:lineRule="auto"/>
              <w:rPr>
                <w:rFonts w:ascii="Segoe UI" w:eastAsia="Times New Roman" w:hAnsi="Segoe UI" w:cs="Segoe UI"/>
                <w:sz w:val="20"/>
                <w:szCs w:val="20"/>
              </w:rPr>
            </w:pPr>
          </w:p>
        </w:tc>
        <w:tc>
          <w:tcPr>
            <w:tcW w:w="992" w:type="dxa"/>
            <w:vMerge/>
            <w:tcBorders>
              <w:top w:val="nil"/>
              <w:left w:val="single" w:sz="4" w:space="0" w:color="auto"/>
              <w:bottom w:val="nil"/>
              <w:right w:val="single" w:sz="8" w:space="0" w:color="auto"/>
            </w:tcBorders>
            <w:vAlign w:val="center"/>
            <w:hideMark/>
          </w:tcPr>
          <w:p w14:paraId="4A2C66EC" w14:textId="77777777" w:rsidR="000326C4" w:rsidRPr="002E4977" w:rsidRDefault="000326C4" w:rsidP="00D2619F">
            <w:pPr>
              <w:spacing w:after="0" w:line="240" w:lineRule="auto"/>
              <w:rPr>
                <w:rFonts w:ascii="Segoe UI" w:eastAsia="Times New Roman" w:hAnsi="Segoe UI" w:cs="Segoe UI"/>
                <w:sz w:val="20"/>
                <w:szCs w:val="20"/>
              </w:rPr>
            </w:pPr>
          </w:p>
        </w:tc>
      </w:tr>
      <w:tr w:rsidR="000326C4" w:rsidRPr="005E55B0" w14:paraId="771FAB53" w14:textId="77777777" w:rsidTr="009D1844">
        <w:trPr>
          <w:trHeight w:val="293"/>
        </w:trPr>
        <w:tc>
          <w:tcPr>
            <w:tcW w:w="1843" w:type="dxa"/>
            <w:vMerge/>
            <w:tcBorders>
              <w:top w:val="single" w:sz="8" w:space="0" w:color="auto"/>
              <w:left w:val="single" w:sz="8" w:space="0" w:color="auto"/>
              <w:right w:val="nil"/>
            </w:tcBorders>
            <w:vAlign w:val="center"/>
            <w:hideMark/>
          </w:tcPr>
          <w:p w14:paraId="434B3AF1" w14:textId="77777777" w:rsidR="000326C4" w:rsidRPr="002E4977" w:rsidRDefault="000326C4" w:rsidP="00D2619F">
            <w:pPr>
              <w:spacing w:after="0" w:line="240" w:lineRule="auto"/>
              <w:rPr>
                <w:rFonts w:ascii="Segoe UI" w:eastAsia="Times New Roman" w:hAnsi="Segoe UI" w:cs="Segoe UI"/>
                <w:b/>
                <w:bCs/>
                <w:sz w:val="20"/>
                <w:szCs w:val="20"/>
              </w:rPr>
            </w:pPr>
          </w:p>
        </w:tc>
        <w:tc>
          <w:tcPr>
            <w:tcW w:w="1119" w:type="dxa"/>
            <w:vMerge/>
            <w:tcBorders>
              <w:top w:val="nil"/>
              <w:left w:val="double" w:sz="6" w:space="0" w:color="auto"/>
              <w:right w:val="single" w:sz="4" w:space="0" w:color="auto"/>
            </w:tcBorders>
            <w:vAlign w:val="center"/>
            <w:hideMark/>
          </w:tcPr>
          <w:p w14:paraId="38211980" w14:textId="77777777" w:rsidR="000326C4" w:rsidRPr="002E4977" w:rsidRDefault="000326C4" w:rsidP="00D2619F">
            <w:pPr>
              <w:spacing w:after="0" w:line="240" w:lineRule="auto"/>
              <w:rPr>
                <w:rFonts w:ascii="Segoe UI" w:eastAsia="Times New Roman" w:hAnsi="Segoe UI" w:cs="Segoe UI"/>
                <w:sz w:val="20"/>
                <w:szCs w:val="20"/>
              </w:rPr>
            </w:pPr>
          </w:p>
        </w:tc>
        <w:tc>
          <w:tcPr>
            <w:tcW w:w="1118" w:type="dxa"/>
            <w:vMerge/>
            <w:tcBorders>
              <w:top w:val="nil"/>
              <w:left w:val="single" w:sz="4" w:space="0" w:color="auto"/>
              <w:right w:val="single" w:sz="4" w:space="0" w:color="auto"/>
            </w:tcBorders>
            <w:vAlign w:val="center"/>
            <w:hideMark/>
          </w:tcPr>
          <w:p w14:paraId="68DC1731" w14:textId="77777777" w:rsidR="000326C4" w:rsidRPr="002E4977" w:rsidRDefault="000326C4" w:rsidP="00D2619F">
            <w:pPr>
              <w:spacing w:after="0" w:line="240" w:lineRule="auto"/>
              <w:rPr>
                <w:rFonts w:ascii="Segoe UI" w:eastAsia="Times New Roman" w:hAnsi="Segoe UI" w:cs="Segoe UI"/>
                <w:sz w:val="20"/>
                <w:szCs w:val="20"/>
              </w:rPr>
            </w:pPr>
          </w:p>
        </w:tc>
        <w:tc>
          <w:tcPr>
            <w:tcW w:w="784" w:type="dxa"/>
            <w:vMerge/>
            <w:tcBorders>
              <w:top w:val="nil"/>
              <w:left w:val="single" w:sz="4" w:space="0" w:color="auto"/>
              <w:right w:val="double" w:sz="6" w:space="0" w:color="auto"/>
            </w:tcBorders>
            <w:vAlign w:val="center"/>
            <w:hideMark/>
          </w:tcPr>
          <w:p w14:paraId="5E72AEE1" w14:textId="77777777" w:rsidR="000326C4" w:rsidRPr="002E4977" w:rsidRDefault="000326C4" w:rsidP="00D2619F">
            <w:pPr>
              <w:spacing w:after="0" w:line="240" w:lineRule="auto"/>
              <w:rPr>
                <w:rFonts w:ascii="Segoe UI" w:eastAsia="Times New Roman" w:hAnsi="Segoe UI" w:cs="Segoe UI"/>
                <w:sz w:val="20"/>
                <w:szCs w:val="20"/>
              </w:rPr>
            </w:pPr>
          </w:p>
        </w:tc>
        <w:tc>
          <w:tcPr>
            <w:tcW w:w="1134" w:type="dxa"/>
            <w:vMerge/>
            <w:tcBorders>
              <w:top w:val="nil"/>
              <w:left w:val="double" w:sz="6" w:space="0" w:color="auto"/>
              <w:right w:val="single" w:sz="4" w:space="0" w:color="auto"/>
            </w:tcBorders>
            <w:vAlign w:val="center"/>
            <w:hideMark/>
          </w:tcPr>
          <w:p w14:paraId="70ABE625" w14:textId="77777777" w:rsidR="000326C4" w:rsidRPr="002E4977" w:rsidRDefault="000326C4" w:rsidP="00D2619F">
            <w:pPr>
              <w:spacing w:after="0" w:line="240" w:lineRule="auto"/>
              <w:rPr>
                <w:rFonts w:ascii="Segoe UI" w:eastAsia="Times New Roman" w:hAnsi="Segoe UI" w:cs="Segoe UI"/>
                <w:sz w:val="20"/>
                <w:szCs w:val="20"/>
              </w:rPr>
            </w:pPr>
          </w:p>
        </w:tc>
        <w:tc>
          <w:tcPr>
            <w:tcW w:w="1090" w:type="dxa"/>
            <w:vMerge/>
            <w:tcBorders>
              <w:top w:val="nil"/>
              <w:left w:val="single" w:sz="4" w:space="0" w:color="auto"/>
              <w:right w:val="single" w:sz="4" w:space="0" w:color="auto"/>
            </w:tcBorders>
            <w:vAlign w:val="center"/>
            <w:hideMark/>
          </w:tcPr>
          <w:p w14:paraId="0DA915AD" w14:textId="77777777" w:rsidR="000326C4" w:rsidRPr="002E4977" w:rsidRDefault="000326C4" w:rsidP="00D2619F">
            <w:pPr>
              <w:spacing w:after="0" w:line="240" w:lineRule="auto"/>
              <w:rPr>
                <w:rFonts w:ascii="Segoe UI" w:eastAsia="Times New Roman" w:hAnsi="Segoe UI" w:cs="Segoe UI"/>
                <w:sz w:val="20"/>
                <w:szCs w:val="20"/>
              </w:rPr>
            </w:pPr>
          </w:p>
        </w:tc>
        <w:tc>
          <w:tcPr>
            <w:tcW w:w="709" w:type="dxa"/>
            <w:vMerge/>
            <w:tcBorders>
              <w:top w:val="nil"/>
              <w:left w:val="single" w:sz="4" w:space="0" w:color="auto"/>
              <w:right w:val="double" w:sz="6" w:space="0" w:color="auto"/>
            </w:tcBorders>
            <w:vAlign w:val="center"/>
            <w:hideMark/>
          </w:tcPr>
          <w:p w14:paraId="2AB1479E" w14:textId="77777777" w:rsidR="000326C4" w:rsidRPr="002E4977" w:rsidRDefault="000326C4" w:rsidP="00D2619F">
            <w:pPr>
              <w:spacing w:after="0" w:line="240" w:lineRule="auto"/>
              <w:rPr>
                <w:rFonts w:ascii="Segoe UI" w:eastAsia="Times New Roman" w:hAnsi="Segoe UI" w:cs="Segoe UI"/>
                <w:sz w:val="20"/>
                <w:szCs w:val="20"/>
              </w:rPr>
            </w:pPr>
          </w:p>
        </w:tc>
        <w:tc>
          <w:tcPr>
            <w:tcW w:w="992" w:type="dxa"/>
            <w:vMerge/>
            <w:tcBorders>
              <w:top w:val="nil"/>
              <w:left w:val="double" w:sz="6" w:space="0" w:color="auto"/>
              <w:right w:val="single" w:sz="4" w:space="0" w:color="auto"/>
            </w:tcBorders>
            <w:vAlign w:val="center"/>
            <w:hideMark/>
          </w:tcPr>
          <w:p w14:paraId="6E1553F5" w14:textId="77777777" w:rsidR="000326C4" w:rsidRPr="002E4977" w:rsidRDefault="000326C4" w:rsidP="00D2619F">
            <w:pPr>
              <w:spacing w:after="0" w:line="240" w:lineRule="auto"/>
              <w:rPr>
                <w:rFonts w:ascii="Segoe UI" w:eastAsia="Times New Roman" w:hAnsi="Segoe UI" w:cs="Segoe UI"/>
                <w:sz w:val="20"/>
                <w:szCs w:val="20"/>
              </w:rPr>
            </w:pPr>
          </w:p>
        </w:tc>
        <w:tc>
          <w:tcPr>
            <w:tcW w:w="992" w:type="dxa"/>
            <w:vMerge/>
            <w:tcBorders>
              <w:top w:val="nil"/>
              <w:left w:val="single" w:sz="4" w:space="0" w:color="auto"/>
              <w:right w:val="single" w:sz="8" w:space="0" w:color="auto"/>
            </w:tcBorders>
            <w:vAlign w:val="center"/>
            <w:hideMark/>
          </w:tcPr>
          <w:p w14:paraId="4342DCDC" w14:textId="77777777" w:rsidR="000326C4" w:rsidRPr="002E4977" w:rsidRDefault="000326C4" w:rsidP="00D2619F">
            <w:pPr>
              <w:spacing w:after="0" w:line="240" w:lineRule="auto"/>
              <w:rPr>
                <w:rFonts w:ascii="Segoe UI" w:eastAsia="Times New Roman" w:hAnsi="Segoe UI" w:cs="Segoe UI"/>
                <w:sz w:val="20"/>
                <w:szCs w:val="20"/>
              </w:rPr>
            </w:pPr>
          </w:p>
        </w:tc>
      </w:tr>
      <w:tr w:rsidR="000326C4" w:rsidRPr="005E55B0" w14:paraId="3F38B14E" w14:textId="77777777" w:rsidTr="009D1844">
        <w:trPr>
          <w:trHeight w:val="60"/>
        </w:trPr>
        <w:tc>
          <w:tcPr>
            <w:tcW w:w="1843" w:type="dxa"/>
            <w:tcBorders>
              <w:left w:val="single" w:sz="4" w:space="0" w:color="auto"/>
              <w:bottom w:val="single" w:sz="4" w:space="0" w:color="auto"/>
              <w:right w:val="nil"/>
            </w:tcBorders>
            <w:shd w:val="clear" w:color="auto" w:fill="auto"/>
            <w:noWrap/>
            <w:vAlign w:val="bottom"/>
            <w:hideMark/>
          </w:tcPr>
          <w:p w14:paraId="14FC9354" w14:textId="77777777" w:rsidR="000326C4" w:rsidRPr="002E4977" w:rsidRDefault="000326C4" w:rsidP="00D2619F">
            <w:pPr>
              <w:spacing w:after="0" w:line="240" w:lineRule="auto"/>
              <w:rPr>
                <w:rFonts w:ascii="Segoe UI" w:eastAsia="Times New Roman" w:hAnsi="Segoe UI" w:cs="Segoe UI"/>
                <w:b/>
                <w:bCs/>
                <w:sz w:val="20"/>
                <w:szCs w:val="20"/>
              </w:rPr>
            </w:pPr>
          </w:p>
        </w:tc>
        <w:tc>
          <w:tcPr>
            <w:tcW w:w="1119" w:type="dxa"/>
            <w:tcBorders>
              <w:left w:val="double" w:sz="6" w:space="0" w:color="auto"/>
              <w:bottom w:val="single" w:sz="4" w:space="0" w:color="auto"/>
              <w:right w:val="single" w:sz="4" w:space="0" w:color="auto"/>
            </w:tcBorders>
            <w:shd w:val="clear" w:color="auto" w:fill="auto"/>
            <w:noWrap/>
            <w:vAlign w:val="bottom"/>
            <w:hideMark/>
          </w:tcPr>
          <w:p w14:paraId="38ACC0E0" w14:textId="77777777" w:rsidR="000326C4" w:rsidRPr="002E4977" w:rsidRDefault="000326C4" w:rsidP="00D2619F">
            <w:pPr>
              <w:spacing w:after="0" w:line="240" w:lineRule="auto"/>
              <w:jc w:val="right"/>
              <w:rPr>
                <w:rFonts w:ascii="Segoe UI" w:eastAsia="Times New Roman" w:hAnsi="Segoe UI" w:cs="Segoe UI"/>
                <w:b/>
                <w:bCs/>
                <w:sz w:val="20"/>
                <w:szCs w:val="20"/>
              </w:rPr>
            </w:pPr>
          </w:p>
        </w:tc>
        <w:tc>
          <w:tcPr>
            <w:tcW w:w="1118" w:type="dxa"/>
            <w:tcBorders>
              <w:left w:val="nil"/>
              <w:bottom w:val="single" w:sz="4" w:space="0" w:color="auto"/>
              <w:right w:val="single" w:sz="4" w:space="0" w:color="auto"/>
            </w:tcBorders>
            <w:shd w:val="clear" w:color="auto" w:fill="auto"/>
            <w:noWrap/>
            <w:vAlign w:val="bottom"/>
            <w:hideMark/>
          </w:tcPr>
          <w:p w14:paraId="56703687" w14:textId="77777777" w:rsidR="000326C4" w:rsidRPr="002E4977" w:rsidRDefault="000326C4" w:rsidP="00D2619F">
            <w:pPr>
              <w:spacing w:after="0" w:line="240" w:lineRule="auto"/>
              <w:jc w:val="right"/>
              <w:rPr>
                <w:rFonts w:ascii="Segoe UI" w:eastAsia="Times New Roman" w:hAnsi="Segoe UI" w:cs="Segoe UI"/>
                <w:b/>
                <w:bCs/>
                <w:sz w:val="20"/>
                <w:szCs w:val="20"/>
              </w:rPr>
            </w:pPr>
          </w:p>
        </w:tc>
        <w:tc>
          <w:tcPr>
            <w:tcW w:w="784" w:type="dxa"/>
            <w:tcBorders>
              <w:left w:val="nil"/>
              <w:bottom w:val="single" w:sz="4" w:space="0" w:color="auto"/>
              <w:right w:val="double" w:sz="6" w:space="0" w:color="auto"/>
            </w:tcBorders>
            <w:shd w:val="clear" w:color="auto" w:fill="auto"/>
            <w:noWrap/>
            <w:vAlign w:val="bottom"/>
            <w:hideMark/>
          </w:tcPr>
          <w:p w14:paraId="29E8BB20" w14:textId="77777777" w:rsidR="000326C4" w:rsidRPr="002E4977" w:rsidRDefault="000326C4" w:rsidP="00D2619F">
            <w:pPr>
              <w:spacing w:after="0" w:line="240" w:lineRule="auto"/>
              <w:jc w:val="right"/>
              <w:rPr>
                <w:rFonts w:ascii="Segoe UI" w:eastAsia="Times New Roman" w:hAnsi="Segoe UI" w:cs="Segoe UI"/>
                <w:b/>
                <w:bCs/>
                <w:sz w:val="20"/>
                <w:szCs w:val="20"/>
              </w:rPr>
            </w:pPr>
          </w:p>
        </w:tc>
        <w:tc>
          <w:tcPr>
            <w:tcW w:w="1134" w:type="dxa"/>
            <w:tcBorders>
              <w:left w:val="nil"/>
              <w:bottom w:val="single" w:sz="4" w:space="0" w:color="auto"/>
              <w:right w:val="single" w:sz="4" w:space="0" w:color="auto"/>
            </w:tcBorders>
            <w:shd w:val="clear" w:color="auto" w:fill="auto"/>
            <w:noWrap/>
            <w:vAlign w:val="bottom"/>
            <w:hideMark/>
          </w:tcPr>
          <w:p w14:paraId="605F8B8C" w14:textId="77777777" w:rsidR="000326C4" w:rsidRPr="002E4977" w:rsidRDefault="000326C4" w:rsidP="00D2619F">
            <w:pPr>
              <w:spacing w:after="0" w:line="240" w:lineRule="auto"/>
              <w:rPr>
                <w:rFonts w:ascii="Segoe UI" w:eastAsia="Times New Roman" w:hAnsi="Segoe UI" w:cs="Segoe UI"/>
                <w:b/>
                <w:bCs/>
                <w:sz w:val="20"/>
                <w:szCs w:val="20"/>
              </w:rPr>
            </w:pPr>
          </w:p>
        </w:tc>
        <w:tc>
          <w:tcPr>
            <w:tcW w:w="1090" w:type="dxa"/>
            <w:tcBorders>
              <w:left w:val="nil"/>
              <w:bottom w:val="single" w:sz="4" w:space="0" w:color="auto"/>
              <w:right w:val="single" w:sz="4" w:space="0" w:color="auto"/>
            </w:tcBorders>
            <w:shd w:val="clear" w:color="auto" w:fill="auto"/>
            <w:noWrap/>
            <w:vAlign w:val="bottom"/>
            <w:hideMark/>
          </w:tcPr>
          <w:p w14:paraId="4C795A4B" w14:textId="77777777" w:rsidR="000326C4" w:rsidRPr="002E4977" w:rsidRDefault="000326C4" w:rsidP="00D2619F">
            <w:pPr>
              <w:spacing w:after="0" w:line="240" w:lineRule="auto"/>
              <w:jc w:val="right"/>
              <w:rPr>
                <w:rFonts w:ascii="Segoe UI" w:eastAsia="Times New Roman" w:hAnsi="Segoe UI" w:cs="Segoe UI"/>
                <w:b/>
                <w:bCs/>
                <w:sz w:val="20"/>
                <w:szCs w:val="20"/>
              </w:rPr>
            </w:pPr>
          </w:p>
        </w:tc>
        <w:tc>
          <w:tcPr>
            <w:tcW w:w="709" w:type="dxa"/>
            <w:tcBorders>
              <w:left w:val="nil"/>
              <w:bottom w:val="single" w:sz="4" w:space="0" w:color="auto"/>
              <w:right w:val="double" w:sz="6" w:space="0" w:color="auto"/>
            </w:tcBorders>
            <w:shd w:val="clear" w:color="auto" w:fill="auto"/>
            <w:noWrap/>
            <w:vAlign w:val="bottom"/>
            <w:hideMark/>
          </w:tcPr>
          <w:p w14:paraId="6689C051" w14:textId="77777777" w:rsidR="000326C4" w:rsidRPr="002E4977" w:rsidRDefault="000326C4" w:rsidP="00D2619F">
            <w:pPr>
              <w:spacing w:after="0" w:line="240" w:lineRule="auto"/>
              <w:jc w:val="right"/>
              <w:rPr>
                <w:rFonts w:ascii="Segoe UI" w:eastAsia="Times New Roman" w:hAnsi="Segoe UI" w:cs="Segoe UI"/>
                <w:b/>
                <w:bCs/>
                <w:sz w:val="20"/>
                <w:szCs w:val="20"/>
              </w:rPr>
            </w:pPr>
          </w:p>
        </w:tc>
        <w:tc>
          <w:tcPr>
            <w:tcW w:w="992" w:type="dxa"/>
            <w:tcBorders>
              <w:left w:val="nil"/>
              <w:bottom w:val="single" w:sz="4" w:space="0" w:color="auto"/>
              <w:right w:val="single" w:sz="4" w:space="0" w:color="auto"/>
            </w:tcBorders>
            <w:shd w:val="clear" w:color="auto" w:fill="auto"/>
            <w:noWrap/>
            <w:vAlign w:val="center"/>
            <w:hideMark/>
          </w:tcPr>
          <w:p w14:paraId="4DA3D1CB" w14:textId="77777777" w:rsidR="000326C4" w:rsidRPr="002E4977" w:rsidRDefault="000326C4" w:rsidP="00D2619F">
            <w:pPr>
              <w:spacing w:after="0" w:line="240" w:lineRule="auto"/>
              <w:jc w:val="right"/>
              <w:rPr>
                <w:rFonts w:ascii="Segoe UI" w:eastAsia="Times New Roman" w:hAnsi="Segoe UI" w:cs="Segoe UI"/>
                <w:b/>
                <w:bCs/>
                <w:sz w:val="20"/>
                <w:szCs w:val="20"/>
              </w:rPr>
            </w:pPr>
          </w:p>
        </w:tc>
        <w:tc>
          <w:tcPr>
            <w:tcW w:w="992" w:type="dxa"/>
            <w:tcBorders>
              <w:left w:val="nil"/>
              <w:bottom w:val="single" w:sz="4" w:space="0" w:color="auto"/>
              <w:right w:val="single" w:sz="8" w:space="0" w:color="auto"/>
            </w:tcBorders>
            <w:shd w:val="clear" w:color="auto" w:fill="auto"/>
            <w:noWrap/>
            <w:vAlign w:val="center"/>
            <w:hideMark/>
          </w:tcPr>
          <w:p w14:paraId="20B447F1" w14:textId="77777777" w:rsidR="000326C4" w:rsidRPr="002E4977" w:rsidRDefault="000326C4" w:rsidP="00D2619F">
            <w:pPr>
              <w:spacing w:after="0" w:line="240" w:lineRule="auto"/>
              <w:jc w:val="right"/>
              <w:rPr>
                <w:rFonts w:ascii="Segoe UI" w:eastAsia="Times New Roman" w:hAnsi="Segoe UI" w:cs="Segoe UI"/>
                <w:b/>
                <w:bCs/>
                <w:sz w:val="20"/>
                <w:szCs w:val="20"/>
              </w:rPr>
            </w:pPr>
          </w:p>
        </w:tc>
      </w:tr>
      <w:tr w:rsidR="000326C4" w:rsidRPr="005E55B0" w14:paraId="7424595F" w14:textId="77777777" w:rsidTr="009D1844">
        <w:trPr>
          <w:trHeight w:val="300"/>
        </w:trPr>
        <w:tc>
          <w:tcPr>
            <w:tcW w:w="1843" w:type="dxa"/>
            <w:tcBorders>
              <w:top w:val="nil"/>
              <w:left w:val="single" w:sz="4" w:space="0" w:color="auto"/>
              <w:bottom w:val="single" w:sz="4" w:space="0" w:color="auto"/>
              <w:right w:val="nil"/>
            </w:tcBorders>
            <w:shd w:val="clear" w:color="auto" w:fill="auto"/>
            <w:noWrap/>
            <w:vAlign w:val="bottom"/>
            <w:hideMark/>
          </w:tcPr>
          <w:p w14:paraId="7CF6E57C" w14:textId="77777777" w:rsidR="000326C4" w:rsidRPr="002E4977" w:rsidRDefault="000326C4" w:rsidP="00D2619F">
            <w:pPr>
              <w:spacing w:after="0" w:line="240" w:lineRule="auto"/>
              <w:rPr>
                <w:rFonts w:ascii="Segoe UI" w:eastAsia="Times New Roman" w:hAnsi="Segoe UI" w:cs="Segoe UI"/>
                <w:b/>
                <w:sz w:val="20"/>
                <w:szCs w:val="20"/>
              </w:rPr>
            </w:pPr>
            <w:r w:rsidRPr="002E4977">
              <w:rPr>
                <w:rFonts w:ascii="Segoe UI" w:eastAsia="Times New Roman" w:hAnsi="Segoe UI" w:cs="Segoe UI"/>
                <w:b/>
                <w:sz w:val="20"/>
                <w:szCs w:val="20"/>
              </w:rPr>
              <w:t>Ressources Intérieures</w:t>
            </w:r>
          </w:p>
        </w:tc>
        <w:tc>
          <w:tcPr>
            <w:tcW w:w="1119" w:type="dxa"/>
            <w:tcBorders>
              <w:top w:val="nil"/>
              <w:left w:val="double" w:sz="6" w:space="0" w:color="auto"/>
              <w:bottom w:val="single" w:sz="4" w:space="0" w:color="auto"/>
              <w:right w:val="single" w:sz="4" w:space="0" w:color="auto"/>
            </w:tcBorders>
            <w:shd w:val="clear" w:color="auto" w:fill="auto"/>
            <w:noWrap/>
            <w:vAlign w:val="center"/>
            <w:hideMark/>
          </w:tcPr>
          <w:p w14:paraId="26CEB252" w14:textId="7B4776C0" w:rsidR="000326C4" w:rsidRPr="002E4977" w:rsidRDefault="006971B9" w:rsidP="00D2619F">
            <w:pPr>
              <w:spacing w:after="0" w:line="240" w:lineRule="auto"/>
              <w:jc w:val="center"/>
              <w:rPr>
                <w:rFonts w:ascii="Segoe UI" w:eastAsia="Times New Roman" w:hAnsi="Segoe UI" w:cs="Segoe UI"/>
                <w:sz w:val="20"/>
                <w:szCs w:val="20"/>
              </w:rPr>
            </w:pPr>
            <w:r>
              <w:rPr>
                <w:rFonts w:ascii="Segoe UI" w:eastAsia="Times New Roman" w:hAnsi="Segoe UI" w:cs="Segoe UI"/>
                <w:sz w:val="20"/>
                <w:szCs w:val="20"/>
              </w:rPr>
              <w:t>138 314</w:t>
            </w:r>
          </w:p>
        </w:tc>
        <w:tc>
          <w:tcPr>
            <w:tcW w:w="1118" w:type="dxa"/>
            <w:tcBorders>
              <w:top w:val="nil"/>
              <w:left w:val="nil"/>
              <w:bottom w:val="single" w:sz="4" w:space="0" w:color="auto"/>
              <w:right w:val="single" w:sz="4" w:space="0" w:color="auto"/>
            </w:tcBorders>
            <w:shd w:val="clear" w:color="auto" w:fill="auto"/>
            <w:noWrap/>
            <w:vAlign w:val="center"/>
            <w:hideMark/>
          </w:tcPr>
          <w:p w14:paraId="629BB965" w14:textId="77777777" w:rsidR="000326C4" w:rsidRPr="002E4977" w:rsidRDefault="000326C4" w:rsidP="00D2619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51 531,9</w:t>
            </w:r>
          </w:p>
        </w:tc>
        <w:tc>
          <w:tcPr>
            <w:tcW w:w="784" w:type="dxa"/>
            <w:tcBorders>
              <w:top w:val="nil"/>
              <w:left w:val="nil"/>
              <w:bottom w:val="single" w:sz="4" w:space="0" w:color="auto"/>
              <w:right w:val="double" w:sz="6" w:space="0" w:color="auto"/>
            </w:tcBorders>
            <w:shd w:val="clear" w:color="auto" w:fill="auto"/>
            <w:noWrap/>
            <w:vAlign w:val="center"/>
            <w:hideMark/>
          </w:tcPr>
          <w:p w14:paraId="0B244E15" w14:textId="42152D90" w:rsidR="000326C4" w:rsidRPr="002E4977" w:rsidRDefault="006971B9" w:rsidP="00D2619F">
            <w:pPr>
              <w:spacing w:after="0" w:line="240" w:lineRule="auto"/>
              <w:jc w:val="center"/>
              <w:rPr>
                <w:rFonts w:ascii="Segoe UI" w:eastAsia="Times New Roman" w:hAnsi="Segoe UI" w:cs="Segoe UI"/>
                <w:sz w:val="20"/>
                <w:szCs w:val="20"/>
              </w:rPr>
            </w:pPr>
            <w:r>
              <w:rPr>
                <w:rFonts w:ascii="Segoe UI" w:eastAsia="Times New Roman" w:hAnsi="Segoe UI" w:cs="Segoe UI"/>
                <w:sz w:val="20"/>
                <w:szCs w:val="20"/>
              </w:rPr>
              <w:t>37,3</w:t>
            </w:r>
          </w:p>
        </w:tc>
        <w:tc>
          <w:tcPr>
            <w:tcW w:w="1134" w:type="dxa"/>
            <w:tcBorders>
              <w:top w:val="nil"/>
              <w:left w:val="nil"/>
              <w:bottom w:val="single" w:sz="4" w:space="0" w:color="auto"/>
              <w:right w:val="single" w:sz="4" w:space="0" w:color="auto"/>
            </w:tcBorders>
            <w:shd w:val="clear" w:color="auto" w:fill="auto"/>
            <w:noWrap/>
            <w:vAlign w:val="center"/>
            <w:hideMark/>
          </w:tcPr>
          <w:p w14:paraId="0AD42ECF" w14:textId="77777777" w:rsidR="000326C4" w:rsidRPr="002E4977" w:rsidRDefault="000326C4" w:rsidP="00D2619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575 317</w:t>
            </w:r>
          </w:p>
        </w:tc>
        <w:tc>
          <w:tcPr>
            <w:tcW w:w="1090" w:type="dxa"/>
            <w:tcBorders>
              <w:top w:val="nil"/>
              <w:left w:val="nil"/>
              <w:bottom w:val="single" w:sz="4" w:space="0" w:color="auto"/>
              <w:right w:val="single" w:sz="4" w:space="0" w:color="auto"/>
            </w:tcBorders>
            <w:shd w:val="clear" w:color="auto" w:fill="auto"/>
            <w:noWrap/>
            <w:vAlign w:val="center"/>
            <w:hideMark/>
          </w:tcPr>
          <w:p w14:paraId="09147100" w14:textId="77777777" w:rsidR="000326C4" w:rsidRPr="002E4977" w:rsidRDefault="000326C4" w:rsidP="00D2619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49 794,6</w:t>
            </w:r>
          </w:p>
        </w:tc>
        <w:tc>
          <w:tcPr>
            <w:tcW w:w="709" w:type="dxa"/>
            <w:tcBorders>
              <w:top w:val="nil"/>
              <w:left w:val="nil"/>
              <w:bottom w:val="single" w:sz="4" w:space="0" w:color="auto"/>
              <w:right w:val="double" w:sz="6" w:space="0" w:color="auto"/>
            </w:tcBorders>
            <w:shd w:val="clear" w:color="auto" w:fill="auto"/>
            <w:noWrap/>
            <w:vAlign w:val="center"/>
            <w:hideMark/>
          </w:tcPr>
          <w:p w14:paraId="703FD082" w14:textId="77777777" w:rsidR="000326C4" w:rsidRPr="002E4977" w:rsidRDefault="000326C4" w:rsidP="00D2619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8,7</w:t>
            </w:r>
          </w:p>
        </w:tc>
        <w:tc>
          <w:tcPr>
            <w:tcW w:w="992" w:type="dxa"/>
            <w:tcBorders>
              <w:top w:val="nil"/>
              <w:left w:val="nil"/>
              <w:bottom w:val="single" w:sz="4" w:space="0" w:color="auto"/>
              <w:right w:val="single" w:sz="4" w:space="0" w:color="auto"/>
            </w:tcBorders>
            <w:shd w:val="clear" w:color="auto" w:fill="auto"/>
            <w:noWrap/>
            <w:vAlign w:val="center"/>
            <w:hideMark/>
          </w:tcPr>
          <w:p w14:paraId="5B2EFE51" w14:textId="77777777" w:rsidR="000326C4" w:rsidRPr="002E4977" w:rsidRDefault="000326C4" w:rsidP="00D2619F">
            <w:pPr>
              <w:spacing w:after="0" w:line="240" w:lineRule="auto"/>
              <w:jc w:val="center"/>
              <w:rPr>
                <w:rFonts w:ascii="Segoe UI" w:eastAsia="Times New Roman" w:hAnsi="Segoe UI" w:cs="Segoe UI"/>
                <w:bCs/>
                <w:sz w:val="20"/>
                <w:szCs w:val="20"/>
              </w:rPr>
            </w:pPr>
            <w:r w:rsidRPr="002E4977">
              <w:rPr>
                <w:rFonts w:ascii="Segoe UI" w:eastAsia="Times New Roman" w:hAnsi="Segoe UI" w:cs="Segoe UI"/>
                <w:bCs/>
                <w:sz w:val="20"/>
                <w:szCs w:val="20"/>
              </w:rPr>
              <w:t>- 1 737,3</w:t>
            </w:r>
          </w:p>
        </w:tc>
        <w:tc>
          <w:tcPr>
            <w:tcW w:w="992" w:type="dxa"/>
            <w:tcBorders>
              <w:top w:val="nil"/>
              <w:left w:val="nil"/>
              <w:bottom w:val="single" w:sz="4" w:space="0" w:color="auto"/>
              <w:right w:val="single" w:sz="8" w:space="0" w:color="auto"/>
            </w:tcBorders>
            <w:shd w:val="clear" w:color="auto" w:fill="auto"/>
            <w:noWrap/>
            <w:vAlign w:val="center"/>
            <w:hideMark/>
          </w:tcPr>
          <w:p w14:paraId="34DF4344" w14:textId="77777777" w:rsidR="000326C4" w:rsidRPr="002E4977" w:rsidRDefault="000326C4" w:rsidP="00D2619F">
            <w:pPr>
              <w:spacing w:after="0" w:line="240" w:lineRule="auto"/>
              <w:jc w:val="center"/>
              <w:rPr>
                <w:rFonts w:ascii="Segoe UI" w:eastAsia="Times New Roman" w:hAnsi="Segoe UI" w:cs="Segoe UI"/>
                <w:bCs/>
                <w:sz w:val="20"/>
                <w:szCs w:val="20"/>
              </w:rPr>
            </w:pPr>
            <w:r w:rsidRPr="002E4977">
              <w:rPr>
                <w:rFonts w:ascii="Segoe UI" w:eastAsia="Times New Roman" w:hAnsi="Segoe UI" w:cs="Segoe UI"/>
                <w:bCs/>
                <w:sz w:val="20"/>
                <w:szCs w:val="20"/>
              </w:rPr>
              <w:t>- 3,4</w:t>
            </w:r>
          </w:p>
        </w:tc>
      </w:tr>
      <w:tr w:rsidR="000326C4" w:rsidRPr="005E55B0" w14:paraId="37311DD9" w14:textId="77777777" w:rsidTr="009D1844">
        <w:trPr>
          <w:trHeight w:val="300"/>
        </w:trPr>
        <w:tc>
          <w:tcPr>
            <w:tcW w:w="1843" w:type="dxa"/>
            <w:tcBorders>
              <w:top w:val="nil"/>
              <w:left w:val="single" w:sz="4" w:space="0" w:color="auto"/>
              <w:bottom w:val="single" w:sz="4" w:space="0" w:color="auto"/>
              <w:right w:val="nil"/>
            </w:tcBorders>
            <w:shd w:val="clear" w:color="auto" w:fill="auto"/>
            <w:noWrap/>
            <w:vAlign w:val="bottom"/>
            <w:hideMark/>
          </w:tcPr>
          <w:p w14:paraId="31859144" w14:textId="77777777" w:rsidR="000326C4" w:rsidRPr="002E4977" w:rsidRDefault="000326C4" w:rsidP="00D2619F">
            <w:pPr>
              <w:spacing w:after="0" w:line="240" w:lineRule="auto"/>
              <w:rPr>
                <w:rFonts w:ascii="Segoe UI" w:eastAsia="Times New Roman" w:hAnsi="Segoe UI" w:cs="Segoe UI"/>
                <w:b/>
                <w:sz w:val="20"/>
                <w:szCs w:val="20"/>
              </w:rPr>
            </w:pPr>
            <w:r w:rsidRPr="002E4977">
              <w:rPr>
                <w:rFonts w:ascii="Segoe UI" w:eastAsia="Times New Roman" w:hAnsi="Segoe UI" w:cs="Segoe UI"/>
                <w:b/>
                <w:sz w:val="20"/>
                <w:szCs w:val="20"/>
              </w:rPr>
              <w:t xml:space="preserve">Ressources Ext : </w:t>
            </w:r>
            <w:proofErr w:type="spellStart"/>
            <w:r w:rsidRPr="002E4977">
              <w:rPr>
                <w:rFonts w:ascii="Segoe UI" w:eastAsia="Times New Roman" w:hAnsi="Segoe UI" w:cs="Segoe UI"/>
                <w:b/>
                <w:sz w:val="20"/>
                <w:szCs w:val="20"/>
              </w:rPr>
              <w:t>Adm</w:t>
            </w:r>
            <w:proofErr w:type="spellEnd"/>
            <w:r w:rsidRPr="002E4977">
              <w:rPr>
                <w:rFonts w:ascii="Segoe UI" w:eastAsia="Times New Roman" w:hAnsi="Segoe UI" w:cs="Segoe UI"/>
                <w:b/>
                <w:sz w:val="20"/>
                <w:szCs w:val="20"/>
              </w:rPr>
              <w:t xml:space="preserve">. Centrale </w:t>
            </w:r>
          </w:p>
        </w:tc>
        <w:tc>
          <w:tcPr>
            <w:tcW w:w="1119" w:type="dxa"/>
            <w:tcBorders>
              <w:top w:val="nil"/>
              <w:left w:val="double" w:sz="6" w:space="0" w:color="auto"/>
              <w:bottom w:val="single" w:sz="4" w:space="0" w:color="auto"/>
              <w:right w:val="single" w:sz="4" w:space="0" w:color="auto"/>
            </w:tcBorders>
            <w:shd w:val="clear" w:color="auto" w:fill="auto"/>
            <w:noWrap/>
            <w:vAlign w:val="center"/>
            <w:hideMark/>
          </w:tcPr>
          <w:p w14:paraId="6C22AC00" w14:textId="6BF3D16E" w:rsidR="000326C4" w:rsidRPr="002E4977" w:rsidRDefault="006971B9" w:rsidP="00D2619F">
            <w:pPr>
              <w:spacing w:after="0" w:line="240" w:lineRule="auto"/>
              <w:jc w:val="center"/>
              <w:rPr>
                <w:rFonts w:ascii="Segoe UI" w:eastAsia="Times New Roman" w:hAnsi="Segoe UI" w:cs="Segoe UI"/>
                <w:sz w:val="20"/>
                <w:szCs w:val="20"/>
              </w:rPr>
            </w:pPr>
            <w:r>
              <w:rPr>
                <w:rFonts w:ascii="Segoe UI" w:eastAsia="Times New Roman" w:hAnsi="Segoe UI" w:cs="Segoe UI"/>
                <w:sz w:val="20"/>
                <w:szCs w:val="20"/>
              </w:rPr>
              <w:t>142 600</w:t>
            </w:r>
          </w:p>
        </w:tc>
        <w:tc>
          <w:tcPr>
            <w:tcW w:w="1118" w:type="dxa"/>
            <w:tcBorders>
              <w:top w:val="nil"/>
              <w:left w:val="nil"/>
              <w:bottom w:val="single" w:sz="4" w:space="0" w:color="auto"/>
              <w:right w:val="single" w:sz="4" w:space="0" w:color="auto"/>
            </w:tcBorders>
            <w:shd w:val="clear" w:color="auto" w:fill="auto"/>
            <w:noWrap/>
            <w:vAlign w:val="center"/>
            <w:hideMark/>
          </w:tcPr>
          <w:p w14:paraId="092D7516" w14:textId="77777777" w:rsidR="000326C4" w:rsidRPr="002E4977" w:rsidRDefault="000326C4" w:rsidP="00E861C7">
            <w:pPr>
              <w:spacing w:after="0" w:line="240" w:lineRule="auto"/>
              <w:rPr>
                <w:rFonts w:ascii="Segoe UI" w:eastAsia="Times New Roman" w:hAnsi="Segoe UI" w:cs="Segoe UI"/>
                <w:sz w:val="20"/>
                <w:szCs w:val="20"/>
              </w:rPr>
            </w:pPr>
            <w:r w:rsidRPr="002E4977">
              <w:rPr>
                <w:rFonts w:ascii="Segoe UI" w:eastAsia="Times New Roman" w:hAnsi="Segoe UI" w:cs="Segoe UI"/>
                <w:sz w:val="20"/>
                <w:szCs w:val="20"/>
              </w:rPr>
              <w:t>25 519,2</w:t>
            </w:r>
          </w:p>
        </w:tc>
        <w:tc>
          <w:tcPr>
            <w:tcW w:w="784" w:type="dxa"/>
            <w:tcBorders>
              <w:top w:val="nil"/>
              <w:left w:val="nil"/>
              <w:bottom w:val="single" w:sz="4" w:space="0" w:color="auto"/>
              <w:right w:val="double" w:sz="6" w:space="0" w:color="auto"/>
            </w:tcBorders>
            <w:shd w:val="clear" w:color="auto" w:fill="auto"/>
            <w:vAlign w:val="center"/>
            <w:hideMark/>
          </w:tcPr>
          <w:p w14:paraId="2FF194DA" w14:textId="65E28F7A" w:rsidR="000326C4" w:rsidRPr="002E4977" w:rsidRDefault="006971B9" w:rsidP="00E861C7">
            <w:pPr>
              <w:spacing w:after="0" w:line="240" w:lineRule="auto"/>
              <w:rPr>
                <w:rFonts w:ascii="Segoe UI" w:eastAsia="Times New Roman" w:hAnsi="Segoe UI" w:cs="Segoe UI"/>
                <w:sz w:val="20"/>
                <w:szCs w:val="20"/>
              </w:rPr>
            </w:pPr>
            <w:r>
              <w:rPr>
                <w:rFonts w:ascii="Segoe UI" w:eastAsia="Times New Roman" w:hAnsi="Segoe UI" w:cs="Segoe UI"/>
                <w:sz w:val="20"/>
                <w:szCs w:val="20"/>
              </w:rPr>
              <w:t xml:space="preserve">   17,9</w:t>
            </w:r>
          </w:p>
        </w:tc>
        <w:tc>
          <w:tcPr>
            <w:tcW w:w="1134" w:type="dxa"/>
            <w:tcBorders>
              <w:top w:val="nil"/>
              <w:left w:val="nil"/>
              <w:bottom w:val="single" w:sz="4" w:space="0" w:color="auto"/>
              <w:right w:val="single" w:sz="4" w:space="0" w:color="auto"/>
            </w:tcBorders>
            <w:shd w:val="clear" w:color="auto" w:fill="auto"/>
            <w:noWrap/>
            <w:vAlign w:val="center"/>
            <w:hideMark/>
          </w:tcPr>
          <w:p w14:paraId="61E82A16" w14:textId="77777777" w:rsidR="000326C4" w:rsidRPr="002E4977" w:rsidRDefault="000326C4" w:rsidP="00D2619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233 000</w:t>
            </w:r>
          </w:p>
        </w:tc>
        <w:tc>
          <w:tcPr>
            <w:tcW w:w="1090" w:type="dxa"/>
            <w:tcBorders>
              <w:top w:val="nil"/>
              <w:left w:val="nil"/>
              <w:bottom w:val="single" w:sz="4" w:space="0" w:color="auto"/>
              <w:right w:val="single" w:sz="4" w:space="0" w:color="auto"/>
            </w:tcBorders>
            <w:shd w:val="clear" w:color="auto" w:fill="auto"/>
            <w:noWrap/>
            <w:vAlign w:val="center"/>
            <w:hideMark/>
          </w:tcPr>
          <w:p w14:paraId="22A3855B" w14:textId="77777777" w:rsidR="000326C4" w:rsidRPr="002E4977" w:rsidRDefault="000326C4" w:rsidP="00D2619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35 354</w:t>
            </w:r>
          </w:p>
        </w:tc>
        <w:tc>
          <w:tcPr>
            <w:tcW w:w="709" w:type="dxa"/>
            <w:tcBorders>
              <w:top w:val="nil"/>
              <w:left w:val="nil"/>
              <w:bottom w:val="single" w:sz="4" w:space="0" w:color="auto"/>
              <w:right w:val="double" w:sz="6" w:space="0" w:color="auto"/>
            </w:tcBorders>
            <w:shd w:val="clear" w:color="auto" w:fill="auto"/>
            <w:vAlign w:val="center"/>
            <w:hideMark/>
          </w:tcPr>
          <w:p w14:paraId="763FB518" w14:textId="77777777" w:rsidR="000326C4" w:rsidRPr="002E4977" w:rsidRDefault="000326C4" w:rsidP="00D2619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15,2</w:t>
            </w:r>
          </w:p>
        </w:tc>
        <w:tc>
          <w:tcPr>
            <w:tcW w:w="992" w:type="dxa"/>
            <w:tcBorders>
              <w:top w:val="nil"/>
              <w:left w:val="nil"/>
              <w:bottom w:val="single" w:sz="4" w:space="0" w:color="auto"/>
              <w:right w:val="single" w:sz="4" w:space="0" w:color="auto"/>
            </w:tcBorders>
            <w:shd w:val="clear" w:color="auto" w:fill="auto"/>
            <w:noWrap/>
            <w:vAlign w:val="center"/>
            <w:hideMark/>
          </w:tcPr>
          <w:p w14:paraId="05134D0A" w14:textId="77777777" w:rsidR="000326C4" w:rsidRPr="002E4977" w:rsidRDefault="000326C4" w:rsidP="00D2619F">
            <w:pPr>
              <w:spacing w:after="0" w:line="240" w:lineRule="auto"/>
              <w:jc w:val="center"/>
              <w:rPr>
                <w:rFonts w:ascii="Segoe UI" w:eastAsia="Times New Roman" w:hAnsi="Segoe UI" w:cs="Segoe UI"/>
                <w:bCs/>
                <w:sz w:val="20"/>
                <w:szCs w:val="20"/>
              </w:rPr>
            </w:pPr>
            <w:r w:rsidRPr="002E4977">
              <w:rPr>
                <w:rFonts w:ascii="Segoe UI" w:eastAsia="Times New Roman" w:hAnsi="Segoe UI" w:cs="Segoe UI"/>
                <w:bCs/>
                <w:sz w:val="20"/>
                <w:szCs w:val="20"/>
              </w:rPr>
              <w:t>9 834,8</w:t>
            </w:r>
          </w:p>
        </w:tc>
        <w:tc>
          <w:tcPr>
            <w:tcW w:w="992" w:type="dxa"/>
            <w:tcBorders>
              <w:top w:val="nil"/>
              <w:left w:val="nil"/>
              <w:bottom w:val="single" w:sz="4" w:space="0" w:color="auto"/>
              <w:right w:val="single" w:sz="8" w:space="0" w:color="auto"/>
            </w:tcBorders>
            <w:shd w:val="clear" w:color="auto" w:fill="auto"/>
            <w:noWrap/>
            <w:vAlign w:val="center"/>
            <w:hideMark/>
          </w:tcPr>
          <w:p w14:paraId="507F1AB9" w14:textId="77777777" w:rsidR="000326C4" w:rsidRPr="002E4977" w:rsidRDefault="000326C4" w:rsidP="00D2619F">
            <w:pPr>
              <w:spacing w:after="0" w:line="240" w:lineRule="auto"/>
              <w:jc w:val="center"/>
              <w:rPr>
                <w:rFonts w:ascii="Segoe UI" w:eastAsia="Times New Roman" w:hAnsi="Segoe UI" w:cs="Segoe UI"/>
                <w:bCs/>
                <w:sz w:val="20"/>
                <w:szCs w:val="20"/>
              </w:rPr>
            </w:pPr>
            <w:r w:rsidRPr="002E4977">
              <w:rPr>
                <w:rFonts w:ascii="Segoe UI" w:eastAsia="Times New Roman" w:hAnsi="Segoe UI" w:cs="Segoe UI"/>
                <w:bCs/>
                <w:sz w:val="20"/>
                <w:szCs w:val="20"/>
              </w:rPr>
              <w:t>38,5</w:t>
            </w:r>
          </w:p>
        </w:tc>
      </w:tr>
      <w:tr w:rsidR="000326C4" w:rsidRPr="005E55B0" w14:paraId="452195F2" w14:textId="77777777" w:rsidTr="009D1844">
        <w:trPr>
          <w:trHeight w:val="300"/>
        </w:trPr>
        <w:tc>
          <w:tcPr>
            <w:tcW w:w="1843" w:type="dxa"/>
            <w:tcBorders>
              <w:top w:val="nil"/>
              <w:left w:val="single" w:sz="4" w:space="0" w:color="auto"/>
              <w:bottom w:val="single" w:sz="4" w:space="0" w:color="auto"/>
              <w:right w:val="nil"/>
            </w:tcBorders>
            <w:shd w:val="clear" w:color="auto" w:fill="auto"/>
            <w:noWrap/>
            <w:vAlign w:val="bottom"/>
            <w:hideMark/>
          </w:tcPr>
          <w:p w14:paraId="7252E439" w14:textId="77777777" w:rsidR="000326C4" w:rsidRPr="002E4977" w:rsidRDefault="000326C4" w:rsidP="00D2619F">
            <w:pPr>
              <w:spacing w:after="0" w:line="240" w:lineRule="auto"/>
              <w:rPr>
                <w:rFonts w:ascii="Segoe UI" w:eastAsia="Times New Roman" w:hAnsi="Segoe UI" w:cs="Segoe UI"/>
                <w:sz w:val="20"/>
                <w:szCs w:val="20"/>
              </w:rPr>
            </w:pPr>
            <w:r w:rsidRPr="002E4977">
              <w:rPr>
                <w:rFonts w:ascii="Segoe UI" w:eastAsia="Times New Roman" w:hAnsi="Segoe UI" w:cs="Segoe UI"/>
                <w:sz w:val="20"/>
                <w:szCs w:val="20"/>
              </w:rPr>
              <w:t xml:space="preserve">         *Prêts </w:t>
            </w:r>
          </w:p>
        </w:tc>
        <w:tc>
          <w:tcPr>
            <w:tcW w:w="1119" w:type="dxa"/>
            <w:tcBorders>
              <w:top w:val="nil"/>
              <w:left w:val="double" w:sz="6" w:space="0" w:color="auto"/>
              <w:bottom w:val="single" w:sz="4" w:space="0" w:color="auto"/>
              <w:right w:val="single" w:sz="4" w:space="0" w:color="auto"/>
            </w:tcBorders>
            <w:shd w:val="clear" w:color="auto" w:fill="auto"/>
            <w:noWrap/>
            <w:vAlign w:val="center"/>
            <w:hideMark/>
          </w:tcPr>
          <w:p w14:paraId="710A491A" w14:textId="0A563B60" w:rsidR="000326C4" w:rsidRPr="002E4977" w:rsidRDefault="006971B9" w:rsidP="00D2619F">
            <w:pPr>
              <w:spacing w:after="0" w:line="240" w:lineRule="auto"/>
              <w:jc w:val="center"/>
              <w:rPr>
                <w:rFonts w:ascii="Segoe UI" w:eastAsia="Times New Roman" w:hAnsi="Segoe UI" w:cs="Segoe UI"/>
                <w:sz w:val="20"/>
                <w:szCs w:val="20"/>
              </w:rPr>
            </w:pPr>
            <w:r>
              <w:rPr>
                <w:rFonts w:ascii="Segoe UI" w:eastAsia="Times New Roman" w:hAnsi="Segoe UI" w:cs="Segoe UI"/>
                <w:sz w:val="20"/>
                <w:szCs w:val="20"/>
              </w:rPr>
              <w:t>99 770</w:t>
            </w:r>
          </w:p>
        </w:tc>
        <w:tc>
          <w:tcPr>
            <w:tcW w:w="1118" w:type="dxa"/>
            <w:tcBorders>
              <w:top w:val="nil"/>
              <w:left w:val="nil"/>
              <w:bottom w:val="single" w:sz="4" w:space="0" w:color="auto"/>
              <w:right w:val="single" w:sz="4" w:space="0" w:color="auto"/>
            </w:tcBorders>
            <w:shd w:val="clear" w:color="auto" w:fill="auto"/>
            <w:noWrap/>
            <w:vAlign w:val="center"/>
            <w:hideMark/>
          </w:tcPr>
          <w:p w14:paraId="32A367F4" w14:textId="77777777" w:rsidR="000326C4" w:rsidRPr="002E4977" w:rsidRDefault="000326C4" w:rsidP="00D2619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20 075,1</w:t>
            </w:r>
          </w:p>
        </w:tc>
        <w:tc>
          <w:tcPr>
            <w:tcW w:w="784" w:type="dxa"/>
            <w:tcBorders>
              <w:top w:val="nil"/>
              <w:left w:val="nil"/>
              <w:bottom w:val="single" w:sz="4" w:space="0" w:color="auto"/>
              <w:right w:val="double" w:sz="6" w:space="0" w:color="auto"/>
            </w:tcBorders>
            <w:shd w:val="clear" w:color="auto" w:fill="auto"/>
            <w:vAlign w:val="center"/>
            <w:hideMark/>
          </w:tcPr>
          <w:p w14:paraId="41D7B8B5" w14:textId="07D77A9E" w:rsidR="000326C4" w:rsidRPr="002E4977" w:rsidRDefault="006971B9" w:rsidP="00D2619F">
            <w:pPr>
              <w:spacing w:after="0" w:line="240" w:lineRule="auto"/>
              <w:jc w:val="center"/>
              <w:rPr>
                <w:rFonts w:ascii="Segoe UI" w:eastAsia="Times New Roman" w:hAnsi="Segoe UI" w:cs="Segoe UI"/>
                <w:sz w:val="20"/>
                <w:szCs w:val="20"/>
              </w:rPr>
            </w:pPr>
            <w:r>
              <w:rPr>
                <w:rFonts w:ascii="Segoe UI" w:eastAsia="Times New Roman" w:hAnsi="Segoe UI" w:cs="Segoe UI"/>
                <w:sz w:val="20"/>
                <w:szCs w:val="20"/>
              </w:rPr>
              <w:t>20,1</w:t>
            </w:r>
          </w:p>
        </w:tc>
        <w:tc>
          <w:tcPr>
            <w:tcW w:w="1134" w:type="dxa"/>
            <w:tcBorders>
              <w:top w:val="nil"/>
              <w:left w:val="nil"/>
              <w:bottom w:val="single" w:sz="4" w:space="0" w:color="auto"/>
              <w:right w:val="single" w:sz="4" w:space="0" w:color="auto"/>
            </w:tcBorders>
            <w:shd w:val="clear" w:color="auto" w:fill="auto"/>
            <w:noWrap/>
            <w:vAlign w:val="center"/>
            <w:hideMark/>
          </w:tcPr>
          <w:p w14:paraId="0BD5D305" w14:textId="77777777" w:rsidR="000326C4" w:rsidRPr="002E4977" w:rsidRDefault="000326C4" w:rsidP="00D2619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172 700</w:t>
            </w:r>
          </w:p>
        </w:tc>
        <w:tc>
          <w:tcPr>
            <w:tcW w:w="1090" w:type="dxa"/>
            <w:tcBorders>
              <w:top w:val="nil"/>
              <w:left w:val="nil"/>
              <w:bottom w:val="single" w:sz="4" w:space="0" w:color="auto"/>
              <w:right w:val="single" w:sz="4" w:space="0" w:color="auto"/>
            </w:tcBorders>
            <w:shd w:val="clear" w:color="auto" w:fill="auto"/>
            <w:noWrap/>
            <w:vAlign w:val="center"/>
            <w:hideMark/>
          </w:tcPr>
          <w:p w14:paraId="250D236F" w14:textId="77777777" w:rsidR="000326C4" w:rsidRPr="002E4977" w:rsidRDefault="000326C4" w:rsidP="00D2619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29 319</w:t>
            </w:r>
          </w:p>
        </w:tc>
        <w:tc>
          <w:tcPr>
            <w:tcW w:w="709" w:type="dxa"/>
            <w:tcBorders>
              <w:top w:val="nil"/>
              <w:left w:val="nil"/>
              <w:bottom w:val="single" w:sz="4" w:space="0" w:color="auto"/>
              <w:right w:val="double" w:sz="6" w:space="0" w:color="auto"/>
            </w:tcBorders>
            <w:shd w:val="clear" w:color="auto" w:fill="auto"/>
            <w:vAlign w:val="center"/>
            <w:hideMark/>
          </w:tcPr>
          <w:p w14:paraId="04153125" w14:textId="77777777" w:rsidR="000326C4" w:rsidRPr="002E4977" w:rsidRDefault="000326C4" w:rsidP="00D2619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17,0</w:t>
            </w:r>
          </w:p>
        </w:tc>
        <w:tc>
          <w:tcPr>
            <w:tcW w:w="992" w:type="dxa"/>
            <w:tcBorders>
              <w:top w:val="nil"/>
              <w:left w:val="nil"/>
              <w:bottom w:val="single" w:sz="4" w:space="0" w:color="auto"/>
              <w:right w:val="single" w:sz="4" w:space="0" w:color="auto"/>
            </w:tcBorders>
            <w:shd w:val="clear" w:color="auto" w:fill="auto"/>
            <w:noWrap/>
            <w:vAlign w:val="center"/>
            <w:hideMark/>
          </w:tcPr>
          <w:p w14:paraId="3C0B076C" w14:textId="77777777" w:rsidR="000326C4" w:rsidRPr="002E4977" w:rsidRDefault="000326C4" w:rsidP="00D2619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9 243,9</w:t>
            </w:r>
          </w:p>
        </w:tc>
        <w:tc>
          <w:tcPr>
            <w:tcW w:w="992" w:type="dxa"/>
            <w:tcBorders>
              <w:top w:val="nil"/>
              <w:left w:val="nil"/>
              <w:bottom w:val="single" w:sz="4" w:space="0" w:color="auto"/>
              <w:right w:val="single" w:sz="8" w:space="0" w:color="auto"/>
            </w:tcBorders>
            <w:shd w:val="clear" w:color="auto" w:fill="auto"/>
            <w:noWrap/>
            <w:vAlign w:val="center"/>
            <w:hideMark/>
          </w:tcPr>
          <w:p w14:paraId="0E288FCE" w14:textId="77777777" w:rsidR="000326C4" w:rsidRPr="002E4977" w:rsidRDefault="000326C4" w:rsidP="00D2619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46,0</w:t>
            </w:r>
          </w:p>
        </w:tc>
      </w:tr>
      <w:tr w:rsidR="000326C4" w:rsidRPr="005E55B0" w14:paraId="5EF7F7E2" w14:textId="77777777" w:rsidTr="009D1844">
        <w:trPr>
          <w:trHeight w:val="300"/>
        </w:trPr>
        <w:tc>
          <w:tcPr>
            <w:tcW w:w="1843" w:type="dxa"/>
            <w:tcBorders>
              <w:top w:val="nil"/>
              <w:left w:val="single" w:sz="4" w:space="0" w:color="auto"/>
              <w:bottom w:val="single" w:sz="4" w:space="0" w:color="auto"/>
              <w:right w:val="nil"/>
            </w:tcBorders>
            <w:shd w:val="clear" w:color="auto" w:fill="auto"/>
            <w:noWrap/>
            <w:vAlign w:val="bottom"/>
            <w:hideMark/>
          </w:tcPr>
          <w:p w14:paraId="34824306" w14:textId="77777777" w:rsidR="000326C4" w:rsidRPr="002E4977" w:rsidRDefault="000326C4" w:rsidP="00D2619F">
            <w:pPr>
              <w:spacing w:after="0" w:line="240" w:lineRule="auto"/>
              <w:rPr>
                <w:rFonts w:ascii="Segoe UI" w:eastAsia="Times New Roman" w:hAnsi="Segoe UI" w:cs="Segoe UI"/>
                <w:sz w:val="20"/>
                <w:szCs w:val="20"/>
              </w:rPr>
            </w:pPr>
            <w:r w:rsidRPr="002E4977">
              <w:rPr>
                <w:rFonts w:ascii="Segoe UI" w:eastAsia="Times New Roman" w:hAnsi="Segoe UI" w:cs="Segoe UI"/>
                <w:sz w:val="20"/>
                <w:szCs w:val="20"/>
              </w:rPr>
              <w:t xml:space="preserve">         *Dons</w:t>
            </w:r>
          </w:p>
        </w:tc>
        <w:tc>
          <w:tcPr>
            <w:tcW w:w="1119" w:type="dxa"/>
            <w:tcBorders>
              <w:top w:val="nil"/>
              <w:left w:val="double" w:sz="6" w:space="0" w:color="auto"/>
              <w:bottom w:val="single" w:sz="4" w:space="0" w:color="auto"/>
              <w:right w:val="single" w:sz="4" w:space="0" w:color="auto"/>
            </w:tcBorders>
            <w:shd w:val="clear" w:color="auto" w:fill="auto"/>
            <w:noWrap/>
            <w:vAlign w:val="center"/>
            <w:hideMark/>
          </w:tcPr>
          <w:p w14:paraId="04521C6B" w14:textId="1E4E0AEC" w:rsidR="000326C4" w:rsidRPr="002E4977" w:rsidRDefault="006971B9" w:rsidP="00D2619F">
            <w:pPr>
              <w:spacing w:after="0" w:line="240" w:lineRule="auto"/>
              <w:jc w:val="center"/>
              <w:rPr>
                <w:rFonts w:ascii="Segoe UI" w:eastAsia="Times New Roman" w:hAnsi="Segoe UI" w:cs="Segoe UI"/>
                <w:sz w:val="20"/>
                <w:szCs w:val="20"/>
              </w:rPr>
            </w:pPr>
            <w:r>
              <w:rPr>
                <w:rFonts w:ascii="Segoe UI" w:eastAsia="Times New Roman" w:hAnsi="Segoe UI" w:cs="Segoe UI"/>
                <w:sz w:val="20"/>
                <w:szCs w:val="20"/>
              </w:rPr>
              <w:t>42 830</w:t>
            </w:r>
          </w:p>
        </w:tc>
        <w:tc>
          <w:tcPr>
            <w:tcW w:w="1118" w:type="dxa"/>
            <w:tcBorders>
              <w:top w:val="nil"/>
              <w:left w:val="nil"/>
              <w:bottom w:val="single" w:sz="4" w:space="0" w:color="auto"/>
              <w:right w:val="single" w:sz="4" w:space="0" w:color="auto"/>
            </w:tcBorders>
            <w:shd w:val="clear" w:color="auto" w:fill="auto"/>
            <w:noWrap/>
            <w:vAlign w:val="center"/>
            <w:hideMark/>
          </w:tcPr>
          <w:p w14:paraId="5D18E32D" w14:textId="77777777" w:rsidR="000326C4" w:rsidRPr="002E4977" w:rsidRDefault="000326C4" w:rsidP="00D2619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5 444,1</w:t>
            </w:r>
          </w:p>
        </w:tc>
        <w:tc>
          <w:tcPr>
            <w:tcW w:w="784" w:type="dxa"/>
            <w:tcBorders>
              <w:top w:val="nil"/>
              <w:left w:val="nil"/>
              <w:bottom w:val="single" w:sz="4" w:space="0" w:color="auto"/>
              <w:right w:val="double" w:sz="6" w:space="0" w:color="auto"/>
            </w:tcBorders>
            <w:shd w:val="clear" w:color="auto" w:fill="auto"/>
            <w:vAlign w:val="center"/>
            <w:hideMark/>
          </w:tcPr>
          <w:p w14:paraId="1ED018EE" w14:textId="01593B03" w:rsidR="000326C4" w:rsidRPr="002E4977" w:rsidRDefault="006971B9" w:rsidP="00D2619F">
            <w:pPr>
              <w:spacing w:after="0" w:line="240" w:lineRule="auto"/>
              <w:jc w:val="center"/>
              <w:rPr>
                <w:rFonts w:ascii="Segoe UI" w:eastAsia="Times New Roman" w:hAnsi="Segoe UI" w:cs="Segoe UI"/>
                <w:sz w:val="20"/>
                <w:szCs w:val="20"/>
              </w:rPr>
            </w:pPr>
            <w:r>
              <w:rPr>
                <w:rFonts w:ascii="Segoe UI" w:eastAsia="Times New Roman" w:hAnsi="Segoe UI" w:cs="Segoe UI"/>
                <w:sz w:val="20"/>
                <w:szCs w:val="20"/>
              </w:rPr>
              <w:t>12,7</w:t>
            </w:r>
          </w:p>
        </w:tc>
        <w:tc>
          <w:tcPr>
            <w:tcW w:w="1134" w:type="dxa"/>
            <w:tcBorders>
              <w:top w:val="nil"/>
              <w:left w:val="nil"/>
              <w:bottom w:val="single" w:sz="4" w:space="0" w:color="auto"/>
              <w:right w:val="single" w:sz="4" w:space="0" w:color="auto"/>
            </w:tcBorders>
            <w:shd w:val="clear" w:color="auto" w:fill="auto"/>
            <w:noWrap/>
            <w:vAlign w:val="center"/>
            <w:hideMark/>
          </w:tcPr>
          <w:p w14:paraId="3059254C" w14:textId="77777777" w:rsidR="000326C4" w:rsidRPr="002E4977" w:rsidRDefault="000326C4" w:rsidP="00D2619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60 300</w:t>
            </w:r>
          </w:p>
        </w:tc>
        <w:tc>
          <w:tcPr>
            <w:tcW w:w="1090" w:type="dxa"/>
            <w:tcBorders>
              <w:top w:val="nil"/>
              <w:left w:val="nil"/>
              <w:bottom w:val="single" w:sz="4" w:space="0" w:color="auto"/>
              <w:right w:val="single" w:sz="4" w:space="0" w:color="auto"/>
            </w:tcBorders>
            <w:shd w:val="clear" w:color="auto" w:fill="auto"/>
            <w:noWrap/>
            <w:vAlign w:val="center"/>
            <w:hideMark/>
          </w:tcPr>
          <w:p w14:paraId="66F8AF58" w14:textId="77777777" w:rsidR="000326C4" w:rsidRPr="002E4977" w:rsidRDefault="000326C4" w:rsidP="00D2619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6 035</w:t>
            </w:r>
          </w:p>
        </w:tc>
        <w:tc>
          <w:tcPr>
            <w:tcW w:w="709" w:type="dxa"/>
            <w:tcBorders>
              <w:top w:val="nil"/>
              <w:left w:val="nil"/>
              <w:bottom w:val="single" w:sz="4" w:space="0" w:color="auto"/>
              <w:right w:val="double" w:sz="6" w:space="0" w:color="auto"/>
            </w:tcBorders>
            <w:shd w:val="clear" w:color="auto" w:fill="auto"/>
            <w:vAlign w:val="center"/>
            <w:hideMark/>
          </w:tcPr>
          <w:p w14:paraId="6D6BC1E5" w14:textId="77777777" w:rsidR="000326C4" w:rsidRPr="002E4977" w:rsidRDefault="000326C4" w:rsidP="00D2619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10,0</w:t>
            </w:r>
          </w:p>
        </w:tc>
        <w:tc>
          <w:tcPr>
            <w:tcW w:w="992" w:type="dxa"/>
            <w:tcBorders>
              <w:top w:val="nil"/>
              <w:left w:val="nil"/>
              <w:bottom w:val="single" w:sz="4" w:space="0" w:color="auto"/>
              <w:right w:val="single" w:sz="4" w:space="0" w:color="auto"/>
            </w:tcBorders>
            <w:shd w:val="clear" w:color="auto" w:fill="auto"/>
            <w:noWrap/>
            <w:vAlign w:val="center"/>
            <w:hideMark/>
          </w:tcPr>
          <w:p w14:paraId="59FA62DA" w14:textId="77777777" w:rsidR="000326C4" w:rsidRPr="002E4977" w:rsidRDefault="000326C4" w:rsidP="00D2619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590,9</w:t>
            </w:r>
          </w:p>
        </w:tc>
        <w:tc>
          <w:tcPr>
            <w:tcW w:w="992" w:type="dxa"/>
            <w:tcBorders>
              <w:top w:val="nil"/>
              <w:left w:val="nil"/>
              <w:bottom w:val="single" w:sz="4" w:space="0" w:color="auto"/>
              <w:right w:val="single" w:sz="8" w:space="0" w:color="auto"/>
            </w:tcBorders>
            <w:shd w:val="clear" w:color="auto" w:fill="auto"/>
            <w:noWrap/>
            <w:vAlign w:val="center"/>
            <w:hideMark/>
          </w:tcPr>
          <w:p w14:paraId="75AF3E5A" w14:textId="77777777" w:rsidR="000326C4" w:rsidRPr="002E4977" w:rsidRDefault="000326C4" w:rsidP="00D2619F">
            <w:pPr>
              <w:spacing w:after="0" w:line="240" w:lineRule="auto"/>
              <w:jc w:val="center"/>
              <w:rPr>
                <w:rFonts w:ascii="Segoe UI" w:eastAsia="Times New Roman" w:hAnsi="Segoe UI" w:cs="Segoe UI"/>
                <w:sz w:val="20"/>
                <w:szCs w:val="20"/>
              </w:rPr>
            </w:pPr>
            <w:r w:rsidRPr="002E4977">
              <w:rPr>
                <w:rFonts w:ascii="Segoe UI" w:eastAsia="Times New Roman" w:hAnsi="Segoe UI" w:cs="Segoe UI"/>
                <w:sz w:val="20"/>
                <w:szCs w:val="20"/>
              </w:rPr>
              <w:t>10,9</w:t>
            </w:r>
          </w:p>
        </w:tc>
      </w:tr>
      <w:tr w:rsidR="000326C4" w:rsidRPr="005E55B0" w14:paraId="5B30B145" w14:textId="77777777" w:rsidTr="009D1844">
        <w:trPr>
          <w:trHeight w:val="330"/>
        </w:trPr>
        <w:tc>
          <w:tcPr>
            <w:tcW w:w="1843" w:type="dxa"/>
            <w:tcBorders>
              <w:top w:val="single" w:sz="8" w:space="0" w:color="auto"/>
              <w:left w:val="single" w:sz="8" w:space="0" w:color="auto"/>
              <w:bottom w:val="single" w:sz="8" w:space="0" w:color="auto"/>
              <w:right w:val="nil"/>
            </w:tcBorders>
            <w:shd w:val="clear" w:color="auto" w:fill="auto"/>
            <w:noWrap/>
            <w:vAlign w:val="center"/>
            <w:hideMark/>
          </w:tcPr>
          <w:p w14:paraId="69ED763C" w14:textId="77777777" w:rsidR="000326C4" w:rsidRPr="002E4977" w:rsidRDefault="000326C4" w:rsidP="00D2619F">
            <w:pPr>
              <w:spacing w:after="0" w:line="240" w:lineRule="auto"/>
              <w:rPr>
                <w:rFonts w:ascii="Segoe UI" w:eastAsia="Times New Roman" w:hAnsi="Segoe UI" w:cs="Segoe UI"/>
                <w:sz w:val="20"/>
                <w:szCs w:val="20"/>
              </w:rPr>
            </w:pPr>
            <w:r w:rsidRPr="002E4977">
              <w:rPr>
                <w:rFonts w:ascii="Segoe UI" w:eastAsia="Times New Roman" w:hAnsi="Segoe UI" w:cs="Segoe UI"/>
                <w:sz w:val="20"/>
                <w:szCs w:val="20"/>
              </w:rPr>
              <w:t xml:space="preserve">        </w:t>
            </w:r>
            <w:r w:rsidRPr="002E4977">
              <w:rPr>
                <w:rFonts w:ascii="Segoe UI" w:eastAsia="Times New Roman" w:hAnsi="Segoe UI" w:cs="Segoe UI"/>
                <w:b/>
                <w:bCs/>
                <w:sz w:val="20"/>
                <w:szCs w:val="20"/>
              </w:rPr>
              <w:t>TOTAL</w:t>
            </w:r>
          </w:p>
        </w:tc>
        <w:tc>
          <w:tcPr>
            <w:tcW w:w="1119" w:type="dxa"/>
            <w:tcBorders>
              <w:top w:val="nil"/>
              <w:left w:val="double" w:sz="6" w:space="0" w:color="auto"/>
              <w:bottom w:val="single" w:sz="8" w:space="0" w:color="auto"/>
              <w:right w:val="single" w:sz="4" w:space="0" w:color="auto"/>
            </w:tcBorders>
            <w:shd w:val="clear" w:color="auto" w:fill="auto"/>
            <w:noWrap/>
            <w:vAlign w:val="center"/>
            <w:hideMark/>
          </w:tcPr>
          <w:p w14:paraId="55DDD388" w14:textId="559EFF32" w:rsidR="000326C4" w:rsidRPr="002E4977" w:rsidRDefault="006971B9" w:rsidP="00D2619F">
            <w:pPr>
              <w:spacing w:after="0" w:line="240" w:lineRule="auto"/>
              <w:jc w:val="center"/>
              <w:rPr>
                <w:rFonts w:ascii="Segoe UI" w:eastAsia="Times New Roman" w:hAnsi="Segoe UI" w:cs="Segoe UI"/>
                <w:b/>
                <w:bCs/>
                <w:sz w:val="20"/>
                <w:szCs w:val="20"/>
              </w:rPr>
            </w:pPr>
            <w:r>
              <w:rPr>
                <w:rFonts w:ascii="Segoe UI" w:eastAsia="Times New Roman" w:hAnsi="Segoe UI" w:cs="Segoe UI"/>
                <w:b/>
                <w:bCs/>
                <w:sz w:val="20"/>
                <w:szCs w:val="20"/>
              </w:rPr>
              <w:t>280 914</w:t>
            </w:r>
          </w:p>
        </w:tc>
        <w:tc>
          <w:tcPr>
            <w:tcW w:w="1118" w:type="dxa"/>
            <w:tcBorders>
              <w:top w:val="single" w:sz="8" w:space="0" w:color="auto"/>
              <w:left w:val="nil"/>
              <w:bottom w:val="single" w:sz="8" w:space="0" w:color="auto"/>
              <w:right w:val="single" w:sz="4" w:space="0" w:color="auto"/>
            </w:tcBorders>
            <w:shd w:val="clear" w:color="auto" w:fill="auto"/>
            <w:noWrap/>
            <w:vAlign w:val="center"/>
            <w:hideMark/>
          </w:tcPr>
          <w:p w14:paraId="3A08EC49" w14:textId="77777777" w:rsidR="000326C4" w:rsidRPr="002E4977" w:rsidRDefault="000326C4" w:rsidP="00D2619F">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77 051,1</w:t>
            </w:r>
          </w:p>
        </w:tc>
        <w:tc>
          <w:tcPr>
            <w:tcW w:w="784" w:type="dxa"/>
            <w:tcBorders>
              <w:top w:val="single" w:sz="8" w:space="0" w:color="auto"/>
              <w:left w:val="nil"/>
              <w:bottom w:val="single" w:sz="8" w:space="0" w:color="auto"/>
              <w:right w:val="double" w:sz="6" w:space="0" w:color="auto"/>
            </w:tcBorders>
            <w:shd w:val="clear" w:color="auto" w:fill="auto"/>
            <w:vAlign w:val="center"/>
            <w:hideMark/>
          </w:tcPr>
          <w:p w14:paraId="035D8B3C" w14:textId="528BC62D" w:rsidR="000326C4" w:rsidRPr="002E4977" w:rsidRDefault="006971B9" w:rsidP="00D2619F">
            <w:pPr>
              <w:spacing w:after="0" w:line="240" w:lineRule="auto"/>
              <w:jc w:val="center"/>
              <w:rPr>
                <w:rFonts w:ascii="Segoe UI" w:eastAsia="Times New Roman" w:hAnsi="Segoe UI" w:cs="Segoe UI"/>
                <w:b/>
                <w:bCs/>
                <w:sz w:val="20"/>
                <w:szCs w:val="20"/>
              </w:rPr>
            </w:pPr>
            <w:r>
              <w:rPr>
                <w:rFonts w:ascii="Segoe UI" w:eastAsia="Times New Roman" w:hAnsi="Segoe UI" w:cs="Segoe UI"/>
                <w:b/>
                <w:bCs/>
                <w:sz w:val="20"/>
                <w:szCs w:val="20"/>
              </w:rPr>
              <w:t>27,7</w:t>
            </w:r>
          </w:p>
        </w:tc>
        <w:tc>
          <w:tcPr>
            <w:tcW w:w="1134" w:type="dxa"/>
            <w:tcBorders>
              <w:top w:val="nil"/>
              <w:left w:val="nil"/>
              <w:bottom w:val="single" w:sz="8" w:space="0" w:color="auto"/>
              <w:right w:val="single" w:sz="4" w:space="0" w:color="auto"/>
            </w:tcBorders>
            <w:shd w:val="clear" w:color="auto" w:fill="auto"/>
            <w:noWrap/>
            <w:vAlign w:val="center"/>
            <w:hideMark/>
          </w:tcPr>
          <w:p w14:paraId="36B320B0" w14:textId="77777777" w:rsidR="000326C4" w:rsidRPr="002E4977" w:rsidRDefault="000326C4" w:rsidP="00D2619F">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808 317</w:t>
            </w:r>
          </w:p>
        </w:tc>
        <w:tc>
          <w:tcPr>
            <w:tcW w:w="1090" w:type="dxa"/>
            <w:tcBorders>
              <w:top w:val="single" w:sz="8" w:space="0" w:color="auto"/>
              <w:left w:val="nil"/>
              <w:bottom w:val="single" w:sz="8" w:space="0" w:color="auto"/>
              <w:right w:val="single" w:sz="4" w:space="0" w:color="auto"/>
            </w:tcBorders>
            <w:shd w:val="clear" w:color="auto" w:fill="auto"/>
            <w:noWrap/>
            <w:vAlign w:val="center"/>
            <w:hideMark/>
          </w:tcPr>
          <w:p w14:paraId="10F9DA01" w14:textId="310778BB" w:rsidR="000326C4" w:rsidRPr="002E4977" w:rsidRDefault="00E861C7" w:rsidP="006971B9">
            <w:pPr>
              <w:spacing w:after="0" w:line="240" w:lineRule="auto"/>
              <w:rPr>
                <w:rFonts w:ascii="Segoe UI" w:eastAsia="Times New Roman" w:hAnsi="Segoe UI" w:cs="Segoe UI"/>
                <w:b/>
                <w:bCs/>
                <w:sz w:val="20"/>
                <w:szCs w:val="20"/>
              </w:rPr>
            </w:pPr>
            <w:r w:rsidRPr="002E4977">
              <w:rPr>
                <w:rFonts w:ascii="Segoe UI" w:eastAsia="Times New Roman" w:hAnsi="Segoe UI" w:cs="Segoe UI"/>
                <w:b/>
                <w:bCs/>
                <w:sz w:val="20"/>
                <w:szCs w:val="20"/>
              </w:rPr>
              <w:t>851</w:t>
            </w:r>
            <w:r w:rsidR="006971B9">
              <w:rPr>
                <w:rFonts w:ascii="Segoe UI" w:eastAsia="Times New Roman" w:hAnsi="Segoe UI" w:cs="Segoe UI"/>
                <w:b/>
                <w:bCs/>
                <w:sz w:val="20"/>
                <w:szCs w:val="20"/>
              </w:rPr>
              <w:t> 148,6</w:t>
            </w:r>
          </w:p>
        </w:tc>
        <w:tc>
          <w:tcPr>
            <w:tcW w:w="709" w:type="dxa"/>
            <w:tcBorders>
              <w:top w:val="single" w:sz="8" w:space="0" w:color="auto"/>
              <w:left w:val="nil"/>
              <w:bottom w:val="single" w:sz="8" w:space="0" w:color="auto"/>
              <w:right w:val="double" w:sz="6" w:space="0" w:color="auto"/>
            </w:tcBorders>
            <w:shd w:val="clear" w:color="auto" w:fill="auto"/>
            <w:vAlign w:val="center"/>
            <w:hideMark/>
          </w:tcPr>
          <w:p w14:paraId="5C2D1893" w14:textId="77777777" w:rsidR="000326C4" w:rsidRPr="002E4977" w:rsidRDefault="000326C4" w:rsidP="00D2619F">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10,5</w:t>
            </w:r>
          </w:p>
        </w:tc>
        <w:tc>
          <w:tcPr>
            <w:tcW w:w="992" w:type="dxa"/>
            <w:tcBorders>
              <w:top w:val="single" w:sz="8" w:space="0" w:color="auto"/>
              <w:left w:val="nil"/>
              <w:bottom w:val="single" w:sz="8" w:space="0" w:color="auto"/>
              <w:right w:val="nil"/>
            </w:tcBorders>
            <w:shd w:val="clear" w:color="auto" w:fill="auto"/>
            <w:noWrap/>
            <w:vAlign w:val="center"/>
            <w:hideMark/>
          </w:tcPr>
          <w:p w14:paraId="4914B2CB" w14:textId="77777777" w:rsidR="000326C4" w:rsidRPr="002E4977" w:rsidRDefault="000326C4" w:rsidP="00D2619F">
            <w:pPr>
              <w:spacing w:after="0" w:line="240" w:lineRule="auto"/>
              <w:rPr>
                <w:rFonts w:ascii="Segoe UI" w:eastAsia="Times New Roman" w:hAnsi="Segoe UI" w:cs="Segoe UI"/>
                <w:b/>
                <w:bCs/>
                <w:sz w:val="20"/>
                <w:szCs w:val="20"/>
              </w:rPr>
            </w:pPr>
            <w:r w:rsidRPr="002E4977">
              <w:rPr>
                <w:rFonts w:ascii="Segoe UI" w:eastAsia="Times New Roman" w:hAnsi="Segoe UI" w:cs="Segoe UI"/>
                <w:b/>
                <w:bCs/>
                <w:sz w:val="20"/>
                <w:szCs w:val="20"/>
              </w:rPr>
              <w:t xml:space="preserve">  8 097,5</w:t>
            </w:r>
          </w:p>
        </w:tc>
        <w:tc>
          <w:tcPr>
            <w:tcW w:w="992"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14:paraId="3A1BE519" w14:textId="77777777" w:rsidR="000326C4" w:rsidRPr="002E4977" w:rsidRDefault="000326C4" w:rsidP="00D2619F">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10,5</w:t>
            </w:r>
          </w:p>
        </w:tc>
      </w:tr>
    </w:tbl>
    <w:p w14:paraId="760D7EF4" w14:textId="77777777" w:rsidR="00EB5D35" w:rsidRPr="002E4977" w:rsidRDefault="001035B8" w:rsidP="001035B8">
      <w:pPr>
        <w:rPr>
          <w:rFonts w:ascii="Segoe UI" w:hAnsi="Segoe UI" w:cs="Segoe UI"/>
          <w:sz w:val="20"/>
          <w:szCs w:val="24"/>
        </w:rPr>
      </w:pPr>
      <w:r w:rsidRPr="002E4977">
        <w:rPr>
          <w:rFonts w:ascii="Segoe UI" w:hAnsi="Segoe UI" w:cs="Segoe UI"/>
          <w:b/>
          <w:sz w:val="20"/>
          <w:szCs w:val="24"/>
          <w:u w:val="single"/>
        </w:rPr>
        <w:t>Source</w:t>
      </w:r>
      <w:r w:rsidR="009576D0" w:rsidRPr="002E4977">
        <w:rPr>
          <w:rFonts w:ascii="Segoe UI" w:hAnsi="Segoe UI" w:cs="Segoe UI"/>
          <w:b/>
          <w:sz w:val="20"/>
          <w:szCs w:val="24"/>
          <w:u w:val="single"/>
        </w:rPr>
        <w:t> </w:t>
      </w:r>
      <w:r w:rsidR="009576D0" w:rsidRPr="002E4977">
        <w:rPr>
          <w:rFonts w:ascii="Segoe UI" w:hAnsi="Segoe UI" w:cs="Segoe UI"/>
          <w:b/>
          <w:sz w:val="20"/>
          <w:szCs w:val="24"/>
        </w:rPr>
        <w:t xml:space="preserve">: </w:t>
      </w:r>
      <w:r w:rsidR="005D4A19" w:rsidRPr="002E4977">
        <w:rPr>
          <w:rFonts w:ascii="Segoe UI" w:hAnsi="Segoe UI" w:cs="Segoe UI"/>
          <w:sz w:val="20"/>
          <w:szCs w:val="24"/>
        </w:rPr>
        <w:t>MEF/DGB</w:t>
      </w:r>
      <w:r w:rsidRPr="002E4977">
        <w:rPr>
          <w:rFonts w:ascii="Segoe UI" w:hAnsi="Segoe UI" w:cs="Segoe UI"/>
          <w:sz w:val="20"/>
          <w:szCs w:val="24"/>
        </w:rPr>
        <w:t xml:space="preserve">, </w:t>
      </w:r>
      <w:r w:rsidR="00C60458" w:rsidRPr="002E4977">
        <w:rPr>
          <w:rFonts w:ascii="Segoe UI" w:hAnsi="Segoe UI" w:cs="Segoe UI"/>
          <w:sz w:val="20"/>
          <w:szCs w:val="24"/>
        </w:rPr>
        <w:t>avril</w:t>
      </w:r>
      <w:r w:rsidRPr="002E4977">
        <w:rPr>
          <w:rFonts w:ascii="Segoe UI" w:hAnsi="Segoe UI" w:cs="Segoe UI"/>
          <w:sz w:val="20"/>
          <w:szCs w:val="24"/>
        </w:rPr>
        <w:t xml:space="preserve"> 201</w:t>
      </w:r>
      <w:r w:rsidR="005C53A7" w:rsidRPr="002E4977">
        <w:rPr>
          <w:rFonts w:ascii="Segoe UI" w:hAnsi="Segoe UI" w:cs="Segoe UI"/>
          <w:sz w:val="20"/>
          <w:szCs w:val="24"/>
        </w:rPr>
        <w:t>7</w:t>
      </w:r>
      <w:r w:rsidR="005D4A19" w:rsidRPr="002E4977">
        <w:rPr>
          <w:rFonts w:ascii="Segoe UI" w:hAnsi="Segoe UI" w:cs="Segoe UI"/>
          <w:sz w:val="20"/>
          <w:szCs w:val="24"/>
        </w:rPr>
        <w:t>, sur la base des données fournies par la CAA</w:t>
      </w:r>
    </w:p>
    <w:p w14:paraId="7ECC3D24" w14:textId="77777777" w:rsidR="00BD1603" w:rsidRPr="001541CB" w:rsidRDefault="00BD1603" w:rsidP="00AD11B0">
      <w:pPr>
        <w:pStyle w:val="Titre3"/>
        <w:rPr>
          <w:rFonts w:ascii="Segoe UI" w:hAnsi="Segoe UI" w:cs="Segoe UI"/>
          <w:sz w:val="24"/>
          <w:szCs w:val="24"/>
        </w:rPr>
      </w:pPr>
      <w:bookmarkStart w:id="27" w:name="_Toc484105611"/>
      <w:r w:rsidRPr="001541CB">
        <w:rPr>
          <w:rFonts w:ascii="Segoe UI" w:hAnsi="Segoe UI" w:cs="Segoe UI"/>
          <w:sz w:val="24"/>
          <w:szCs w:val="24"/>
        </w:rPr>
        <w:t>B-2 Budget annexe du FNRB et Budgets d</w:t>
      </w:r>
      <w:r w:rsidR="00EC357B" w:rsidRPr="001541CB">
        <w:rPr>
          <w:rFonts w:ascii="Segoe UI" w:hAnsi="Segoe UI" w:cs="Segoe UI"/>
          <w:sz w:val="24"/>
          <w:szCs w:val="24"/>
        </w:rPr>
        <w:t xml:space="preserve">es </w:t>
      </w:r>
      <w:r w:rsidRPr="001541CB">
        <w:rPr>
          <w:rFonts w:ascii="Segoe UI" w:hAnsi="Segoe UI" w:cs="Segoe UI"/>
          <w:sz w:val="24"/>
          <w:szCs w:val="24"/>
        </w:rPr>
        <w:t>autres organismes Publics</w:t>
      </w:r>
      <w:bookmarkEnd w:id="27"/>
    </w:p>
    <w:p w14:paraId="7C527A7F" w14:textId="77777777" w:rsidR="003660A7" w:rsidRPr="00721536" w:rsidRDefault="003660A7" w:rsidP="000C178C">
      <w:pPr>
        <w:rPr>
          <w:rFonts w:ascii="Segoe UI" w:hAnsi="Segoe UI" w:cs="Segoe UI"/>
          <w:sz w:val="4"/>
          <w:szCs w:val="24"/>
        </w:rPr>
      </w:pPr>
    </w:p>
    <w:p w14:paraId="0332540D" w14:textId="77777777" w:rsidR="006316FD" w:rsidRPr="001541CB" w:rsidRDefault="00214884" w:rsidP="000C178C">
      <w:pPr>
        <w:rPr>
          <w:rFonts w:ascii="Segoe UI" w:hAnsi="Segoe UI" w:cs="Segoe UI"/>
          <w:b/>
          <w:sz w:val="24"/>
          <w:szCs w:val="24"/>
        </w:rPr>
      </w:pPr>
      <w:r w:rsidRPr="001541CB">
        <w:rPr>
          <w:rFonts w:ascii="Segoe UI" w:hAnsi="Segoe UI" w:cs="Segoe UI"/>
          <w:b/>
          <w:sz w:val="24"/>
          <w:szCs w:val="24"/>
        </w:rPr>
        <w:t>B-</w:t>
      </w:r>
      <w:r w:rsidR="00BD1603" w:rsidRPr="001541CB">
        <w:rPr>
          <w:rFonts w:ascii="Segoe UI" w:hAnsi="Segoe UI" w:cs="Segoe UI"/>
          <w:b/>
          <w:sz w:val="24"/>
          <w:szCs w:val="24"/>
        </w:rPr>
        <w:t>2-1</w:t>
      </w:r>
      <w:r w:rsidR="00EC357B" w:rsidRPr="001541CB">
        <w:rPr>
          <w:rFonts w:ascii="Segoe UI" w:hAnsi="Segoe UI" w:cs="Segoe UI"/>
          <w:b/>
          <w:sz w:val="24"/>
          <w:szCs w:val="24"/>
        </w:rPr>
        <w:t xml:space="preserve"> </w:t>
      </w:r>
      <w:r w:rsidR="00EB5D35" w:rsidRPr="001541CB">
        <w:rPr>
          <w:rFonts w:ascii="Segoe UI" w:hAnsi="Segoe UI" w:cs="Segoe UI"/>
          <w:b/>
          <w:sz w:val="24"/>
          <w:szCs w:val="24"/>
        </w:rPr>
        <w:t xml:space="preserve"> </w:t>
      </w:r>
      <w:r w:rsidR="00BD1603" w:rsidRPr="001541CB">
        <w:rPr>
          <w:rFonts w:ascii="Segoe UI" w:hAnsi="Segoe UI" w:cs="Segoe UI"/>
          <w:b/>
          <w:sz w:val="24"/>
          <w:szCs w:val="24"/>
        </w:rPr>
        <w:t>D</w:t>
      </w:r>
      <w:r w:rsidRPr="001541CB">
        <w:rPr>
          <w:rFonts w:ascii="Segoe UI" w:hAnsi="Segoe UI" w:cs="Segoe UI"/>
          <w:b/>
          <w:sz w:val="24"/>
          <w:szCs w:val="24"/>
        </w:rPr>
        <w:t>épenses d</w:t>
      </w:r>
      <w:r w:rsidR="00BD1603" w:rsidRPr="001541CB">
        <w:rPr>
          <w:rFonts w:ascii="Segoe UI" w:hAnsi="Segoe UI" w:cs="Segoe UI"/>
          <w:b/>
          <w:sz w:val="24"/>
          <w:szCs w:val="24"/>
        </w:rPr>
        <w:t>e fonctionnement et charge</w:t>
      </w:r>
      <w:r w:rsidR="0074747B" w:rsidRPr="001541CB">
        <w:rPr>
          <w:rFonts w:ascii="Segoe UI" w:hAnsi="Segoe UI" w:cs="Segoe UI"/>
          <w:b/>
          <w:sz w:val="24"/>
          <w:szCs w:val="24"/>
        </w:rPr>
        <w:t>s</w:t>
      </w:r>
      <w:r w:rsidR="00BD1603" w:rsidRPr="001541CB">
        <w:rPr>
          <w:rFonts w:ascii="Segoe UI" w:hAnsi="Segoe UI" w:cs="Segoe UI"/>
          <w:b/>
          <w:sz w:val="24"/>
          <w:szCs w:val="24"/>
        </w:rPr>
        <w:t xml:space="preserve"> de la pension</w:t>
      </w:r>
    </w:p>
    <w:p w14:paraId="3CCF1837" w14:textId="0EFF9DB7" w:rsidR="00CF34D9" w:rsidRDefault="008F470C" w:rsidP="00AD11B0">
      <w:pPr>
        <w:tabs>
          <w:tab w:val="left" w:pos="426"/>
        </w:tabs>
        <w:spacing w:after="120" w:line="360" w:lineRule="auto"/>
        <w:jc w:val="both"/>
        <w:rPr>
          <w:rFonts w:ascii="Segoe UI" w:hAnsi="Segoe UI" w:cs="Segoe UI"/>
          <w:sz w:val="24"/>
          <w:szCs w:val="24"/>
        </w:rPr>
      </w:pPr>
      <w:r w:rsidRPr="001541CB">
        <w:rPr>
          <w:rFonts w:ascii="Segoe UI" w:hAnsi="Segoe UI" w:cs="Segoe UI"/>
          <w:sz w:val="24"/>
          <w:szCs w:val="24"/>
        </w:rPr>
        <w:t>L</w:t>
      </w:r>
      <w:r w:rsidR="008A7575" w:rsidRPr="001541CB">
        <w:rPr>
          <w:rFonts w:ascii="Segoe UI" w:hAnsi="Segoe UI" w:cs="Segoe UI"/>
          <w:sz w:val="24"/>
          <w:szCs w:val="24"/>
        </w:rPr>
        <w:t xml:space="preserve">es dépenses du FNRB sont engagées à concurrence de </w:t>
      </w:r>
      <w:r w:rsidR="009952CB">
        <w:rPr>
          <w:rFonts w:ascii="Segoe UI" w:hAnsi="Segoe UI" w:cs="Segoe UI"/>
          <w:sz w:val="24"/>
          <w:szCs w:val="24"/>
        </w:rPr>
        <w:t>19 505,7</w:t>
      </w:r>
      <w:r w:rsidR="009A3164" w:rsidRPr="001541CB">
        <w:rPr>
          <w:rFonts w:ascii="Segoe UI" w:hAnsi="Segoe UI" w:cs="Segoe UI"/>
          <w:sz w:val="24"/>
          <w:szCs w:val="24"/>
        </w:rPr>
        <w:t xml:space="preserve"> </w:t>
      </w:r>
      <w:r w:rsidR="008A7575" w:rsidRPr="001541CB">
        <w:rPr>
          <w:rFonts w:ascii="Segoe UI" w:hAnsi="Segoe UI" w:cs="Segoe UI"/>
          <w:sz w:val="24"/>
          <w:szCs w:val="24"/>
        </w:rPr>
        <w:t>millions de FCFA sur une</w:t>
      </w:r>
      <w:r w:rsidRPr="001541CB">
        <w:rPr>
          <w:rFonts w:ascii="Segoe UI" w:hAnsi="Segoe UI" w:cs="Segoe UI"/>
          <w:sz w:val="24"/>
          <w:szCs w:val="24"/>
        </w:rPr>
        <w:t xml:space="preserve"> prévision annuelle de </w:t>
      </w:r>
      <w:r w:rsidR="00CD1B55" w:rsidRPr="001541CB">
        <w:rPr>
          <w:rFonts w:ascii="Segoe UI" w:hAnsi="Segoe UI" w:cs="Segoe UI"/>
          <w:sz w:val="24"/>
          <w:szCs w:val="24"/>
        </w:rPr>
        <w:t>65 850</w:t>
      </w:r>
      <w:r w:rsidRPr="001541CB">
        <w:rPr>
          <w:rFonts w:ascii="Segoe UI" w:hAnsi="Segoe UI" w:cs="Segoe UI"/>
          <w:sz w:val="24"/>
          <w:szCs w:val="24"/>
        </w:rPr>
        <w:t xml:space="preserve"> millions de FCFA</w:t>
      </w:r>
      <w:r w:rsidR="001E3922" w:rsidRPr="001541CB">
        <w:rPr>
          <w:rFonts w:ascii="Segoe UI" w:hAnsi="Segoe UI" w:cs="Segoe UI"/>
          <w:sz w:val="24"/>
          <w:szCs w:val="24"/>
        </w:rPr>
        <w:t xml:space="preserve">. </w:t>
      </w:r>
      <w:r w:rsidR="008472CB">
        <w:rPr>
          <w:rFonts w:ascii="Segoe UI" w:hAnsi="Segoe UI" w:cs="Segoe UI"/>
          <w:sz w:val="24"/>
          <w:szCs w:val="24"/>
        </w:rPr>
        <w:t>C</w:t>
      </w:r>
      <w:r w:rsidR="001E3922" w:rsidRPr="001541CB">
        <w:rPr>
          <w:rFonts w:ascii="Segoe UI" w:hAnsi="Segoe UI" w:cs="Segoe UI"/>
          <w:sz w:val="24"/>
          <w:szCs w:val="24"/>
        </w:rPr>
        <w:t>e niveau d’engagement correspond à</w:t>
      </w:r>
      <w:r w:rsidR="00E87BD4" w:rsidRPr="001541CB">
        <w:rPr>
          <w:rFonts w:ascii="Segoe UI" w:hAnsi="Segoe UI" w:cs="Segoe UI"/>
          <w:sz w:val="24"/>
          <w:szCs w:val="24"/>
        </w:rPr>
        <w:t xml:space="preserve"> un taux d’exécution de </w:t>
      </w:r>
      <w:r w:rsidR="006B2E1E" w:rsidRPr="001541CB">
        <w:rPr>
          <w:rFonts w:ascii="Segoe UI" w:hAnsi="Segoe UI" w:cs="Segoe UI"/>
          <w:sz w:val="24"/>
          <w:szCs w:val="24"/>
        </w:rPr>
        <w:t>29,6</w:t>
      </w:r>
      <w:r w:rsidR="00E87BD4" w:rsidRPr="001541CB">
        <w:rPr>
          <w:rFonts w:ascii="Segoe UI" w:hAnsi="Segoe UI" w:cs="Segoe UI"/>
          <w:sz w:val="24"/>
          <w:szCs w:val="24"/>
        </w:rPr>
        <w:t>%</w:t>
      </w:r>
      <w:r w:rsidR="00E53404" w:rsidRPr="001541CB">
        <w:rPr>
          <w:rFonts w:ascii="Segoe UI" w:hAnsi="Segoe UI" w:cs="Segoe UI"/>
          <w:sz w:val="24"/>
          <w:szCs w:val="24"/>
        </w:rPr>
        <w:t>.</w:t>
      </w:r>
      <w:r w:rsidR="0055724E" w:rsidRPr="001541CB">
        <w:rPr>
          <w:rFonts w:ascii="Segoe UI" w:hAnsi="Segoe UI" w:cs="Segoe UI"/>
          <w:sz w:val="24"/>
          <w:szCs w:val="24"/>
        </w:rPr>
        <w:t xml:space="preserve"> </w:t>
      </w:r>
      <w:r w:rsidR="00C50FD0" w:rsidRPr="001541CB">
        <w:rPr>
          <w:rFonts w:ascii="Segoe UI" w:hAnsi="Segoe UI" w:cs="Segoe UI"/>
          <w:sz w:val="24"/>
          <w:szCs w:val="24"/>
        </w:rPr>
        <w:t>A fin mars 201</w:t>
      </w:r>
      <w:r w:rsidR="00E317E1" w:rsidRPr="001541CB">
        <w:rPr>
          <w:rFonts w:ascii="Segoe UI" w:hAnsi="Segoe UI" w:cs="Segoe UI"/>
          <w:sz w:val="24"/>
          <w:szCs w:val="24"/>
        </w:rPr>
        <w:t>6</w:t>
      </w:r>
      <w:r w:rsidR="00E87BD4" w:rsidRPr="001541CB">
        <w:rPr>
          <w:rFonts w:ascii="Segoe UI" w:hAnsi="Segoe UI" w:cs="Segoe UI"/>
          <w:sz w:val="24"/>
          <w:szCs w:val="24"/>
        </w:rPr>
        <w:t>,</w:t>
      </w:r>
      <w:r w:rsidR="000C178C" w:rsidRPr="001541CB">
        <w:rPr>
          <w:rFonts w:ascii="Segoe UI" w:hAnsi="Segoe UI" w:cs="Segoe UI"/>
          <w:sz w:val="24"/>
          <w:szCs w:val="24"/>
        </w:rPr>
        <w:t xml:space="preserve"> </w:t>
      </w:r>
      <w:r w:rsidR="008472CB">
        <w:rPr>
          <w:rFonts w:ascii="Segoe UI" w:hAnsi="Segoe UI" w:cs="Segoe UI"/>
          <w:sz w:val="24"/>
          <w:szCs w:val="24"/>
        </w:rPr>
        <w:t>le niveau des engagement</w:t>
      </w:r>
      <w:r w:rsidR="009952CB">
        <w:rPr>
          <w:rFonts w:ascii="Segoe UI" w:hAnsi="Segoe UI" w:cs="Segoe UI"/>
          <w:sz w:val="24"/>
          <w:szCs w:val="24"/>
        </w:rPr>
        <w:t xml:space="preserve">s des dépenses du FNRB était de </w:t>
      </w:r>
      <w:r w:rsidR="00E317E1" w:rsidRPr="001541CB">
        <w:rPr>
          <w:rFonts w:ascii="Segoe UI" w:hAnsi="Segoe UI" w:cs="Segoe UI"/>
          <w:sz w:val="24"/>
          <w:szCs w:val="24"/>
        </w:rPr>
        <w:t>17 436,6</w:t>
      </w:r>
      <w:r w:rsidR="0057512F" w:rsidRPr="001541CB">
        <w:rPr>
          <w:rFonts w:ascii="Segoe UI" w:hAnsi="Segoe UI" w:cs="Segoe UI"/>
          <w:sz w:val="24"/>
          <w:szCs w:val="24"/>
        </w:rPr>
        <w:t xml:space="preserve"> millions de FCFA</w:t>
      </w:r>
      <w:r w:rsidR="00DB6241" w:rsidRPr="001541CB">
        <w:rPr>
          <w:rFonts w:ascii="Segoe UI" w:hAnsi="Segoe UI" w:cs="Segoe UI"/>
          <w:sz w:val="24"/>
          <w:szCs w:val="24"/>
        </w:rPr>
        <w:t xml:space="preserve"> </w:t>
      </w:r>
      <w:r w:rsidR="008A7575" w:rsidRPr="001541CB">
        <w:rPr>
          <w:rFonts w:ascii="Segoe UI" w:hAnsi="Segoe UI" w:cs="Segoe UI"/>
          <w:sz w:val="24"/>
          <w:szCs w:val="24"/>
        </w:rPr>
        <w:t xml:space="preserve">sur </w:t>
      </w:r>
      <w:r w:rsidR="001E3922" w:rsidRPr="001541CB">
        <w:rPr>
          <w:rFonts w:ascii="Segoe UI" w:hAnsi="Segoe UI" w:cs="Segoe UI"/>
          <w:sz w:val="24"/>
          <w:szCs w:val="24"/>
        </w:rPr>
        <w:t xml:space="preserve">une prévision de </w:t>
      </w:r>
      <w:r w:rsidR="004F4202">
        <w:rPr>
          <w:rFonts w:ascii="Segoe UI" w:hAnsi="Segoe UI" w:cs="Segoe UI"/>
          <w:sz w:val="24"/>
          <w:szCs w:val="24"/>
        </w:rPr>
        <w:t>61 106</w:t>
      </w:r>
      <w:r w:rsidR="008A7575" w:rsidRPr="001541CB">
        <w:rPr>
          <w:rFonts w:ascii="Segoe UI" w:hAnsi="Segoe UI" w:cs="Segoe UI"/>
          <w:sz w:val="24"/>
          <w:szCs w:val="24"/>
        </w:rPr>
        <w:t xml:space="preserve"> millions de FCFA</w:t>
      </w:r>
      <w:r w:rsidR="001E3922" w:rsidRPr="001541CB">
        <w:rPr>
          <w:rFonts w:ascii="Segoe UI" w:hAnsi="Segoe UI" w:cs="Segoe UI"/>
          <w:sz w:val="24"/>
          <w:szCs w:val="24"/>
        </w:rPr>
        <w:t>, soit</w:t>
      </w:r>
      <w:r w:rsidR="0057512F" w:rsidRPr="001541CB">
        <w:rPr>
          <w:rFonts w:ascii="Segoe UI" w:hAnsi="Segoe UI" w:cs="Segoe UI"/>
          <w:sz w:val="24"/>
          <w:szCs w:val="24"/>
        </w:rPr>
        <w:t xml:space="preserve"> </w:t>
      </w:r>
      <w:r w:rsidR="008472CB">
        <w:rPr>
          <w:rFonts w:ascii="Segoe UI" w:hAnsi="Segoe UI" w:cs="Segoe UI"/>
          <w:sz w:val="24"/>
          <w:szCs w:val="24"/>
        </w:rPr>
        <w:t xml:space="preserve">pour </w:t>
      </w:r>
      <w:r w:rsidR="0057512F" w:rsidRPr="001541CB">
        <w:rPr>
          <w:rFonts w:ascii="Segoe UI" w:hAnsi="Segoe UI" w:cs="Segoe UI"/>
          <w:sz w:val="24"/>
          <w:szCs w:val="24"/>
        </w:rPr>
        <w:t xml:space="preserve">un taux </w:t>
      </w:r>
      <w:r w:rsidR="00F86F7D" w:rsidRPr="001541CB">
        <w:rPr>
          <w:rFonts w:ascii="Segoe UI" w:hAnsi="Segoe UI" w:cs="Segoe UI"/>
          <w:sz w:val="24"/>
          <w:szCs w:val="24"/>
        </w:rPr>
        <w:t xml:space="preserve"> </w:t>
      </w:r>
      <w:r w:rsidR="00E87BD4" w:rsidRPr="001541CB">
        <w:rPr>
          <w:rFonts w:ascii="Segoe UI" w:hAnsi="Segoe UI" w:cs="Segoe UI"/>
          <w:sz w:val="24"/>
          <w:szCs w:val="24"/>
        </w:rPr>
        <w:t>d</w:t>
      </w:r>
      <w:r w:rsidR="0057512F" w:rsidRPr="001541CB">
        <w:rPr>
          <w:rFonts w:ascii="Segoe UI" w:hAnsi="Segoe UI" w:cs="Segoe UI"/>
          <w:sz w:val="24"/>
          <w:szCs w:val="24"/>
        </w:rPr>
        <w:t xml:space="preserve">e </w:t>
      </w:r>
      <w:r w:rsidR="004F4202">
        <w:rPr>
          <w:rFonts w:ascii="Segoe UI" w:hAnsi="Segoe UI" w:cs="Segoe UI"/>
          <w:sz w:val="24"/>
          <w:szCs w:val="24"/>
        </w:rPr>
        <w:t>28,5</w:t>
      </w:r>
      <w:r w:rsidR="0057512F" w:rsidRPr="001541CB">
        <w:rPr>
          <w:rFonts w:ascii="Segoe UI" w:hAnsi="Segoe UI" w:cs="Segoe UI"/>
          <w:sz w:val="24"/>
          <w:szCs w:val="24"/>
        </w:rPr>
        <w:t>%</w:t>
      </w:r>
      <w:r w:rsidR="009D37D7" w:rsidRPr="001541CB">
        <w:rPr>
          <w:rFonts w:ascii="Segoe UI" w:hAnsi="Segoe UI" w:cs="Segoe UI"/>
          <w:sz w:val="24"/>
          <w:szCs w:val="24"/>
        </w:rPr>
        <w:t>.</w:t>
      </w:r>
      <w:r w:rsidR="0055724E" w:rsidRPr="001541CB">
        <w:rPr>
          <w:rFonts w:ascii="Segoe UI" w:hAnsi="Segoe UI" w:cs="Segoe UI"/>
          <w:sz w:val="24"/>
          <w:szCs w:val="24"/>
        </w:rPr>
        <w:t xml:space="preserve"> Ce niveau </w:t>
      </w:r>
      <w:r w:rsidR="008472CB">
        <w:rPr>
          <w:rFonts w:ascii="Segoe UI" w:hAnsi="Segoe UI" w:cs="Segoe UI"/>
          <w:sz w:val="24"/>
          <w:szCs w:val="24"/>
        </w:rPr>
        <w:t xml:space="preserve">de consommation des crédits à fin </w:t>
      </w:r>
      <w:r w:rsidR="0055724E" w:rsidRPr="001541CB">
        <w:rPr>
          <w:rFonts w:ascii="Segoe UI" w:hAnsi="Segoe UI" w:cs="Segoe UI"/>
          <w:sz w:val="24"/>
          <w:szCs w:val="24"/>
        </w:rPr>
        <w:t xml:space="preserve"> </w:t>
      </w:r>
      <w:r w:rsidR="00041DF9">
        <w:rPr>
          <w:rFonts w:ascii="Segoe UI" w:hAnsi="Segoe UI" w:cs="Segoe UI"/>
          <w:sz w:val="24"/>
          <w:szCs w:val="24"/>
        </w:rPr>
        <w:t xml:space="preserve">mars </w:t>
      </w:r>
      <w:r w:rsidR="0055724E" w:rsidRPr="001541CB">
        <w:rPr>
          <w:rFonts w:ascii="Segoe UI" w:hAnsi="Segoe UI" w:cs="Segoe UI"/>
          <w:sz w:val="24"/>
          <w:szCs w:val="24"/>
        </w:rPr>
        <w:t xml:space="preserve">2017 s’explique par la prise en compte </w:t>
      </w:r>
      <w:r w:rsidR="00041DF9">
        <w:rPr>
          <w:rFonts w:ascii="Segoe UI" w:hAnsi="Segoe UI" w:cs="Segoe UI"/>
          <w:sz w:val="24"/>
          <w:szCs w:val="24"/>
        </w:rPr>
        <w:t>à partir</w:t>
      </w:r>
      <w:r w:rsidR="00041DF9" w:rsidRPr="001541CB">
        <w:rPr>
          <w:rFonts w:ascii="Segoe UI" w:hAnsi="Segoe UI" w:cs="Segoe UI"/>
          <w:sz w:val="24"/>
          <w:szCs w:val="24"/>
        </w:rPr>
        <w:t xml:space="preserve"> </w:t>
      </w:r>
      <w:r w:rsidR="0055724E" w:rsidRPr="001541CB">
        <w:rPr>
          <w:rFonts w:ascii="Segoe UI" w:hAnsi="Segoe UI" w:cs="Segoe UI"/>
          <w:sz w:val="24"/>
          <w:szCs w:val="24"/>
        </w:rPr>
        <w:t>du 1</w:t>
      </w:r>
      <w:r w:rsidR="0055724E" w:rsidRPr="001541CB">
        <w:rPr>
          <w:rFonts w:ascii="Segoe UI" w:hAnsi="Segoe UI" w:cs="Segoe UI"/>
          <w:sz w:val="24"/>
          <w:szCs w:val="24"/>
          <w:vertAlign w:val="superscript"/>
        </w:rPr>
        <w:t>er</w:t>
      </w:r>
      <w:r w:rsidR="0055724E" w:rsidRPr="001541CB">
        <w:rPr>
          <w:rFonts w:ascii="Segoe UI" w:hAnsi="Segoe UI" w:cs="Segoe UI"/>
          <w:sz w:val="24"/>
          <w:szCs w:val="24"/>
        </w:rPr>
        <w:t xml:space="preserve"> janvier 2017 des revalorisations à 1,5</w:t>
      </w:r>
      <w:r w:rsidR="008472CB">
        <w:rPr>
          <w:rFonts w:ascii="Segoe UI" w:hAnsi="Segoe UI" w:cs="Segoe UI"/>
          <w:sz w:val="24"/>
          <w:szCs w:val="24"/>
        </w:rPr>
        <w:t>%</w:t>
      </w:r>
      <w:r w:rsidR="0055724E" w:rsidRPr="001541CB">
        <w:rPr>
          <w:rFonts w:ascii="Segoe UI" w:hAnsi="Segoe UI" w:cs="Segoe UI"/>
          <w:sz w:val="24"/>
          <w:szCs w:val="24"/>
        </w:rPr>
        <w:t xml:space="preserve"> de la pension des enseignants et de la mise à niveau à 1,25</w:t>
      </w:r>
      <w:r w:rsidR="008472CB">
        <w:rPr>
          <w:rFonts w:ascii="Segoe UI" w:hAnsi="Segoe UI" w:cs="Segoe UI"/>
          <w:sz w:val="24"/>
          <w:szCs w:val="24"/>
        </w:rPr>
        <w:t>%</w:t>
      </w:r>
      <w:r w:rsidR="0055724E" w:rsidRPr="001541CB">
        <w:rPr>
          <w:rFonts w:ascii="Segoe UI" w:hAnsi="Segoe UI" w:cs="Segoe UI"/>
          <w:sz w:val="24"/>
          <w:szCs w:val="24"/>
        </w:rPr>
        <w:t xml:space="preserve"> de toutes les pensions</w:t>
      </w:r>
      <w:r w:rsidR="00602700" w:rsidRPr="001541CB">
        <w:rPr>
          <w:rFonts w:ascii="Segoe UI" w:hAnsi="Segoe UI" w:cs="Segoe UI"/>
          <w:sz w:val="24"/>
          <w:szCs w:val="24"/>
        </w:rPr>
        <w:t>.</w:t>
      </w:r>
    </w:p>
    <w:p w14:paraId="06EB3D84" w14:textId="77777777" w:rsidR="00CF62E7" w:rsidRDefault="00CF62E7" w:rsidP="00AD11B0">
      <w:pPr>
        <w:tabs>
          <w:tab w:val="left" w:pos="426"/>
        </w:tabs>
        <w:spacing w:after="120" w:line="360" w:lineRule="auto"/>
        <w:jc w:val="both"/>
        <w:rPr>
          <w:rFonts w:ascii="Segoe UI" w:hAnsi="Segoe UI" w:cs="Segoe UI"/>
          <w:sz w:val="24"/>
          <w:szCs w:val="24"/>
        </w:rPr>
      </w:pPr>
    </w:p>
    <w:p w14:paraId="5C30A9FF" w14:textId="77777777" w:rsidR="00CF62E7" w:rsidRPr="001541CB" w:rsidRDefault="00CF62E7" w:rsidP="00AD11B0">
      <w:pPr>
        <w:tabs>
          <w:tab w:val="left" w:pos="426"/>
        </w:tabs>
        <w:spacing w:after="120" w:line="360" w:lineRule="auto"/>
        <w:jc w:val="both"/>
        <w:rPr>
          <w:rFonts w:ascii="Segoe UI" w:hAnsi="Segoe UI" w:cs="Segoe UI"/>
          <w:sz w:val="24"/>
          <w:szCs w:val="24"/>
        </w:rPr>
      </w:pPr>
    </w:p>
    <w:p w14:paraId="6FE0D73D" w14:textId="77777777" w:rsidR="006316FD" w:rsidRPr="001541CB" w:rsidRDefault="0074747B" w:rsidP="007006F0">
      <w:pPr>
        <w:spacing w:after="0"/>
        <w:rPr>
          <w:rFonts w:ascii="Segoe UI" w:hAnsi="Segoe UI" w:cs="Segoe UI"/>
          <w:b/>
          <w:sz w:val="24"/>
          <w:szCs w:val="24"/>
        </w:rPr>
      </w:pPr>
      <w:r w:rsidRPr="001541CB">
        <w:rPr>
          <w:rFonts w:ascii="Segoe UI" w:hAnsi="Segoe UI" w:cs="Segoe UI"/>
          <w:b/>
          <w:sz w:val="24"/>
          <w:szCs w:val="24"/>
        </w:rPr>
        <w:lastRenderedPageBreak/>
        <w:t>B-2-2</w:t>
      </w:r>
      <w:r w:rsidR="00EC357B" w:rsidRPr="001541CB">
        <w:rPr>
          <w:rFonts w:ascii="Segoe UI" w:hAnsi="Segoe UI" w:cs="Segoe UI"/>
          <w:b/>
          <w:sz w:val="24"/>
          <w:szCs w:val="24"/>
        </w:rPr>
        <w:t xml:space="preserve"> </w:t>
      </w:r>
      <w:r w:rsidRPr="001541CB">
        <w:rPr>
          <w:rFonts w:ascii="Segoe UI" w:hAnsi="Segoe UI" w:cs="Segoe UI"/>
          <w:b/>
          <w:sz w:val="24"/>
          <w:szCs w:val="24"/>
        </w:rPr>
        <w:t>D</w:t>
      </w:r>
      <w:r w:rsidR="002A5304" w:rsidRPr="001541CB">
        <w:rPr>
          <w:rFonts w:ascii="Segoe UI" w:hAnsi="Segoe UI" w:cs="Segoe UI"/>
          <w:b/>
          <w:sz w:val="24"/>
          <w:szCs w:val="24"/>
        </w:rPr>
        <w:t>épenses de fonctionnement de la Caisse Autonome d’Amortissement (CAA)</w:t>
      </w:r>
    </w:p>
    <w:p w14:paraId="1FAE272A" w14:textId="28CF13FA" w:rsidR="00B34973" w:rsidRDefault="001E2552" w:rsidP="007006F0">
      <w:pPr>
        <w:tabs>
          <w:tab w:val="left" w:pos="426"/>
        </w:tabs>
        <w:spacing w:after="0" w:line="360" w:lineRule="auto"/>
        <w:jc w:val="both"/>
        <w:rPr>
          <w:rFonts w:ascii="Segoe UI" w:hAnsi="Segoe UI" w:cs="Segoe UI"/>
          <w:sz w:val="24"/>
          <w:szCs w:val="24"/>
        </w:rPr>
      </w:pPr>
      <w:r w:rsidRPr="001541CB">
        <w:rPr>
          <w:rFonts w:ascii="Segoe UI" w:hAnsi="Segoe UI" w:cs="Segoe UI"/>
          <w:sz w:val="24"/>
          <w:szCs w:val="24"/>
        </w:rPr>
        <w:t>L</w:t>
      </w:r>
      <w:r w:rsidR="00B34973" w:rsidRPr="001541CB">
        <w:rPr>
          <w:rFonts w:ascii="Segoe UI" w:hAnsi="Segoe UI" w:cs="Segoe UI"/>
          <w:sz w:val="24"/>
          <w:szCs w:val="24"/>
        </w:rPr>
        <w:t>es dépenses de fonctionnement</w:t>
      </w:r>
      <w:r w:rsidRPr="001541CB">
        <w:rPr>
          <w:rFonts w:ascii="Segoe UI" w:hAnsi="Segoe UI" w:cs="Segoe UI"/>
          <w:sz w:val="24"/>
          <w:szCs w:val="24"/>
        </w:rPr>
        <w:t xml:space="preserve"> de la CAA ont</w:t>
      </w:r>
      <w:r w:rsidR="00DB6241" w:rsidRPr="001541CB">
        <w:rPr>
          <w:rFonts w:ascii="Segoe UI" w:hAnsi="Segoe UI" w:cs="Segoe UI"/>
          <w:sz w:val="24"/>
          <w:szCs w:val="24"/>
        </w:rPr>
        <w:t xml:space="preserve"> </w:t>
      </w:r>
      <w:r w:rsidRPr="001541CB">
        <w:rPr>
          <w:rFonts w:ascii="Segoe UI" w:hAnsi="Segoe UI" w:cs="Segoe UI"/>
          <w:sz w:val="24"/>
          <w:szCs w:val="24"/>
        </w:rPr>
        <w:t>connu</w:t>
      </w:r>
      <w:r w:rsidR="00C50FD0" w:rsidRPr="001541CB">
        <w:rPr>
          <w:rFonts w:ascii="Segoe UI" w:hAnsi="Segoe UI" w:cs="Segoe UI"/>
          <w:sz w:val="24"/>
          <w:szCs w:val="24"/>
        </w:rPr>
        <w:t xml:space="preserve"> au 31 mars 201</w:t>
      </w:r>
      <w:r w:rsidR="00395814" w:rsidRPr="001541CB">
        <w:rPr>
          <w:rFonts w:ascii="Segoe UI" w:hAnsi="Segoe UI" w:cs="Segoe UI"/>
          <w:sz w:val="24"/>
          <w:szCs w:val="24"/>
        </w:rPr>
        <w:t>7</w:t>
      </w:r>
      <w:r w:rsidR="00DB6241" w:rsidRPr="001541CB">
        <w:rPr>
          <w:rFonts w:ascii="Segoe UI" w:hAnsi="Segoe UI" w:cs="Segoe UI"/>
          <w:sz w:val="24"/>
          <w:szCs w:val="24"/>
        </w:rPr>
        <w:t xml:space="preserve"> </w:t>
      </w:r>
      <w:r w:rsidR="00B34973" w:rsidRPr="001541CB">
        <w:rPr>
          <w:rFonts w:ascii="Segoe UI" w:hAnsi="Segoe UI" w:cs="Segoe UI"/>
          <w:sz w:val="24"/>
          <w:szCs w:val="24"/>
        </w:rPr>
        <w:t>un taux d</w:t>
      </w:r>
      <w:r w:rsidRPr="001541CB">
        <w:rPr>
          <w:rFonts w:ascii="Segoe UI" w:hAnsi="Segoe UI" w:cs="Segoe UI"/>
          <w:sz w:val="24"/>
          <w:szCs w:val="24"/>
        </w:rPr>
        <w:t>’engag</w:t>
      </w:r>
      <w:r w:rsidR="00B34973" w:rsidRPr="001541CB">
        <w:rPr>
          <w:rFonts w:ascii="Segoe UI" w:hAnsi="Segoe UI" w:cs="Segoe UI"/>
          <w:sz w:val="24"/>
          <w:szCs w:val="24"/>
        </w:rPr>
        <w:t>e</w:t>
      </w:r>
      <w:r w:rsidRPr="001541CB">
        <w:rPr>
          <w:rFonts w:ascii="Segoe UI" w:hAnsi="Segoe UI" w:cs="Segoe UI"/>
          <w:sz w:val="24"/>
          <w:szCs w:val="24"/>
        </w:rPr>
        <w:t>ment de</w:t>
      </w:r>
      <w:r w:rsidR="007006F0" w:rsidRPr="001541CB">
        <w:rPr>
          <w:rFonts w:ascii="Segoe UI" w:hAnsi="Segoe UI" w:cs="Segoe UI"/>
          <w:sz w:val="24"/>
          <w:szCs w:val="24"/>
        </w:rPr>
        <w:t xml:space="preserve"> </w:t>
      </w:r>
      <w:r w:rsidR="00395814" w:rsidRPr="001541CB">
        <w:rPr>
          <w:rFonts w:ascii="Segoe UI" w:hAnsi="Segoe UI" w:cs="Segoe UI"/>
          <w:sz w:val="24"/>
          <w:szCs w:val="24"/>
        </w:rPr>
        <w:t>17,1</w:t>
      </w:r>
      <w:r w:rsidR="00B34973" w:rsidRPr="001541CB">
        <w:rPr>
          <w:rFonts w:ascii="Segoe UI" w:hAnsi="Segoe UI" w:cs="Segoe UI"/>
          <w:sz w:val="24"/>
          <w:szCs w:val="24"/>
        </w:rPr>
        <w:t xml:space="preserve">% </w:t>
      </w:r>
      <w:r w:rsidR="00F75B4B" w:rsidRPr="001541CB">
        <w:rPr>
          <w:rFonts w:ascii="Segoe UI" w:hAnsi="Segoe UI" w:cs="Segoe UI"/>
          <w:sz w:val="24"/>
          <w:szCs w:val="24"/>
        </w:rPr>
        <w:t>correspondant à</w:t>
      </w:r>
      <w:r w:rsidR="007006F0" w:rsidRPr="001541CB">
        <w:rPr>
          <w:rFonts w:ascii="Segoe UI" w:hAnsi="Segoe UI" w:cs="Segoe UI"/>
          <w:sz w:val="24"/>
          <w:szCs w:val="24"/>
        </w:rPr>
        <w:t xml:space="preserve"> </w:t>
      </w:r>
      <w:r w:rsidR="009952CB">
        <w:rPr>
          <w:rFonts w:ascii="Segoe UI" w:hAnsi="Segoe UI" w:cs="Segoe UI"/>
          <w:sz w:val="24"/>
          <w:szCs w:val="24"/>
        </w:rPr>
        <w:t xml:space="preserve">377,4 </w:t>
      </w:r>
      <w:r w:rsidR="00B34973" w:rsidRPr="001541CB">
        <w:rPr>
          <w:rFonts w:ascii="Segoe UI" w:hAnsi="Segoe UI" w:cs="Segoe UI"/>
          <w:sz w:val="24"/>
          <w:szCs w:val="24"/>
        </w:rPr>
        <w:t xml:space="preserve">millions de FCFA sur </w:t>
      </w:r>
      <w:r w:rsidR="00F75B4B" w:rsidRPr="001541CB">
        <w:rPr>
          <w:rFonts w:ascii="Segoe UI" w:hAnsi="Segoe UI" w:cs="Segoe UI"/>
          <w:sz w:val="24"/>
          <w:szCs w:val="24"/>
        </w:rPr>
        <w:t xml:space="preserve">une prévision de </w:t>
      </w:r>
      <w:r w:rsidR="00C50FD0" w:rsidRPr="001541CB">
        <w:rPr>
          <w:rFonts w:ascii="Segoe UI" w:hAnsi="Segoe UI" w:cs="Segoe UI"/>
          <w:sz w:val="24"/>
          <w:szCs w:val="24"/>
        </w:rPr>
        <w:t xml:space="preserve">2 </w:t>
      </w:r>
      <w:r w:rsidR="002977F1" w:rsidRPr="001541CB">
        <w:rPr>
          <w:rFonts w:ascii="Segoe UI" w:hAnsi="Segoe UI" w:cs="Segoe UI"/>
          <w:sz w:val="24"/>
          <w:szCs w:val="24"/>
        </w:rPr>
        <w:t>208</w:t>
      </w:r>
      <w:r w:rsidR="00B34973" w:rsidRPr="001541CB">
        <w:rPr>
          <w:rFonts w:ascii="Segoe UI" w:hAnsi="Segoe UI" w:cs="Segoe UI"/>
          <w:sz w:val="24"/>
          <w:szCs w:val="24"/>
        </w:rPr>
        <w:t xml:space="preserve"> millions de FCFA. Ce niveau d’exécution comparé à celui de </w:t>
      </w:r>
      <w:r w:rsidR="00C50FD0" w:rsidRPr="001541CB">
        <w:rPr>
          <w:rFonts w:ascii="Segoe UI" w:hAnsi="Segoe UI" w:cs="Segoe UI"/>
          <w:sz w:val="24"/>
          <w:szCs w:val="24"/>
        </w:rPr>
        <w:t xml:space="preserve">fin mars </w:t>
      </w:r>
      <w:r w:rsidR="00B34973" w:rsidRPr="001541CB">
        <w:rPr>
          <w:rFonts w:ascii="Segoe UI" w:hAnsi="Segoe UI" w:cs="Segoe UI"/>
          <w:sz w:val="24"/>
          <w:szCs w:val="24"/>
        </w:rPr>
        <w:t>201</w:t>
      </w:r>
      <w:r w:rsidR="000D1862" w:rsidRPr="001541CB">
        <w:rPr>
          <w:rFonts w:ascii="Segoe UI" w:hAnsi="Segoe UI" w:cs="Segoe UI"/>
          <w:sz w:val="24"/>
          <w:szCs w:val="24"/>
        </w:rPr>
        <w:t>6</w:t>
      </w:r>
      <w:r w:rsidR="00DB6241" w:rsidRPr="001541CB">
        <w:rPr>
          <w:rFonts w:ascii="Segoe UI" w:hAnsi="Segoe UI" w:cs="Segoe UI"/>
          <w:sz w:val="24"/>
          <w:szCs w:val="24"/>
        </w:rPr>
        <w:t xml:space="preserve"> </w:t>
      </w:r>
      <w:r w:rsidR="00F75B4B" w:rsidRPr="001541CB">
        <w:rPr>
          <w:rFonts w:ascii="Segoe UI" w:hAnsi="Segoe UI" w:cs="Segoe UI"/>
          <w:sz w:val="24"/>
          <w:szCs w:val="24"/>
        </w:rPr>
        <w:t>révèle</w:t>
      </w:r>
      <w:r w:rsidR="00B34973" w:rsidRPr="001541CB">
        <w:rPr>
          <w:rFonts w:ascii="Segoe UI" w:hAnsi="Segoe UI" w:cs="Segoe UI"/>
          <w:sz w:val="24"/>
          <w:szCs w:val="24"/>
        </w:rPr>
        <w:t xml:space="preserve"> un écart </w:t>
      </w:r>
      <w:r w:rsidR="00C50FD0" w:rsidRPr="001541CB">
        <w:rPr>
          <w:rFonts w:ascii="Segoe UI" w:hAnsi="Segoe UI" w:cs="Segoe UI"/>
          <w:sz w:val="24"/>
          <w:szCs w:val="24"/>
        </w:rPr>
        <w:t>positif</w:t>
      </w:r>
      <w:r w:rsidR="00B34973" w:rsidRPr="001541CB">
        <w:rPr>
          <w:rFonts w:ascii="Segoe UI" w:hAnsi="Segoe UI" w:cs="Segoe UI"/>
          <w:sz w:val="24"/>
          <w:szCs w:val="24"/>
        </w:rPr>
        <w:t xml:space="preserve"> de </w:t>
      </w:r>
      <w:r w:rsidR="000D1862" w:rsidRPr="001541CB">
        <w:rPr>
          <w:rFonts w:ascii="Segoe UI" w:hAnsi="Segoe UI" w:cs="Segoe UI"/>
          <w:sz w:val="24"/>
          <w:szCs w:val="24"/>
        </w:rPr>
        <w:t>21,</w:t>
      </w:r>
      <w:r w:rsidR="008472CB">
        <w:rPr>
          <w:rFonts w:ascii="Segoe UI" w:hAnsi="Segoe UI" w:cs="Segoe UI"/>
          <w:sz w:val="24"/>
          <w:szCs w:val="24"/>
        </w:rPr>
        <w:t>7</w:t>
      </w:r>
      <w:r w:rsidR="008472CB" w:rsidRPr="001541CB">
        <w:rPr>
          <w:rFonts w:ascii="Segoe UI" w:hAnsi="Segoe UI" w:cs="Segoe UI"/>
          <w:sz w:val="24"/>
          <w:szCs w:val="24"/>
        </w:rPr>
        <w:t xml:space="preserve"> </w:t>
      </w:r>
      <w:r w:rsidR="00B34973" w:rsidRPr="001541CB">
        <w:rPr>
          <w:rFonts w:ascii="Segoe UI" w:hAnsi="Segoe UI" w:cs="Segoe UI"/>
          <w:sz w:val="24"/>
          <w:szCs w:val="24"/>
        </w:rPr>
        <w:t xml:space="preserve">millions de FCFA </w:t>
      </w:r>
      <w:r w:rsidR="00F75B4B" w:rsidRPr="001541CB">
        <w:rPr>
          <w:rFonts w:ascii="Segoe UI" w:hAnsi="Segoe UI" w:cs="Segoe UI"/>
          <w:sz w:val="24"/>
          <w:szCs w:val="24"/>
        </w:rPr>
        <w:t xml:space="preserve">et </w:t>
      </w:r>
      <w:r w:rsidRPr="001541CB">
        <w:rPr>
          <w:rFonts w:ascii="Segoe UI" w:hAnsi="Segoe UI" w:cs="Segoe UI"/>
          <w:sz w:val="24"/>
          <w:szCs w:val="24"/>
        </w:rPr>
        <w:t>un taux d</w:t>
      </w:r>
      <w:r w:rsidR="005D4A19" w:rsidRPr="001541CB">
        <w:rPr>
          <w:rFonts w:ascii="Segoe UI" w:hAnsi="Segoe UI" w:cs="Segoe UI"/>
          <w:sz w:val="24"/>
          <w:szCs w:val="24"/>
        </w:rPr>
        <w:t>’acc</w:t>
      </w:r>
      <w:r w:rsidR="00C50FD0" w:rsidRPr="001541CB">
        <w:rPr>
          <w:rFonts w:ascii="Segoe UI" w:hAnsi="Segoe UI" w:cs="Segoe UI"/>
          <w:sz w:val="24"/>
          <w:szCs w:val="24"/>
        </w:rPr>
        <w:t>roisse</w:t>
      </w:r>
      <w:r w:rsidR="009E1FB2" w:rsidRPr="001541CB">
        <w:rPr>
          <w:rFonts w:ascii="Segoe UI" w:hAnsi="Segoe UI" w:cs="Segoe UI"/>
          <w:sz w:val="24"/>
          <w:szCs w:val="24"/>
        </w:rPr>
        <w:t>ment</w:t>
      </w:r>
      <w:r w:rsidRPr="001541CB">
        <w:rPr>
          <w:rFonts w:ascii="Segoe UI" w:hAnsi="Segoe UI" w:cs="Segoe UI"/>
          <w:sz w:val="24"/>
          <w:szCs w:val="24"/>
        </w:rPr>
        <w:t xml:space="preserve"> de </w:t>
      </w:r>
      <w:r w:rsidR="000D1862" w:rsidRPr="001541CB">
        <w:rPr>
          <w:rFonts w:ascii="Segoe UI" w:hAnsi="Segoe UI" w:cs="Segoe UI"/>
          <w:sz w:val="24"/>
          <w:szCs w:val="24"/>
        </w:rPr>
        <w:t>6,1</w:t>
      </w:r>
      <w:r w:rsidRPr="001541CB">
        <w:rPr>
          <w:rFonts w:ascii="Segoe UI" w:hAnsi="Segoe UI" w:cs="Segoe UI"/>
          <w:sz w:val="24"/>
          <w:szCs w:val="24"/>
        </w:rPr>
        <w:t>%</w:t>
      </w:r>
      <w:r w:rsidR="00B34973" w:rsidRPr="001541CB">
        <w:rPr>
          <w:rFonts w:ascii="Segoe UI" w:hAnsi="Segoe UI" w:cs="Segoe UI"/>
          <w:sz w:val="24"/>
          <w:szCs w:val="24"/>
        </w:rPr>
        <w:t xml:space="preserve">. </w:t>
      </w:r>
    </w:p>
    <w:p w14:paraId="79C23B3F" w14:textId="77777777" w:rsidR="00666297" w:rsidRPr="00666297" w:rsidRDefault="00666297" w:rsidP="007006F0">
      <w:pPr>
        <w:tabs>
          <w:tab w:val="left" w:pos="426"/>
        </w:tabs>
        <w:spacing w:after="0" w:line="360" w:lineRule="auto"/>
        <w:jc w:val="both"/>
        <w:rPr>
          <w:rFonts w:ascii="Segoe UI" w:hAnsi="Segoe UI" w:cs="Segoe UI"/>
          <w:sz w:val="10"/>
          <w:szCs w:val="24"/>
        </w:rPr>
      </w:pPr>
    </w:p>
    <w:p w14:paraId="77212E3A" w14:textId="77777777" w:rsidR="006316FD" w:rsidRDefault="0074747B" w:rsidP="009A3164">
      <w:pPr>
        <w:spacing w:after="0"/>
        <w:rPr>
          <w:rFonts w:ascii="Segoe UI" w:hAnsi="Segoe UI" w:cs="Segoe UI"/>
          <w:b/>
          <w:sz w:val="24"/>
          <w:szCs w:val="24"/>
        </w:rPr>
      </w:pPr>
      <w:r w:rsidRPr="001541CB">
        <w:rPr>
          <w:rFonts w:ascii="Segoe UI" w:hAnsi="Segoe UI" w:cs="Segoe UI"/>
          <w:b/>
          <w:sz w:val="24"/>
          <w:szCs w:val="24"/>
        </w:rPr>
        <w:t>B-2-3</w:t>
      </w:r>
      <w:r w:rsidR="00EC357B" w:rsidRPr="001541CB">
        <w:rPr>
          <w:rFonts w:ascii="Segoe UI" w:hAnsi="Segoe UI" w:cs="Segoe UI"/>
          <w:b/>
          <w:sz w:val="24"/>
          <w:szCs w:val="24"/>
        </w:rPr>
        <w:t xml:space="preserve"> </w:t>
      </w:r>
      <w:r w:rsidRPr="001541CB">
        <w:rPr>
          <w:rFonts w:ascii="Segoe UI" w:hAnsi="Segoe UI" w:cs="Segoe UI"/>
          <w:b/>
          <w:sz w:val="24"/>
          <w:szCs w:val="24"/>
        </w:rPr>
        <w:t>Concours financier de l’Etat au fonctionnement</w:t>
      </w:r>
      <w:r w:rsidR="002A5304" w:rsidRPr="001541CB">
        <w:rPr>
          <w:rFonts w:ascii="Segoe UI" w:hAnsi="Segoe UI" w:cs="Segoe UI"/>
          <w:b/>
          <w:sz w:val="24"/>
          <w:szCs w:val="24"/>
        </w:rPr>
        <w:t xml:space="preserve"> du Fonds Routier (FR)</w:t>
      </w:r>
    </w:p>
    <w:p w14:paraId="47552ED6" w14:textId="77777777" w:rsidR="00666297" w:rsidRPr="00666297" w:rsidRDefault="00666297" w:rsidP="009A3164">
      <w:pPr>
        <w:spacing w:after="0"/>
        <w:rPr>
          <w:rFonts w:ascii="Segoe UI" w:hAnsi="Segoe UI" w:cs="Segoe UI"/>
          <w:b/>
          <w:sz w:val="14"/>
          <w:szCs w:val="24"/>
        </w:rPr>
      </w:pPr>
    </w:p>
    <w:p w14:paraId="4EF75B35" w14:textId="6B292770" w:rsidR="0096271E" w:rsidRDefault="00A04DD8" w:rsidP="000C178C">
      <w:pPr>
        <w:tabs>
          <w:tab w:val="left" w:pos="426"/>
        </w:tabs>
        <w:spacing w:after="0" w:line="360" w:lineRule="auto"/>
        <w:jc w:val="both"/>
        <w:rPr>
          <w:rFonts w:ascii="Segoe UI" w:hAnsi="Segoe UI" w:cs="Segoe UI"/>
          <w:sz w:val="24"/>
          <w:szCs w:val="24"/>
        </w:rPr>
      </w:pPr>
      <w:r w:rsidRPr="001541CB">
        <w:rPr>
          <w:rFonts w:ascii="Segoe UI" w:hAnsi="Segoe UI" w:cs="Segoe UI"/>
          <w:sz w:val="24"/>
          <w:szCs w:val="24"/>
        </w:rPr>
        <w:t xml:space="preserve">Le Fonds Routier a engagé </w:t>
      </w:r>
      <w:r w:rsidR="00F75B4B" w:rsidRPr="001541CB">
        <w:rPr>
          <w:rFonts w:ascii="Segoe UI" w:hAnsi="Segoe UI" w:cs="Segoe UI"/>
          <w:sz w:val="24"/>
          <w:szCs w:val="24"/>
        </w:rPr>
        <w:t xml:space="preserve">les crédits </w:t>
      </w:r>
      <w:r w:rsidR="005D4A19" w:rsidRPr="001541CB">
        <w:rPr>
          <w:rFonts w:ascii="Segoe UI" w:hAnsi="Segoe UI" w:cs="Segoe UI"/>
          <w:sz w:val="24"/>
          <w:szCs w:val="24"/>
        </w:rPr>
        <w:t>budgétaires au titre</w:t>
      </w:r>
      <w:r w:rsidR="009A3164" w:rsidRPr="001541CB">
        <w:rPr>
          <w:rFonts w:ascii="Segoe UI" w:hAnsi="Segoe UI" w:cs="Segoe UI"/>
          <w:sz w:val="24"/>
          <w:szCs w:val="24"/>
        </w:rPr>
        <w:t xml:space="preserve"> </w:t>
      </w:r>
      <w:r w:rsidR="005D4A19" w:rsidRPr="001541CB">
        <w:rPr>
          <w:rFonts w:ascii="Segoe UI" w:hAnsi="Segoe UI" w:cs="Segoe UI"/>
          <w:sz w:val="24"/>
          <w:szCs w:val="24"/>
        </w:rPr>
        <w:t>du</w:t>
      </w:r>
      <w:r w:rsidR="00007571" w:rsidRPr="001541CB">
        <w:rPr>
          <w:rFonts w:ascii="Segoe UI" w:hAnsi="Segoe UI" w:cs="Segoe UI"/>
          <w:sz w:val="24"/>
          <w:szCs w:val="24"/>
        </w:rPr>
        <w:t xml:space="preserve"> premier trimestre</w:t>
      </w:r>
      <w:r w:rsidR="00F75B4B" w:rsidRPr="001541CB">
        <w:rPr>
          <w:rFonts w:ascii="Segoe UI" w:hAnsi="Segoe UI" w:cs="Segoe UI"/>
          <w:sz w:val="24"/>
          <w:szCs w:val="24"/>
        </w:rPr>
        <w:t xml:space="preserve"> de l’année 201</w:t>
      </w:r>
      <w:r w:rsidR="00137D1C" w:rsidRPr="001541CB">
        <w:rPr>
          <w:rFonts w:ascii="Segoe UI" w:hAnsi="Segoe UI" w:cs="Segoe UI"/>
          <w:sz w:val="24"/>
          <w:szCs w:val="24"/>
        </w:rPr>
        <w:t>7</w:t>
      </w:r>
      <w:r w:rsidR="00F75B4B" w:rsidRPr="001541CB">
        <w:rPr>
          <w:rFonts w:ascii="Segoe UI" w:hAnsi="Segoe UI" w:cs="Segoe UI"/>
          <w:sz w:val="24"/>
          <w:szCs w:val="24"/>
        </w:rPr>
        <w:t xml:space="preserve"> à concurrence de </w:t>
      </w:r>
      <w:r w:rsidR="00EF2025">
        <w:rPr>
          <w:rFonts w:ascii="Segoe UI" w:hAnsi="Segoe UI" w:cs="Segoe UI"/>
          <w:sz w:val="24"/>
          <w:szCs w:val="24"/>
        </w:rPr>
        <w:t>3 256</w:t>
      </w:r>
      <w:r w:rsidR="009A3164" w:rsidRPr="001541CB">
        <w:rPr>
          <w:rFonts w:ascii="Segoe UI" w:hAnsi="Segoe UI" w:cs="Segoe UI"/>
          <w:sz w:val="24"/>
          <w:szCs w:val="24"/>
        </w:rPr>
        <w:t xml:space="preserve"> </w:t>
      </w:r>
      <w:r w:rsidRPr="001541CB">
        <w:rPr>
          <w:rFonts w:ascii="Segoe UI" w:hAnsi="Segoe UI" w:cs="Segoe UI"/>
          <w:sz w:val="24"/>
          <w:szCs w:val="24"/>
        </w:rPr>
        <w:t xml:space="preserve">millions de FCFA </w:t>
      </w:r>
      <w:r w:rsidR="00BD4588" w:rsidRPr="001541CB">
        <w:rPr>
          <w:rFonts w:ascii="Segoe UI" w:hAnsi="Segoe UI" w:cs="Segoe UI"/>
          <w:sz w:val="24"/>
          <w:szCs w:val="24"/>
        </w:rPr>
        <w:t xml:space="preserve">sur une prévision annuelle de 6 000 millions de FCFA </w:t>
      </w:r>
      <w:r w:rsidRPr="001541CB">
        <w:rPr>
          <w:rFonts w:ascii="Segoe UI" w:hAnsi="Segoe UI" w:cs="Segoe UI"/>
          <w:sz w:val="24"/>
          <w:szCs w:val="24"/>
        </w:rPr>
        <w:t xml:space="preserve">contre </w:t>
      </w:r>
      <w:r w:rsidR="00C22567" w:rsidRPr="001541CB">
        <w:rPr>
          <w:rFonts w:ascii="Segoe UI" w:hAnsi="Segoe UI" w:cs="Segoe UI"/>
          <w:sz w:val="24"/>
          <w:szCs w:val="24"/>
        </w:rPr>
        <w:t>3 292,7</w:t>
      </w:r>
      <w:r w:rsidR="009A3164" w:rsidRPr="001541CB">
        <w:rPr>
          <w:rFonts w:ascii="Segoe UI" w:hAnsi="Segoe UI" w:cs="Segoe UI"/>
          <w:sz w:val="24"/>
          <w:szCs w:val="24"/>
        </w:rPr>
        <w:t xml:space="preserve"> </w:t>
      </w:r>
      <w:r w:rsidRPr="001541CB">
        <w:rPr>
          <w:rFonts w:ascii="Segoe UI" w:hAnsi="Segoe UI" w:cs="Segoe UI"/>
          <w:sz w:val="24"/>
          <w:szCs w:val="24"/>
        </w:rPr>
        <w:t>millions de FCFA</w:t>
      </w:r>
      <w:r w:rsidR="009A3164" w:rsidRPr="001541CB">
        <w:rPr>
          <w:rFonts w:ascii="Segoe UI" w:hAnsi="Segoe UI" w:cs="Segoe UI"/>
          <w:sz w:val="24"/>
          <w:szCs w:val="24"/>
        </w:rPr>
        <w:t xml:space="preserve"> </w:t>
      </w:r>
      <w:r w:rsidR="00007571" w:rsidRPr="001541CB">
        <w:rPr>
          <w:rFonts w:ascii="Segoe UI" w:hAnsi="Segoe UI" w:cs="Segoe UI"/>
          <w:sz w:val="24"/>
          <w:szCs w:val="24"/>
        </w:rPr>
        <w:t xml:space="preserve">à la même période </w:t>
      </w:r>
      <w:r w:rsidRPr="001541CB">
        <w:rPr>
          <w:rFonts w:ascii="Segoe UI" w:hAnsi="Segoe UI" w:cs="Segoe UI"/>
          <w:sz w:val="24"/>
          <w:szCs w:val="24"/>
        </w:rPr>
        <w:t>en 201</w:t>
      </w:r>
      <w:r w:rsidR="00C22567" w:rsidRPr="001541CB">
        <w:rPr>
          <w:rFonts w:ascii="Segoe UI" w:hAnsi="Segoe UI" w:cs="Segoe UI"/>
          <w:sz w:val="24"/>
          <w:szCs w:val="24"/>
        </w:rPr>
        <w:t>6</w:t>
      </w:r>
      <w:r w:rsidRPr="001541CB">
        <w:rPr>
          <w:rFonts w:ascii="Segoe UI" w:hAnsi="Segoe UI" w:cs="Segoe UI"/>
          <w:sz w:val="24"/>
          <w:szCs w:val="24"/>
        </w:rPr>
        <w:t xml:space="preserve"> s</w:t>
      </w:r>
      <w:r w:rsidR="00790BFD" w:rsidRPr="001541CB">
        <w:rPr>
          <w:rFonts w:ascii="Segoe UI" w:hAnsi="Segoe UI" w:cs="Segoe UI"/>
          <w:sz w:val="24"/>
          <w:szCs w:val="24"/>
        </w:rPr>
        <w:t xml:space="preserve">ur une prévision annuelle </w:t>
      </w:r>
      <w:r w:rsidR="00666297">
        <w:rPr>
          <w:rFonts w:ascii="Segoe UI" w:hAnsi="Segoe UI" w:cs="Segoe UI"/>
          <w:sz w:val="24"/>
          <w:szCs w:val="24"/>
        </w:rPr>
        <w:t xml:space="preserve">révisée </w:t>
      </w:r>
      <w:r w:rsidR="00790BFD" w:rsidRPr="001541CB">
        <w:rPr>
          <w:rFonts w:ascii="Segoe UI" w:hAnsi="Segoe UI" w:cs="Segoe UI"/>
          <w:sz w:val="24"/>
          <w:szCs w:val="24"/>
        </w:rPr>
        <w:t xml:space="preserve">de </w:t>
      </w:r>
      <w:r w:rsidR="00666297">
        <w:rPr>
          <w:rFonts w:ascii="Segoe UI" w:hAnsi="Segoe UI" w:cs="Segoe UI"/>
          <w:sz w:val="24"/>
          <w:szCs w:val="24"/>
        </w:rPr>
        <w:t>6 700</w:t>
      </w:r>
      <w:r w:rsidR="00790BFD" w:rsidRPr="001541CB">
        <w:rPr>
          <w:rFonts w:ascii="Segoe UI" w:hAnsi="Segoe UI" w:cs="Segoe UI"/>
          <w:sz w:val="24"/>
          <w:szCs w:val="24"/>
        </w:rPr>
        <w:t xml:space="preserve"> millions de FCFA</w:t>
      </w:r>
      <w:r w:rsidR="00DC0FA5" w:rsidRPr="001541CB">
        <w:rPr>
          <w:rFonts w:ascii="Segoe UI" w:hAnsi="Segoe UI" w:cs="Segoe UI"/>
          <w:sz w:val="24"/>
          <w:szCs w:val="24"/>
        </w:rPr>
        <w:t xml:space="preserve">. Les taux d’engagement </w:t>
      </w:r>
      <w:r w:rsidR="00F75B4B" w:rsidRPr="001541CB">
        <w:rPr>
          <w:rFonts w:ascii="Segoe UI" w:hAnsi="Segoe UI" w:cs="Segoe UI"/>
          <w:sz w:val="24"/>
          <w:szCs w:val="24"/>
        </w:rPr>
        <w:t>y relatifs</w:t>
      </w:r>
      <w:r w:rsidR="00DC0FA5" w:rsidRPr="001541CB">
        <w:rPr>
          <w:rFonts w:ascii="Segoe UI" w:hAnsi="Segoe UI" w:cs="Segoe UI"/>
          <w:sz w:val="24"/>
          <w:szCs w:val="24"/>
        </w:rPr>
        <w:t xml:space="preserve"> sont de </w:t>
      </w:r>
      <w:r w:rsidR="00B454C8">
        <w:rPr>
          <w:rFonts w:ascii="Segoe UI" w:hAnsi="Segoe UI" w:cs="Segoe UI"/>
          <w:sz w:val="24"/>
          <w:szCs w:val="24"/>
        </w:rPr>
        <w:t>54,3</w:t>
      </w:r>
      <w:r w:rsidR="00DC0FA5" w:rsidRPr="001541CB">
        <w:rPr>
          <w:rFonts w:ascii="Segoe UI" w:hAnsi="Segoe UI" w:cs="Segoe UI"/>
          <w:sz w:val="24"/>
          <w:szCs w:val="24"/>
        </w:rPr>
        <w:t xml:space="preserve">% et </w:t>
      </w:r>
      <w:r w:rsidR="00666297">
        <w:rPr>
          <w:rFonts w:ascii="Segoe UI" w:hAnsi="Segoe UI" w:cs="Segoe UI"/>
          <w:sz w:val="24"/>
          <w:szCs w:val="24"/>
        </w:rPr>
        <w:t>49,1</w:t>
      </w:r>
      <w:r w:rsidR="00DC0FA5" w:rsidRPr="001541CB">
        <w:rPr>
          <w:rFonts w:ascii="Segoe UI" w:hAnsi="Segoe UI" w:cs="Segoe UI"/>
          <w:sz w:val="24"/>
          <w:szCs w:val="24"/>
        </w:rPr>
        <w:t>% respectivement en 201</w:t>
      </w:r>
      <w:r w:rsidR="000A2535" w:rsidRPr="001541CB">
        <w:rPr>
          <w:rFonts w:ascii="Segoe UI" w:hAnsi="Segoe UI" w:cs="Segoe UI"/>
          <w:sz w:val="24"/>
          <w:szCs w:val="24"/>
        </w:rPr>
        <w:t>7</w:t>
      </w:r>
      <w:r w:rsidR="00DC0FA5" w:rsidRPr="001541CB">
        <w:rPr>
          <w:rFonts w:ascii="Segoe UI" w:hAnsi="Segoe UI" w:cs="Segoe UI"/>
          <w:sz w:val="24"/>
          <w:szCs w:val="24"/>
        </w:rPr>
        <w:t xml:space="preserve"> et 201</w:t>
      </w:r>
      <w:r w:rsidR="000A2535" w:rsidRPr="001541CB">
        <w:rPr>
          <w:rFonts w:ascii="Segoe UI" w:hAnsi="Segoe UI" w:cs="Segoe UI"/>
          <w:sz w:val="24"/>
          <w:szCs w:val="24"/>
        </w:rPr>
        <w:t>6</w:t>
      </w:r>
      <w:r w:rsidR="00DC0FA5" w:rsidRPr="001541CB">
        <w:rPr>
          <w:rFonts w:ascii="Segoe UI" w:hAnsi="Segoe UI" w:cs="Segoe UI"/>
          <w:sz w:val="24"/>
          <w:szCs w:val="24"/>
        </w:rPr>
        <w:t>.</w:t>
      </w:r>
      <w:r w:rsidR="00CF251C">
        <w:rPr>
          <w:rFonts w:ascii="Segoe UI" w:hAnsi="Segoe UI" w:cs="Segoe UI"/>
          <w:sz w:val="24"/>
          <w:szCs w:val="24"/>
        </w:rPr>
        <w:t xml:space="preserve"> </w:t>
      </w:r>
    </w:p>
    <w:p w14:paraId="2B67C74A" w14:textId="77777777" w:rsidR="00666297" w:rsidRPr="00666297" w:rsidRDefault="00666297" w:rsidP="000C178C">
      <w:pPr>
        <w:tabs>
          <w:tab w:val="left" w:pos="426"/>
        </w:tabs>
        <w:spacing w:after="0" w:line="360" w:lineRule="auto"/>
        <w:jc w:val="both"/>
        <w:rPr>
          <w:rFonts w:ascii="Segoe UI" w:hAnsi="Segoe UI" w:cs="Segoe UI"/>
          <w:sz w:val="2"/>
          <w:szCs w:val="24"/>
        </w:rPr>
      </w:pPr>
    </w:p>
    <w:p w14:paraId="321790E5" w14:textId="0CA3A761" w:rsidR="005423FC" w:rsidRDefault="005423FC" w:rsidP="000C178C">
      <w:pPr>
        <w:tabs>
          <w:tab w:val="left" w:pos="426"/>
        </w:tabs>
        <w:spacing w:after="0" w:line="360" w:lineRule="auto"/>
        <w:jc w:val="both"/>
        <w:rPr>
          <w:rFonts w:ascii="Segoe UI" w:hAnsi="Segoe UI" w:cs="Segoe UI"/>
          <w:sz w:val="24"/>
          <w:szCs w:val="24"/>
        </w:rPr>
      </w:pPr>
      <w:r>
        <w:rPr>
          <w:rFonts w:ascii="Segoe UI" w:hAnsi="Segoe UI" w:cs="Segoe UI"/>
          <w:sz w:val="24"/>
          <w:szCs w:val="24"/>
        </w:rPr>
        <w:t>Le taux élevé observé au niveau des engagements en 2017, comparativement à 2016, s’explique par la prise en compte</w:t>
      </w:r>
      <w:r w:rsidR="00360633">
        <w:rPr>
          <w:rFonts w:ascii="Segoe UI" w:hAnsi="Segoe UI" w:cs="Segoe UI"/>
          <w:sz w:val="24"/>
          <w:szCs w:val="24"/>
        </w:rPr>
        <w:t>, au premier trimestre,</w:t>
      </w:r>
      <w:r>
        <w:rPr>
          <w:rFonts w:ascii="Segoe UI" w:hAnsi="Segoe UI" w:cs="Segoe UI"/>
          <w:sz w:val="24"/>
          <w:szCs w:val="24"/>
        </w:rPr>
        <w:t xml:space="preserve"> de l’incidence financière des contrats de marchés pluriannuels de travaux routiers approuvés en 2016. </w:t>
      </w:r>
      <w:r w:rsidR="00360633">
        <w:rPr>
          <w:rFonts w:ascii="Segoe UI" w:hAnsi="Segoe UI" w:cs="Segoe UI"/>
          <w:sz w:val="24"/>
          <w:szCs w:val="24"/>
        </w:rPr>
        <w:t>Ce qui ne fut pas le cas en 2016.</w:t>
      </w:r>
    </w:p>
    <w:p w14:paraId="657A77AD" w14:textId="77777777" w:rsidR="005C052B" w:rsidRPr="001541CB" w:rsidRDefault="005C052B" w:rsidP="000C178C">
      <w:pPr>
        <w:tabs>
          <w:tab w:val="left" w:pos="426"/>
        </w:tabs>
        <w:spacing w:after="0" w:line="360" w:lineRule="auto"/>
        <w:jc w:val="both"/>
        <w:rPr>
          <w:rFonts w:ascii="Segoe UI" w:hAnsi="Segoe UI" w:cs="Segoe UI"/>
          <w:sz w:val="24"/>
          <w:szCs w:val="24"/>
        </w:rPr>
      </w:pPr>
    </w:p>
    <w:p w14:paraId="0272EF14" w14:textId="77777777" w:rsidR="001E4A75" w:rsidRPr="001541CB" w:rsidRDefault="001E4A75" w:rsidP="000C178C">
      <w:pPr>
        <w:pStyle w:val="Titre3"/>
        <w:spacing w:before="0"/>
        <w:rPr>
          <w:rFonts w:ascii="Segoe UI" w:hAnsi="Segoe UI" w:cs="Segoe UI"/>
          <w:sz w:val="24"/>
          <w:szCs w:val="24"/>
        </w:rPr>
      </w:pPr>
      <w:bookmarkStart w:id="28" w:name="_Toc484105612"/>
      <w:r w:rsidRPr="001541CB">
        <w:rPr>
          <w:rFonts w:ascii="Segoe UI" w:hAnsi="Segoe UI" w:cs="Segoe UI"/>
          <w:sz w:val="24"/>
          <w:szCs w:val="24"/>
        </w:rPr>
        <w:t>B-</w:t>
      </w:r>
      <w:r w:rsidR="0074747B" w:rsidRPr="001541CB">
        <w:rPr>
          <w:rFonts w:ascii="Segoe UI" w:hAnsi="Segoe UI" w:cs="Segoe UI"/>
          <w:sz w:val="24"/>
          <w:szCs w:val="24"/>
        </w:rPr>
        <w:t>3</w:t>
      </w:r>
      <w:r w:rsidR="000F4344" w:rsidRPr="001541CB">
        <w:rPr>
          <w:rFonts w:ascii="Segoe UI" w:hAnsi="Segoe UI" w:cs="Segoe UI"/>
          <w:sz w:val="24"/>
          <w:szCs w:val="24"/>
        </w:rPr>
        <w:t xml:space="preserve"> Comptes d’Affectation Spéciale (CAS)</w:t>
      </w:r>
      <w:bookmarkEnd w:id="28"/>
    </w:p>
    <w:p w14:paraId="0E4A782F" w14:textId="77777777" w:rsidR="00A65D31" w:rsidRPr="00E66D0B" w:rsidRDefault="00A65D31" w:rsidP="001656E1">
      <w:pPr>
        <w:spacing w:after="0"/>
        <w:rPr>
          <w:rFonts w:ascii="Segoe UI" w:hAnsi="Segoe UI" w:cs="Segoe UI"/>
          <w:sz w:val="12"/>
          <w:szCs w:val="24"/>
        </w:rPr>
      </w:pPr>
    </w:p>
    <w:p w14:paraId="59F1531B" w14:textId="77777777" w:rsidR="00CF1117" w:rsidRPr="001541CB" w:rsidRDefault="00EC73C9" w:rsidP="009A3164">
      <w:pPr>
        <w:spacing w:after="0" w:line="360" w:lineRule="auto"/>
        <w:jc w:val="both"/>
        <w:rPr>
          <w:rFonts w:ascii="Segoe UI" w:hAnsi="Segoe UI" w:cs="Segoe UI"/>
          <w:sz w:val="24"/>
          <w:szCs w:val="24"/>
        </w:rPr>
      </w:pPr>
      <w:r w:rsidRPr="001541CB">
        <w:rPr>
          <w:rFonts w:ascii="Segoe UI" w:hAnsi="Segoe UI" w:cs="Segoe UI"/>
          <w:sz w:val="24"/>
          <w:szCs w:val="24"/>
        </w:rPr>
        <w:t>A fin mars 201</w:t>
      </w:r>
      <w:r w:rsidR="00BC62FE" w:rsidRPr="001541CB">
        <w:rPr>
          <w:rFonts w:ascii="Segoe UI" w:hAnsi="Segoe UI" w:cs="Segoe UI"/>
          <w:sz w:val="24"/>
          <w:szCs w:val="24"/>
        </w:rPr>
        <w:t>7</w:t>
      </w:r>
      <w:r w:rsidRPr="001541CB">
        <w:rPr>
          <w:rFonts w:ascii="Segoe UI" w:hAnsi="Segoe UI" w:cs="Segoe UI"/>
          <w:sz w:val="24"/>
          <w:szCs w:val="24"/>
        </w:rPr>
        <w:t>, l</w:t>
      </w:r>
      <w:r w:rsidR="00F27A04" w:rsidRPr="001541CB">
        <w:rPr>
          <w:rFonts w:ascii="Segoe UI" w:hAnsi="Segoe UI" w:cs="Segoe UI"/>
          <w:sz w:val="24"/>
          <w:szCs w:val="24"/>
        </w:rPr>
        <w:t xml:space="preserve">es dépenses engagées au titre </w:t>
      </w:r>
      <w:r w:rsidR="00CF1117" w:rsidRPr="001541CB">
        <w:rPr>
          <w:rFonts w:ascii="Segoe UI" w:hAnsi="Segoe UI" w:cs="Segoe UI"/>
          <w:sz w:val="24"/>
          <w:szCs w:val="24"/>
        </w:rPr>
        <w:t xml:space="preserve">des Comptes d’Affectation Spéciale (CAS) </w:t>
      </w:r>
      <w:r w:rsidR="00F27A04" w:rsidRPr="001541CB">
        <w:rPr>
          <w:rFonts w:ascii="Segoe UI" w:hAnsi="Segoe UI" w:cs="Segoe UI"/>
          <w:sz w:val="24"/>
          <w:szCs w:val="24"/>
        </w:rPr>
        <w:t>se chiffrent</w:t>
      </w:r>
      <w:r w:rsidR="007006F0" w:rsidRPr="001541CB">
        <w:rPr>
          <w:rFonts w:ascii="Segoe UI" w:hAnsi="Segoe UI" w:cs="Segoe UI"/>
          <w:sz w:val="24"/>
          <w:szCs w:val="24"/>
        </w:rPr>
        <w:t xml:space="preserve"> </w:t>
      </w:r>
      <w:r w:rsidR="00F27A04" w:rsidRPr="001541CB">
        <w:rPr>
          <w:rFonts w:ascii="Segoe UI" w:hAnsi="Segoe UI" w:cs="Segoe UI"/>
          <w:sz w:val="24"/>
          <w:szCs w:val="24"/>
        </w:rPr>
        <w:t xml:space="preserve">à </w:t>
      </w:r>
      <w:r w:rsidR="00BC62FE" w:rsidRPr="001541CB">
        <w:rPr>
          <w:rFonts w:ascii="Segoe UI" w:hAnsi="Segoe UI" w:cs="Segoe UI"/>
          <w:sz w:val="24"/>
          <w:szCs w:val="24"/>
        </w:rPr>
        <w:t>13 925,5</w:t>
      </w:r>
      <w:r w:rsidR="000A2535" w:rsidRPr="001541CB">
        <w:rPr>
          <w:rFonts w:ascii="Segoe UI" w:hAnsi="Segoe UI" w:cs="Segoe UI"/>
          <w:sz w:val="24"/>
          <w:szCs w:val="24"/>
        </w:rPr>
        <w:t xml:space="preserve"> </w:t>
      </w:r>
      <w:r w:rsidR="00D55EA0" w:rsidRPr="001541CB">
        <w:rPr>
          <w:rFonts w:ascii="Segoe UI" w:hAnsi="Segoe UI" w:cs="Segoe UI"/>
          <w:sz w:val="24"/>
          <w:szCs w:val="24"/>
        </w:rPr>
        <w:t>millions de FCFA sur</w:t>
      </w:r>
      <w:r w:rsidR="007006F0" w:rsidRPr="001541CB">
        <w:rPr>
          <w:rFonts w:ascii="Segoe UI" w:hAnsi="Segoe UI" w:cs="Segoe UI"/>
          <w:sz w:val="24"/>
          <w:szCs w:val="24"/>
        </w:rPr>
        <w:t xml:space="preserve"> </w:t>
      </w:r>
      <w:r w:rsidR="00D55EA0" w:rsidRPr="001541CB">
        <w:rPr>
          <w:rFonts w:ascii="Segoe UI" w:hAnsi="Segoe UI" w:cs="Segoe UI"/>
          <w:sz w:val="24"/>
          <w:szCs w:val="24"/>
        </w:rPr>
        <w:t>une</w:t>
      </w:r>
      <w:r w:rsidR="00CF1117" w:rsidRPr="001541CB">
        <w:rPr>
          <w:rFonts w:ascii="Segoe UI" w:hAnsi="Segoe UI" w:cs="Segoe UI"/>
          <w:sz w:val="24"/>
          <w:szCs w:val="24"/>
        </w:rPr>
        <w:t xml:space="preserve"> prévision annuelle de</w:t>
      </w:r>
      <w:r w:rsidR="007006F0" w:rsidRPr="001541CB">
        <w:rPr>
          <w:rFonts w:ascii="Segoe UI" w:hAnsi="Segoe UI" w:cs="Segoe UI"/>
          <w:sz w:val="24"/>
          <w:szCs w:val="24"/>
        </w:rPr>
        <w:t xml:space="preserve"> </w:t>
      </w:r>
      <w:r w:rsidR="00BC62FE" w:rsidRPr="001541CB">
        <w:rPr>
          <w:rFonts w:ascii="Segoe UI" w:hAnsi="Segoe UI" w:cs="Segoe UI"/>
          <w:sz w:val="24"/>
          <w:szCs w:val="24"/>
        </w:rPr>
        <w:t>54 486</w:t>
      </w:r>
      <w:r w:rsidR="007006F0" w:rsidRPr="001541CB">
        <w:rPr>
          <w:rFonts w:ascii="Segoe UI" w:hAnsi="Segoe UI" w:cs="Segoe UI"/>
          <w:sz w:val="24"/>
          <w:szCs w:val="24"/>
        </w:rPr>
        <w:t xml:space="preserve"> </w:t>
      </w:r>
      <w:r w:rsidR="00D55EA0" w:rsidRPr="001541CB">
        <w:rPr>
          <w:rFonts w:ascii="Segoe UI" w:hAnsi="Segoe UI" w:cs="Segoe UI"/>
          <w:sz w:val="24"/>
          <w:szCs w:val="24"/>
        </w:rPr>
        <w:t>millions de FCFA</w:t>
      </w:r>
      <w:r w:rsidR="00F75B4B" w:rsidRPr="001541CB">
        <w:rPr>
          <w:rFonts w:ascii="Segoe UI" w:hAnsi="Segoe UI" w:cs="Segoe UI"/>
          <w:sz w:val="24"/>
          <w:szCs w:val="24"/>
        </w:rPr>
        <w:t>. Elles corresponde</w:t>
      </w:r>
      <w:r w:rsidR="005A095A" w:rsidRPr="001541CB">
        <w:rPr>
          <w:rFonts w:ascii="Segoe UI" w:hAnsi="Segoe UI" w:cs="Segoe UI"/>
          <w:sz w:val="24"/>
          <w:szCs w:val="24"/>
        </w:rPr>
        <w:t xml:space="preserve">nt à un taux d’exécution de </w:t>
      </w:r>
      <w:r w:rsidR="00BC62FE" w:rsidRPr="001541CB">
        <w:rPr>
          <w:rFonts w:ascii="Segoe UI" w:hAnsi="Segoe UI" w:cs="Segoe UI"/>
          <w:sz w:val="24"/>
          <w:szCs w:val="24"/>
        </w:rPr>
        <w:t>25,6</w:t>
      </w:r>
      <w:r w:rsidR="005A095A" w:rsidRPr="001541CB">
        <w:rPr>
          <w:rFonts w:ascii="Segoe UI" w:hAnsi="Segoe UI" w:cs="Segoe UI"/>
          <w:sz w:val="24"/>
          <w:szCs w:val="24"/>
        </w:rPr>
        <w:t>%</w:t>
      </w:r>
      <w:r w:rsidR="008B1603" w:rsidRPr="001541CB">
        <w:rPr>
          <w:rFonts w:ascii="Segoe UI" w:hAnsi="Segoe UI" w:cs="Segoe UI"/>
          <w:sz w:val="24"/>
          <w:szCs w:val="24"/>
        </w:rPr>
        <w:t xml:space="preserve">. </w:t>
      </w:r>
    </w:p>
    <w:p w14:paraId="1A0E0DD9" w14:textId="77777777" w:rsidR="00EB5D35" w:rsidRDefault="00CF1117" w:rsidP="000C178C">
      <w:pPr>
        <w:spacing w:after="0" w:line="360" w:lineRule="auto"/>
        <w:jc w:val="both"/>
        <w:rPr>
          <w:rFonts w:ascii="Segoe UI" w:hAnsi="Segoe UI" w:cs="Segoe UI"/>
          <w:sz w:val="24"/>
          <w:szCs w:val="24"/>
        </w:rPr>
      </w:pPr>
      <w:r w:rsidRPr="001541CB">
        <w:rPr>
          <w:rFonts w:ascii="Segoe UI" w:hAnsi="Segoe UI" w:cs="Segoe UI"/>
          <w:sz w:val="24"/>
          <w:szCs w:val="24"/>
        </w:rPr>
        <w:t>L</w:t>
      </w:r>
      <w:r w:rsidR="005A095A" w:rsidRPr="001541CB">
        <w:rPr>
          <w:rFonts w:ascii="Segoe UI" w:hAnsi="Segoe UI" w:cs="Segoe UI"/>
          <w:sz w:val="24"/>
          <w:szCs w:val="24"/>
        </w:rPr>
        <w:t>e détail sur l</w:t>
      </w:r>
      <w:r w:rsidR="00D55EA0" w:rsidRPr="001541CB">
        <w:rPr>
          <w:rFonts w:ascii="Segoe UI" w:hAnsi="Segoe UI" w:cs="Segoe UI"/>
          <w:sz w:val="24"/>
          <w:szCs w:val="24"/>
        </w:rPr>
        <w:t>’exécution des différents CAS se présente ainsi qu’il</w:t>
      </w:r>
      <w:r w:rsidRPr="001541CB">
        <w:rPr>
          <w:rFonts w:ascii="Segoe UI" w:hAnsi="Segoe UI" w:cs="Segoe UI"/>
          <w:sz w:val="24"/>
          <w:szCs w:val="24"/>
        </w:rPr>
        <w:t xml:space="preserve"> suit</w:t>
      </w:r>
      <w:r w:rsidR="00FB3A79" w:rsidRPr="001541CB">
        <w:rPr>
          <w:rFonts w:ascii="Segoe UI" w:hAnsi="Segoe UI" w:cs="Segoe UI"/>
          <w:sz w:val="24"/>
          <w:szCs w:val="24"/>
        </w:rPr>
        <w:t> </w:t>
      </w:r>
      <w:r w:rsidRPr="001541CB">
        <w:rPr>
          <w:rFonts w:ascii="Segoe UI" w:hAnsi="Segoe UI" w:cs="Segoe UI"/>
          <w:sz w:val="24"/>
          <w:szCs w:val="24"/>
        </w:rPr>
        <w:t>:</w:t>
      </w:r>
    </w:p>
    <w:p w14:paraId="51F6856F" w14:textId="77777777" w:rsidR="00CF62E7" w:rsidRDefault="00CF62E7" w:rsidP="000C178C">
      <w:pPr>
        <w:spacing w:after="0" w:line="360" w:lineRule="auto"/>
        <w:jc w:val="both"/>
        <w:rPr>
          <w:rFonts w:ascii="Segoe UI" w:hAnsi="Segoe UI" w:cs="Segoe UI"/>
          <w:sz w:val="24"/>
          <w:szCs w:val="24"/>
        </w:rPr>
      </w:pPr>
    </w:p>
    <w:p w14:paraId="7969DF71" w14:textId="77777777" w:rsidR="00CF62E7" w:rsidRDefault="00CF62E7" w:rsidP="000C178C">
      <w:pPr>
        <w:spacing w:after="0" w:line="360" w:lineRule="auto"/>
        <w:jc w:val="both"/>
        <w:rPr>
          <w:rFonts w:ascii="Segoe UI" w:hAnsi="Segoe UI" w:cs="Segoe UI"/>
          <w:sz w:val="24"/>
          <w:szCs w:val="24"/>
        </w:rPr>
      </w:pPr>
    </w:p>
    <w:p w14:paraId="6DADF65F" w14:textId="77777777" w:rsidR="00CF62E7" w:rsidRDefault="00CF62E7" w:rsidP="000C178C">
      <w:pPr>
        <w:spacing w:after="0" w:line="360" w:lineRule="auto"/>
        <w:jc w:val="both"/>
        <w:rPr>
          <w:rFonts w:ascii="Segoe UI" w:hAnsi="Segoe UI" w:cs="Segoe UI"/>
          <w:sz w:val="24"/>
          <w:szCs w:val="24"/>
        </w:rPr>
      </w:pPr>
    </w:p>
    <w:p w14:paraId="45D19252" w14:textId="77777777" w:rsidR="00CF62E7" w:rsidRDefault="00CF62E7" w:rsidP="000C178C">
      <w:pPr>
        <w:spacing w:after="0" w:line="360" w:lineRule="auto"/>
        <w:jc w:val="both"/>
        <w:rPr>
          <w:rFonts w:ascii="Segoe UI" w:hAnsi="Segoe UI" w:cs="Segoe UI"/>
          <w:sz w:val="24"/>
          <w:szCs w:val="24"/>
        </w:rPr>
      </w:pPr>
    </w:p>
    <w:p w14:paraId="13E73EB7" w14:textId="77777777" w:rsidR="00CF62E7" w:rsidRDefault="00CF62E7" w:rsidP="000C178C">
      <w:pPr>
        <w:spacing w:after="0" w:line="360" w:lineRule="auto"/>
        <w:jc w:val="both"/>
        <w:rPr>
          <w:rFonts w:ascii="Segoe UI" w:hAnsi="Segoe UI" w:cs="Segoe UI"/>
          <w:sz w:val="24"/>
          <w:szCs w:val="24"/>
        </w:rPr>
      </w:pPr>
    </w:p>
    <w:p w14:paraId="295DADAD" w14:textId="77777777" w:rsidR="00CF62E7" w:rsidRDefault="00CF62E7" w:rsidP="000C178C">
      <w:pPr>
        <w:spacing w:after="0" w:line="360" w:lineRule="auto"/>
        <w:jc w:val="both"/>
        <w:rPr>
          <w:rFonts w:ascii="Segoe UI" w:hAnsi="Segoe UI" w:cs="Segoe UI"/>
          <w:sz w:val="24"/>
          <w:szCs w:val="24"/>
        </w:rPr>
      </w:pPr>
    </w:p>
    <w:p w14:paraId="09DC8C5C" w14:textId="77777777" w:rsidR="00CF62E7" w:rsidRPr="001541CB" w:rsidRDefault="00CF62E7" w:rsidP="000C178C">
      <w:pPr>
        <w:spacing w:after="0" w:line="360" w:lineRule="auto"/>
        <w:jc w:val="both"/>
        <w:rPr>
          <w:rFonts w:ascii="Segoe UI" w:hAnsi="Segoe UI" w:cs="Segoe UI"/>
          <w:sz w:val="24"/>
          <w:szCs w:val="24"/>
        </w:rPr>
      </w:pPr>
    </w:p>
    <w:p w14:paraId="28360BE9" w14:textId="77777777" w:rsidR="0031784E" w:rsidRDefault="00BD09F3" w:rsidP="009A3164">
      <w:pPr>
        <w:pStyle w:val="Listedestableaux"/>
        <w:spacing w:line="240" w:lineRule="auto"/>
        <w:rPr>
          <w:rFonts w:ascii="Segoe UI" w:hAnsi="Segoe UI" w:cs="Segoe UI"/>
          <w:sz w:val="24"/>
          <w:szCs w:val="24"/>
        </w:rPr>
      </w:pPr>
      <w:bookmarkStart w:id="29" w:name="_Toc481952112"/>
      <w:r w:rsidRPr="001541CB">
        <w:rPr>
          <w:rFonts w:ascii="Segoe UI" w:hAnsi="Segoe UI" w:cs="Segoe UI"/>
          <w:sz w:val="24"/>
          <w:szCs w:val="24"/>
          <w:u w:val="single"/>
        </w:rPr>
        <w:t xml:space="preserve">Tableau </w:t>
      </w:r>
      <w:r w:rsidR="001B1451" w:rsidRPr="001541CB">
        <w:rPr>
          <w:rFonts w:ascii="Segoe UI" w:hAnsi="Segoe UI" w:cs="Segoe UI"/>
          <w:sz w:val="24"/>
          <w:szCs w:val="24"/>
          <w:u w:val="single"/>
        </w:rPr>
        <w:t>6</w:t>
      </w:r>
      <w:r w:rsidRPr="001541CB">
        <w:rPr>
          <w:rFonts w:ascii="Segoe UI" w:hAnsi="Segoe UI" w:cs="Segoe UI"/>
          <w:sz w:val="24"/>
          <w:szCs w:val="24"/>
        </w:rPr>
        <w:t xml:space="preserve"> : Exécution des dépenses </w:t>
      </w:r>
      <w:r w:rsidR="005D4A19" w:rsidRPr="001541CB">
        <w:rPr>
          <w:rFonts w:ascii="Segoe UI" w:hAnsi="Segoe UI" w:cs="Segoe UI"/>
          <w:sz w:val="24"/>
          <w:szCs w:val="24"/>
        </w:rPr>
        <w:t>des Comptes d’Affectation S</w:t>
      </w:r>
      <w:r w:rsidRPr="001541CB">
        <w:rPr>
          <w:rFonts w:ascii="Segoe UI" w:hAnsi="Segoe UI" w:cs="Segoe UI"/>
          <w:sz w:val="24"/>
          <w:szCs w:val="24"/>
        </w:rPr>
        <w:t xml:space="preserve">péciale </w:t>
      </w:r>
      <w:r w:rsidR="004E06F3" w:rsidRPr="001541CB">
        <w:rPr>
          <w:rFonts w:ascii="Segoe UI" w:hAnsi="Segoe UI" w:cs="Segoe UI"/>
          <w:sz w:val="24"/>
          <w:szCs w:val="24"/>
        </w:rPr>
        <w:t>au 31</w:t>
      </w:r>
      <w:bookmarkEnd w:id="29"/>
      <w:r w:rsidR="004A1038" w:rsidRPr="001541CB">
        <w:rPr>
          <w:rFonts w:ascii="Segoe UI" w:hAnsi="Segoe UI" w:cs="Segoe UI"/>
          <w:sz w:val="24"/>
          <w:szCs w:val="24"/>
        </w:rPr>
        <w:t xml:space="preserve"> </w:t>
      </w:r>
    </w:p>
    <w:p w14:paraId="3C73A776" w14:textId="77777777" w:rsidR="00A965AD" w:rsidRDefault="004E06F3" w:rsidP="002258EC">
      <w:pPr>
        <w:pStyle w:val="Listedestableaux"/>
        <w:spacing w:line="240" w:lineRule="auto"/>
        <w:rPr>
          <w:rFonts w:ascii="Segoe UI" w:hAnsi="Segoe UI" w:cs="Segoe UI"/>
          <w:sz w:val="24"/>
          <w:szCs w:val="24"/>
        </w:rPr>
      </w:pPr>
      <w:bookmarkStart w:id="30" w:name="_Toc481952113"/>
      <w:r w:rsidRPr="001541CB">
        <w:rPr>
          <w:rFonts w:ascii="Segoe UI" w:hAnsi="Segoe UI" w:cs="Segoe UI"/>
          <w:sz w:val="24"/>
          <w:szCs w:val="24"/>
        </w:rPr>
        <w:t>mars</w:t>
      </w:r>
      <w:r w:rsidR="00BD09F3" w:rsidRPr="001541CB">
        <w:rPr>
          <w:rFonts w:ascii="Segoe UI" w:hAnsi="Segoe UI" w:cs="Segoe UI"/>
          <w:sz w:val="24"/>
          <w:szCs w:val="24"/>
        </w:rPr>
        <w:t xml:space="preserve"> 201</w:t>
      </w:r>
      <w:r w:rsidR="00FF06B1" w:rsidRPr="001541CB">
        <w:rPr>
          <w:rFonts w:ascii="Segoe UI" w:hAnsi="Segoe UI" w:cs="Segoe UI"/>
          <w:sz w:val="24"/>
          <w:szCs w:val="24"/>
        </w:rPr>
        <w:t>7</w:t>
      </w:r>
      <w:bookmarkEnd w:id="30"/>
      <w:r w:rsidR="00F43E63" w:rsidRPr="001541CB">
        <w:rPr>
          <w:rFonts w:ascii="Segoe UI" w:hAnsi="Segoe UI" w:cs="Segoe UI"/>
          <w:sz w:val="24"/>
          <w:szCs w:val="24"/>
        </w:rPr>
        <w:t xml:space="preserve"> </w:t>
      </w:r>
      <w:r w:rsidR="008E6B9B">
        <w:rPr>
          <w:rFonts w:ascii="Segoe UI" w:hAnsi="Segoe UI" w:cs="Segoe UI"/>
          <w:sz w:val="24"/>
          <w:szCs w:val="24"/>
        </w:rPr>
        <w:t xml:space="preserve"> </w:t>
      </w:r>
    </w:p>
    <w:p w14:paraId="3BEC2E16" w14:textId="77777777" w:rsidR="0057328F" w:rsidRPr="00A965AD" w:rsidRDefault="008E6B9B" w:rsidP="002258EC">
      <w:pPr>
        <w:pStyle w:val="Listedestableaux"/>
        <w:spacing w:line="240" w:lineRule="auto"/>
        <w:rPr>
          <w:rFonts w:ascii="Segoe UI" w:hAnsi="Segoe UI" w:cs="Segoe UI"/>
          <w:b w:val="0"/>
          <w:sz w:val="24"/>
          <w:szCs w:val="24"/>
        </w:rPr>
      </w:pPr>
      <w:r>
        <w:rPr>
          <w:rFonts w:ascii="Segoe UI" w:hAnsi="Segoe UI" w:cs="Segoe UI"/>
          <w:sz w:val="24"/>
          <w:szCs w:val="24"/>
        </w:rPr>
        <w:t xml:space="preserve">                                               </w:t>
      </w:r>
      <w:r w:rsidR="0015077C">
        <w:rPr>
          <w:rFonts w:ascii="Segoe UI" w:hAnsi="Segoe UI" w:cs="Segoe UI"/>
          <w:sz w:val="24"/>
          <w:szCs w:val="24"/>
        </w:rPr>
        <w:t xml:space="preserve">            </w:t>
      </w:r>
      <w:r w:rsidR="00A965AD">
        <w:rPr>
          <w:rFonts w:ascii="Segoe UI" w:hAnsi="Segoe UI" w:cs="Segoe UI"/>
          <w:sz w:val="24"/>
          <w:szCs w:val="24"/>
        </w:rPr>
        <w:t xml:space="preserve">                           </w:t>
      </w:r>
      <w:bookmarkStart w:id="31" w:name="_Toc481952114"/>
      <w:r w:rsidR="0057328F" w:rsidRPr="00A965AD">
        <w:rPr>
          <w:rFonts w:ascii="Segoe UI" w:hAnsi="Segoe UI" w:cs="Segoe UI"/>
          <w:b w:val="0"/>
          <w:sz w:val="24"/>
          <w:szCs w:val="24"/>
        </w:rPr>
        <w:t>En millions de FCFA</w:t>
      </w:r>
      <w:bookmarkEnd w:id="31"/>
    </w:p>
    <w:tbl>
      <w:tblPr>
        <w:tblStyle w:val="Grilledutableau"/>
        <w:tblW w:w="9464" w:type="dxa"/>
        <w:tblLayout w:type="fixed"/>
        <w:tblLook w:val="04A0" w:firstRow="1" w:lastRow="0" w:firstColumn="1" w:lastColumn="0" w:noHBand="0" w:noVBand="1"/>
      </w:tblPr>
      <w:tblGrid>
        <w:gridCol w:w="5353"/>
        <w:gridCol w:w="1559"/>
        <w:gridCol w:w="1560"/>
        <w:gridCol w:w="992"/>
      </w:tblGrid>
      <w:tr w:rsidR="00D30190" w:rsidRPr="00AA14AA" w14:paraId="007479D2" w14:textId="77777777" w:rsidTr="00ED2F1E">
        <w:tc>
          <w:tcPr>
            <w:tcW w:w="5353" w:type="dxa"/>
            <w:vAlign w:val="center"/>
          </w:tcPr>
          <w:p w14:paraId="6EB0E21F" w14:textId="77777777" w:rsidR="00D30190" w:rsidRPr="002E4977" w:rsidRDefault="00D30190" w:rsidP="009A3164">
            <w:pPr>
              <w:jc w:val="center"/>
              <w:rPr>
                <w:rFonts w:ascii="Segoe UI" w:hAnsi="Segoe UI" w:cs="Segoe UI"/>
                <w:b/>
              </w:rPr>
            </w:pPr>
            <w:r w:rsidRPr="002E4977">
              <w:rPr>
                <w:rFonts w:ascii="Segoe UI" w:hAnsi="Segoe UI" w:cs="Segoe UI"/>
                <w:b/>
                <w:sz w:val="22"/>
                <w:szCs w:val="22"/>
              </w:rPr>
              <w:t>Compte</w:t>
            </w:r>
          </w:p>
        </w:tc>
        <w:tc>
          <w:tcPr>
            <w:tcW w:w="1559" w:type="dxa"/>
            <w:vAlign w:val="center"/>
          </w:tcPr>
          <w:p w14:paraId="12DFC131" w14:textId="77777777" w:rsidR="00D30190" w:rsidRPr="002E4977" w:rsidRDefault="00D30190" w:rsidP="0057328F">
            <w:pPr>
              <w:jc w:val="center"/>
              <w:rPr>
                <w:rFonts w:ascii="Segoe UI" w:hAnsi="Segoe UI" w:cs="Segoe UI"/>
                <w:b/>
              </w:rPr>
            </w:pPr>
            <w:r w:rsidRPr="002E4977">
              <w:rPr>
                <w:rFonts w:ascii="Segoe UI" w:hAnsi="Segoe UI" w:cs="Segoe UI"/>
                <w:b/>
                <w:sz w:val="22"/>
                <w:szCs w:val="22"/>
              </w:rPr>
              <w:t>Prévision annuelle</w:t>
            </w:r>
          </w:p>
        </w:tc>
        <w:tc>
          <w:tcPr>
            <w:tcW w:w="1560" w:type="dxa"/>
            <w:vAlign w:val="center"/>
          </w:tcPr>
          <w:p w14:paraId="2D032714" w14:textId="77777777" w:rsidR="00D30190" w:rsidRPr="002E4977" w:rsidRDefault="00D30190" w:rsidP="0057328F">
            <w:pPr>
              <w:jc w:val="center"/>
              <w:rPr>
                <w:rFonts w:ascii="Segoe UI" w:hAnsi="Segoe UI" w:cs="Segoe UI"/>
                <w:b/>
              </w:rPr>
            </w:pPr>
            <w:r w:rsidRPr="002E4977">
              <w:rPr>
                <w:rFonts w:ascii="Segoe UI" w:hAnsi="Segoe UI" w:cs="Segoe UI"/>
                <w:b/>
                <w:sz w:val="22"/>
                <w:szCs w:val="22"/>
              </w:rPr>
              <w:t>Montant engagé</w:t>
            </w:r>
          </w:p>
        </w:tc>
        <w:tc>
          <w:tcPr>
            <w:tcW w:w="992" w:type="dxa"/>
          </w:tcPr>
          <w:p w14:paraId="6CFEFF88" w14:textId="77777777" w:rsidR="00D30190" w:rsidRPr="002E4977" w:rsidRDefault="00D30190" w:rsidP="0057328F">
            <w:pPr>
              <w:jc w:val="center"/>
              <w:rPr>
                <w:rFonts w:ascii="Segoe UI" w:hAnsi="Segoe UI" w:cs="Segoe UI"/>
                <w:b/>
              </w:rPr>
            </w:pPr>
            <w:r w:rsidRPr="002E4977">
              <w:rPr>
                <w:rFonts w:ascii="Segoe UI" w:hAnsi="Segoe UI" w:cs="Segoe UI"/>
                <w:b/>
                <w:sz w:val="22"/>
                <w:szCs w:val="22"/>
              </w:rPr>
              <w:t>Taux</w:t>
            </w:r>
          </w:p>
          <w:p w14:paraId="0D9DF95F" w14:textId="77777777" w:rsidR="00D30190" w:rsidRPr="002E4977" w:rsidRDefault="00D30190" w:rsidP="0057328F">
            <w:pPr>
              <w:jc w:val="center"/>
              <w:rPr>
                <w:rFonts w:ascii="Segoe UI" w:hAnsi="Segoe UI" w:cs="Segoe UI"/>
                <w:b/>
              </w:rPr>
            </w:pPr>
            <w:r w:rsidRPr="002E4977">
              <w:rPr>
                <w:rFonts w:ascii="Segoe UI" w:hAnsi="Segoe UI" w:cs="Segoe UI"/>
                <w:b/>
                <w:sz w:val="22"/>
                <w:szCs w:val="22"/>
              </w:rPr>
              <w:t xml:space="preserve">(%) </w:t>
            </w:r>
          </w:p>
        </w:tc>
      </w:tr>
      <w:tr w:rsidR="00D30190" w:rsidRPr="00AA14AA" w14:paraId="6282658C" w14:textId="77777777" w:rsidTr="00ED2F1E">
        <w:tc>
          <w:tcPr>
            <w:tcW w:w="5353" w:type="dxa"/>
          </w:tcPr>
          <w:p w14:paraId="0F722BA2" w14:textId="77777777" w:rsidR="00D30190" w:rsidRPr="002E4977" w:rsidRDefault="00D30190" w:rsidP="005D4A19">
            <w:pPr>
              <w:rPr>
                <w:rFonts w:ascii="Segoe UI" w:hAnsi="Segoe UI" w:cs="Segoe UI"/>
              </w:rPr>
            </w:pPr>
            <w:r w:rsidRPr="002E4977">
              <w:rPr>
                <w:rFonts w:ascii="Segoe UI" w:hAnsi="Segoe UI" w:cs="Segoe UI"/>
                <w:sz w:val="22"/>
                <w:szCs w:val="22"/>
              </w:rPr>
              <w:t>Opérations Militaires à l’Extérieur……</w:t>
            </w:r>
          </w:p>
        </w:tc>
        <w:tc>
          <w:tcPr>
            <w:tcW w:w="1559" w:type="dxa"/>
          </w:tcPr>
          <w:p w14:paraId="2A009E20" w14:textId="77777777" w:rsidR="00D30190" w:rsidRPr="002E4977" w:rsidRDefault="009E393F" w:rsidP="009B3467">
            <w:pPr>
              <w:jc w:val="center"/>
              <w:rPr>
                <w:rFonts w:ascii="Segoe UI" w:hAnsi="Segoe UI" w:cs="Segoe UI"/>
              </w:rPr>
            </w:pPr>
            <w:r w:rsidRPr="002E4977">
              <w:rPr>
                <w:rFonts w:ascii="Segoe UI" w:hAnsi="Segoe UI" w:cs="Segoe UI"/>
                <w:sz w:val="22"/>
                <w:szCs w:val="22"/>
              </w:rPr>
              <w:t>16</w:t>
            </w:r>
            <w:r w:rsidR="00D30190" w:rsidRPr="002E4977">
              <w:rPr>
                <w:rFonts w:ascii="Segoe UI" w:hAnsi="Segoe UI" w:cs="Segoe UI"/>
                <w:sz w:val="22"/>
                <w:szCs w:val="22"/>
              </w:rPr>
              <w:t xml:space="preserve"> 000</w:t>
            </w:r>
          </w:p>
        </w:tc>
        <w:tc>
          <w:tcPr>
            <w:tcW w:w="1560" w:type="dxa"/>
          </w:tcPr>
          <w:p w14:paraId="74BF0069" w14:textId="77777777" w:rsidR="00D30190" w:rsidRPr="002E4977" w:rsidRDefault="009E393F" w:rsidP="00B51783">
            <w:pPr>
              <w:jc w:val="center"/>
              <w:rPr>
                <w:rFonts w:ascii="Segoe UI" w:hAnsi="Segoe UI" w:cs="Segoe UI"/>
              </w:rPr>
            </w:pPr>
            <w:r w:rsidRPr="002E4977">
              <w:rPr>
                <w:rFonts w:ascii="Segoe UI" w:hAnsi="Segoe UI" w:cs="Segoe UI"/>
                <w:sz w:val="22"/>
                <w:szCs w:val="22"/>
              </w:rPr>
              <w:t>4 196,5</w:t>
            </w:r>
          </w:p>
        </w:tc>
        <w:tc>
          <w:tcPr>
            <w:tcW w:w="992" w:type="dxa"/>
          </w:tcPr>
          <w:p w14:paraId="5E7FA8FA" w14:textId="77777777" w:rsidR="00D30190" w:rsidRPr="002E4977" w:rsidRDefault="009E393F" w:rsidP="00B51783">
            <w:pPr>
              <w:jc w:val="center"/>
              <w:rPr>
                <w:rFonts w:ascii="Segoe UI" w:hAnsi="Segoe UI" w:cs="Segoe UI"/>
              </w:rPr>
            </w:pPr>
            <w:r w:rsidRPr="002E4977">
              <w:rPr>
                <w:rFonts w:ascii="Segoe UI" w:hAnsi="Segoe UI" w:cs="Segoe UI"/>
                <w:sz w:val="22"/>
                <w:szCs w:val="22"/>
              </w:rPr>
              <w:t>26,2</w:t>
            </w:r>
          </w:p>
        </w:tc>
      </w:tr>
      <w:tr w:rsidR="00D30190" w:rsidRPr="00AA14AA" w14:paraId="19B7195F" w14:textId="77777777" w:rsidTr="00ED2F1E">
        <w:tc>
          <w:tcPr>
            <w:tcW w:w="5353" w:type="dxa"/>
          </w:tcPr>
          <w:p w14:paraId="3F7E86D3" w14:textId="77777777" w:rsidR="00D30190" w:rsidRPr="002E4977" w:rsidRDefault="00D30190" w:rsidP="00CF1117">
            <w:pPr>
              <w:rPr>
                <w:rFonts w:ascii="Segoe UI" w:hAnsi="Segoe UI" w:cs="Segoe UI"/>
              </w:rPr>
            </w:pPr>
            <w:r w:rsidRPr="002E4977">
              <w:rPr>
                <w:rFonts w:ascii="Segoe UI" w:hAnsi="Segoe UI" w:cs="Segoe UI"/>
                <w:sz w:val="22"/>
                <w:szCs w:val="22"/>
              </w:rPr>
              <w:t>Programme SYDONIA……………………</w:t>
            </w:r>
          </w:p>
        </w:tc>
        <w:tc>
          <w:tcPr>
            <w:tcW w:w="1559" w:type="dxa"/>
          </w:tcPr>
          <w:p w14:paraId="740713C2" w14:textId="77777777" w:rsidR="00D30190" w:rsidRPr="002E4977" w:rsidRDefault="001B3315" w:rsidP="00552454">
            <w:pPr>
              <w:jc w:val="center"/>
              <w:rPr>
                <w:rFonts w:ascii="Segoe UI" w:hAnsi="Segoe UI" w:cs="Segoe UI"/>
              </w:rPr>
            </w:pPr>
            <w:r w:rsidRPr="002E4977">
              <w:rPr>
                <w:rFonts w:ascii="Segoe UI" w:hAnsi="Segoe UI" w:cs="Segoe UI"/>
                <w:sz w:val="22"/>
                <w:szCs w:val="22"/>
              </w:rPr>
              <w:t>3 552</w:t>
            </w:r>
          </w:p>
        </w:tc>
        <w:tc>
          <w:tcPr>
            <w:tcW w:w="1560" w:type="dxa"/>
          </w:tcPr>
          <w:p w14:paraId="4E8DE1C7" w14:textId="77777777" w:rsidR="00D30190" w:rsidRPr="002E4977" w:rsidRDefault="001B3315" w:rsidP="00B51783">
            <w:pPr>
              <w:jc w:val="center"/>
              <w:rPr>
                <w:rFonts w:ascii="Segoe UI" w:hAnsi="Segoe UI" w:cs="Segoe UI"/>
              </w:rPr>
            </w:pPr>
            <w:r w:rsidRPr="002E4977">
              <w:rPr>
                <w:rFonts w:ascii="Segoe UI" w:hAnsi="Segoe UI" w:cs="Segoe UI"/>
                <w:sz w:val="22"/>
                <w:szCs w:val="22"/>
              </w:rPr>
              <w:t>572</w:t>
            </w:r>
          </w:p>
        </w:tc>
        <w:tc>
          <w:tcPr>
            <w:tcW w:w="992" w:type="dxa"/>
          </w:tcPr>
          <w:p w14:paraId="341B6324" w14:textId="77777777" w:rsidR="00D30190" w:rsidRPr="002E4977" w:rsidRDefault="001B3315" w:rsidP="00B51783">
            <w:pPr>
              <w:jc w:val="center"/>
              <w:rPr>
                <w:rFonts w:ascii="Segoe UI" w:hAnsi="Segoe UI" w:cs="Segoe UI"/>
              </w:rPr>
            </w:pPr>
            <w:r w:rsidRPr="002E4977">
              <w:rPr>
                <w:rFonts w:ascii="Segoe UI" w:hAnsi="Segoe UI" w:cs="Segoe UI"/>
                <w:sz w:val="22"/>
                <w:szCs w:val="22"/>
              </w:rPr>
              <w:t>16,1</w:t>
            </w:r>
          </w:p>
        </w:tc>
      </w:tr>
      <w:tr w:rsidR="00D30190" w:rsidRPr="00AA14AA" w14:paraId="481CC014" w14:textId="77777777" w:rsidTr="00ED2F1E">
        <w:tc>
          <w:tcPr>
            <w:tcW w:w="5353" w:type="dxa"/>
          </w:tcPr>
          <w:p w14:paraId="20551B51" w14:textId="77777777" w:rsidR="00D30190" w:rsidRPr="002E4977" w:rsidRDefault="00D30190" w:rsidP="00CF1117">
            <w:pPr>
              <w:rPr>
                <w:rFonts w:ascii="Segoe UI" w:hAnsi="Segoe UI" w:cs="Segoe UI"/>
              </w:rPr>
            </w:pPr>
            <w:r w:rsidRPr="002E4977">
              <w:rPr>
                <w:rFonts w:ascii="Segoe UI" w:hAnsi="Segoe UI" w:cs="Segoe UI"/>
                <w:sz w:val="22"/>
                <w:szCs w:val="22"/>
              </w:rPr>
              <w:t>Partenariat Mondial pour l’Education …………</w:t>
            </w:r>
          </w:p>
        </w:tc>
        <w:tc>
          <w:tcPr>
            <w:tcW w:w="1559" w:type="dxa"/>
          </w:tcPr>
          <w:p w14:paraId="7C05C90A" w14:textId="77777777" w:rsidR="00D30190" w:rsidRPr="002E4977" w:rsidRDefault="00260704" w:rsidP="007A392F">
            <w:pPr>
              <w:jc w:val="center"/>
              <w:rPr>
                <w:rFonts w:ascii="Segoe UI" w:hAnsi="Segoe UI" w:cs="Segoe UI"/>
              </w:rPr>
            </w:pPr>
            <w:r w:rsidRPr="002E4977">
              <w:rPr>
                <w:rFonts w:ascii="Segoe UI" w:hAnsi="Segoe UI" w:cs="Segoe UI"/>
                <w:sz w:val="22"/>
                <w:szCs w:val="22"/>
              </w:rPr>
              <w:t>7 784</w:t>
            </w:r>
          </w:p>
        </w:tc>
        <w:tc>
          <w:tcPr>
            <w:tcW w:w="1560" w:type="dxa"/>
          </w:tcPr>
          <w:p w14:paraId="04FE83F1" w14:textId="77777777" w:rsidR="00D30190" w:rsidRPr="002E4977" w:rsidRDefault="00C40BB3" w:rsidP="00B51783">
            <w:pPr>
              <w:jc w:val="center"/>
              <w:rPr>
                <w:rFonts w:ascii="Segoe UI" w:hAnsi="Segoe UI" w:cs="Segoe UI"/>
              </w:rPr>
            </w:pPr>
            <w:r w:rsidRPr="002E4977">
              <w:rPr>
                <w:rFonts w:ascii="Segoe UI" w:hAnsi="Segoe UI" w:cs="Segoe UI"/>
                <w:sz w:val="22"/>
                <w:szCs w:val="22"/>
              </w:rPr>
              <w:t>4 541,9</w:t>
            </w:r>
          </w:p>
        </w:tc>
        <w:tc>
          <w:tcPr>
            <w:tcW w:w="992" w:type="dxa"/>
          </w:tcPr>
          <w:p w14:paraId="3318590B" w14:textId="77777777" w:rsidR="00D30190" w:rsidRPr="002E4977" w:rsidRDefault="00C40BB3" w:rsidP="00B51783">
            <w:pPr>
              <w:jc w:val="center"/>
              <w:rPr>
                <w:rFonts w:ascii="Segoe UI" w:hAnsi="Segoe UI" w:cs="Segoe UI"/>
              </w:rPr>
            </w:pPr>
            <w:r w:rsidRPr="002E4977">
              <w:rPr>
                <w:rFonts w:ascii="Segoe UI" w:hAnsi="Segoe UI" w:cs="Segoe UI"/>
                <w:sz w:val="22"/>
                <w:szCs w:val="22"/>
              </w:rPr>
              <w:t>27,52</w:t>
            </w:r>
          </w:p>
        </w:tc>
      </w:tr>
      <w:tr w:rsidR="00D30190" w:rsidRPr="00AA14AA" w14:paraId="7527C209" w14:textId="77777777" w:rsidTr="00ED2F1E">
        <w:tc>
          <w:tcPr>
            <w:tcW w:w="5353" w:type="dxa"/>
          </w:tcPr>
          <w:p w14:paraId="1201AB3E" w14:textId="77777777" w:rsidR="00D30190" w:rsidRPr="002E4977" w:rsidRDefault="00D30190" w:rsidP="00CF1117">
            <w:pPr>
              <w:rPr>
                <w:rFonts w:ascii="Segoe UI" w:hAnsi="Segoe UI" w:cs="Segoe UI"/>
              </w:rPr>
            </w:pPr>
            <w:r w:rsidRPr="002E4977">
              <w:rPr>
                <w:rFonts w:ascii="Segoe UI" w:hAnsi="Segoe UI" w:cs="Segoe UI"/>
                <w:sz w:val="22"/>
                <w:szCs w:val="22"/>
              </w:rPr>
              <w:t xml:space="preserve">Opérations d’Escortes Douanières…  </w:t>
            </w:r>
          </w:p>
        </w:tc>
        <w:tc>
          <w:tcPr>
            <w:tcW w:w="1559" w:type="dxa"/>
          </w:tcPr>
          <w:p w14:paraId="6513132E" w14:textId="77777777" w:rsidR="00D30190" w:rsidRPr="002E4977" w:rsidRDefault="006A189A" w:rsidP="006A189A">
            <w:pPr>
              <w:jc w:val="center"/>
              <w:rPr>
                <w:rFonts w:ascii="Segoe UI" w:hAnsi="Segoe UI" w:cs="Segoe UI"/>
              </w:rPr>
            </w:pPr>
            <w:r w:rsidRPr="002E4977">
              <w:rPr>
                <w:rFonts w:ascii="Segoe UI" w:hAnsi="Segoe UI" w:cs="Segoe UI"/>
                <w:sz w:val="22"/>
                <w:szCs w:val="22"/>
              </w:rPr>
              <w:t>4</w:t>
            </w:r>
            <w:r w:rsidR="00D30190" w:rsidRPr="002E4977">
              <w:rPr>
                <w:rFonts w:ascii="Segoe UI" w:hAnsi="Segoe UI" w:cs="Segoe UI"/>
                <w:sz w:val="22"/>
                <w:szCs w:val="22"/>
              </w:rPr>
              <w:t xml:space="preserve"> 000</w:t>
            </w:r>
          </w:p>
        </w:tc>
        <w:tc>
          <w:tcPr>
            <w:tcW w:w="1560" w:type="dxa"/>
          </w:tcPr>
          <w:p w14:paraId="27D3CB9E" w14:textId="77777777" w:rsidR="00D30190" w:rsidRPr="002E4977" w:rsidRDefault="006A189A" w:rsidP="005A095A">
            <w:pPr>
              <w:jc w:val="center"/>
              <w:rPr>
                <w:rFonts w:ascii="Segoe UI" w:hAnsi="Segoe UI" w:cs="Segoe UI"/>
              </w:rPr>
            </w:pPr>
            <w:r w:rsidRPr="002E4977">
              <w:rPr>
                <w:rFonts w:ascii="Segoe UI" w:hAnsi="Segoe UI" w:cs="Segoe UI"/>
                <w:sz w:val="22"/>
                <w:szCs w:val="22"/>
              </w:rPr>
              <w:t>694,6</w:t>
            </w:r>
          </w:p>
        </w:tc>
        <w:tc>
          <w:tcPr>
            <w:tcW w:w="992" w:type="dxa"/>
          </w:tcPr>
          <w:p w14:paraId="03372233" w14:textId="77777777" w:rsidR="00D30190" w:rsidRPr="002E4977" w:rsidRDefault="006A189A" w:rsidP="005A095A">
            <w:pPr>
              <w:jc w:val="center"/>
              <w:rPr>
                <w:rFonts w:ascii="Segoe UI" w:hAnsi="Segoe UI" w:cs="Segoe UI"/>
              </w:rPr>
            </w:pPr>
            <w:r w:rsidRPr="002E4977">
              <w:rPr>
                <w:rFonts w:ascii="Segoe UI" w:hAnsi="Segoe UI" w:cs="Segoe UI"/>
                <w:sz w:val="22"/>
                <w:szCs w:val="22"/>
              </w:rPr>
              <w:t>17,4</w:t>
            </w:r>
          </w:p>
        </w:tc>
      </w:tr>
      <w:tr w:rsidR="00D30190" w:rsidRPr="00AA14AA" w14:paraId="34CEE85D" w14:textId="77777777" w:rsidTr="00ED2F1E">
        <w:tc>
          <w:tcPr>
            <w:tcW w:w="5353" w:type="dxa"/>
          </w:tcPr>
          <w:p w14:paraId="114BC65D" w14:textId="0A90DA08" w:rsidR="00D30190" w:rsidRPr="002E4977" w:rsidRDefault="00AF1388" w:rsidP="00CF1117">
            <w:pPr>
              <w:rPr>
                <w:rFonts w:ascii="Segoe UI" w:hAnsi="Segoe UI" w:cs="Segoe UI"/>
              </w:rPr>
            </w:pPr>
            <w:r w:rsidRPr="002E4977">
              <w:rPr>
                <w:rFonts w:ascii="Segoe UI" w:hAnsi="Segoe UI" w:cs="Segoe UI"/>
                <w:sz w:val="22"/>
                <w:szCs w:val="22"/>
              </w:rPr>
              <w:t>Compte Promotion de l</w:t>
            </w:r>
            <w:r w:rsidR="00343792" w:rsidRPr="002E4977">
              <w:rPr>
                <w:rFonts w:ascii="Segoe UI" w:hAnsi="Segoe UI" w:cs="Segoe UI"/>
                <w:sz w:val="22"/>
                <w:szCs w:val="22"/>
              </w:rPr>
              <w:t>a</w:t>
            </w:r>
            <w:r w:rsidRPr="002E4977">
              <w:rPr>
                <w:rFonts w:ascii="Segoe UI" w:hAnsi="Segoe UI" w:cs="Segoe UI"/>
                <w:sz w:val="22"/>
                <w:szCs w:val="22"/>
              </w:rPr>
              <w:t xml:space="preserve"> recherche agricole</w:t>
            </w:r>
            <w:r w:rsidR="008C387E" w:rsidRPr="002E4977">
              <w:rPr>
                <w:rFonts w:ascii="Segoe UI" w:hAnsi="Segoe UI" w:cs="Segoe UI"/>
                <w:sz w:val="22"/>
                <w:szCs w:val="22"/>
              </w:rPr>
              <w:t>……</w:t>
            </w:r>
          </w:p>
        </w:tc>
        <w:tc>
          <w:tcPr>
            <w:tcW w:w="1559" w:type="dxa"/>
          </w:tcPr>
          <w:p w14:paraId="2305A857" w14:textId="77777777" w:rsidR="00D30190" w:rsidRPr="002E4977" w:rsidRDefault="008C387E" w:rsidP="00C57E16">
            <w:pPr>
              <w:jc w:val="center"/>
              <w:rPr>
                <w:rFonts w:ascii="Segoe UI" w:hAnsi="Segoe UI" w:cs="Segoe UI"/>
              </w:rPr>
            </w:pPr>
            <w:r w:rsidRPr="002E4977">
              <w:rPr>
                <w:rFonts w:ascii="Segoe UI" w:hAnsi="Segoe UI" w:cs="Segoe UI"/>
                <w:sz w:val="22"/>
                <w:szCs w:val="22"/>
              </w:rPr>
              <w:t>4 100</w:t>
            </w:r>
          </w:p>
        </w:tc>
        <w:tc>
          <w:tcPr>
            <w:tcW w:w="1560" w:type="dxa"/>
          </w:tcPr>
          <w:p w14:paraId="2B17E12E" w14:textId="77777777" w:rsidR="00D30190" w:rsidRPr="002E4977" w:rsidRDefault="00D30190" w:rsidP="0057328F">
            <w:pPr>
              <w:jc w:val="center"/>
              <w:rPr>
                <w:rFonts w:ascii="Segoe UI" w:hAnsi="Segoe UI" w:cs="Segoe UI"/>
              </w:rPr>
            </w:pPr>
            <w:r w:rsidRPr="002E4977">
              <w:rPr>
                <w:rFonts w:ascii="Segoe UI" w:hAnsi="Segoe UI" w:cs="Segoe UI"/>
                <w:sz w:val="22"/>
                <w:szCs w:val="22"/>
              </w:rPr>
              <w:t>-</w:t>
            </w:r>
          </w:p>
        </w:tc>
        <w:tc>
          <w:tcPr>
            <w:tcW w:w="992" w:type="dxa"/>
          </w:tcPr>
          <w:p w14:paraId="4E2677CE" w14:textId="77777777" w:rsidR="00D30190" w:rsidRPr="002E4977" w:rsidRDefault="00ED2F1E" w:rsidP="0057328F">
            <w:pPr>
              <w:jc w:val="center"/>
              <w:rPr>
                <w:rFonts w:ascii="Segoe UI" w:hAnsi="Segoe UI" w:cs="Segoe UI"/>
              </w:rPr>
            </w:pPr>
            <w:r w:rsidRPr="002E4977">
              <w:rPr>
                <w:rFonts w:ascii="Segoe UI" w:hAnsi="Segoe UI" w:cs="Segoe UI"/>
                <w:sz w:val="22"/>
                <w:szCs w:val="22"/>
              </w:rPr>
              <w:t>-</w:t>
            </w:r>
          </w:p>
        </w:tc>
      </w:tr>
      <w:tr w:rsidR="009F48CB" w:rsidRPr="00AA14AA" w14:paraId="15E2ED82" w14:textId="77777777" w:rsidTr="00ED2F1E">
        <w:tc>
          <w:tcPr>
            <w:tcW w:w="5353" w:type="dxa"/>
          </w:tcPr>
          <w:p w14:paraId="00B4F90D" w14:textId="77777777" w:rsidR="009F48CB" w:rsidRPr="002E4977" w:rsidRDefault="009F48CB" w:rsidP="00CF1117">
            <w:pPr>
              <w:rPr>
                <w:rFonts w:ascii="Segoe UI" w:hAnsi="Segoe UI" w:cs="Segoe UI"/>
              </w:rPr>
            </w:pPr>
            <w:r w:rsidRPr="002E4977">
              <w:rPr>
                <w:rFonts w:ascii="Segoe UI" w:hAnsi="Segoe UI" w:cs="Segoe UI"/>
                <w:sz w:val="22"/>
                <w:szCs w:val="22"/>
              </w:rPr>
              <w:t>Modernisation de l’Administration des Impôts</w:t>
            </w:r>
          </w:p>
        </w:tc>
        <w:tc>
          <w:tcPr>
            <w:tcW w:w="1559" w:type="dxa"/>
          </w:tcPr>
          <w:p w14:paraId="39C32337" w14:textId="77777777" w:rsidR="009F48CB" w:rsidRPr="002E4977" w:rsidRDefault="009F48CB" w:rsidP="007A392F">
            <w:pPr>
              <w:jc w:val="center"/>
              <w:rPr>
                <w:rFonts w:ascii="Segoe UI" w:hAnsi="Segoe UI" w:cs="Segoe UI"/>
              </w:rPr>
            </w:pPr>
            <w:r w:rsidRPr="002E4977">
              <w:rPr>
                <w:rFonts w:ascii="Segoe UI" w:hAnsi="Segoe UI" w:cs="Segoe UI"/>
                <w:sz w:val="22"/>
                <w:szCs w:val="22"/>
              </w:rPr>
              <w:t>2 000</w:t>
            </w:r>
          </w:p>
        </w:tc>
        <w:tc>
          <w:tcPr>
            <w:tcW w:w="1560" w:type="dxa"/>
          </w:tcPr>
          <w:p w14:paraId="0E2AD75E" w14:textId="77777777" w:rsidR="009F48CB" w:rsidRPr="002E4977" w:rsidRDefault="009F48CB" w:rsidP="0057328F">
            <w:pPr>
              <w:jc w:val="center"/>
              <w:rPr>
                <w:rFonts w:ascii="Segoe UI" w:hAnsi="Segoe UI" w:cs="Segoe UI"/>
              </w:rPr>
            </w:pPr>
            <w:r w:rsidRPr="002E4977">
              <w:rPr>
                <w:rFonts w:ascii="Segoe UI" w:hAnsi="Segoe UI" w:cs="Segoe UI"/>
                <w:sz w:val="22"/>
                <w:szCs w:val="22"/>
              </w:rPr>
              <w:t>1 130,5</w:t>
            </w:r>
          </w:p>
        </w:tc>
        <w:tc>
          <w:tcPr>
            <w:tcW w:w="992" w:type="dxa"/>
          </w:tcPr>
          <w:p w14:paraId="1C94DCAF" w14:textId="77777777" w:rsidR="009F48CB" w:rsidRPr="002E4977" w:rsidRDefault="009F48CB" w:rsidP="0057328F">
            <w:pPr>
              <w:jc w:val="center"/>
              <w:rPr>
                <w:rFonts w:ascii="Segoe UI" w:hAnsi="Segoe UI" w:cs="Segoe UI"/>
              </w:rPr>
            </w:pPr>
            <w:r w:rsidRPr="002E4977">
              <w:rPr>
                <w:rFonts w:ascii="Segoe UI" w:hAnsi="Segoe UI" w:cs="Segoe UI"/>
                <w:sz w:val="22"/>
                <w:szCs w:val="22"/>
              </w:rPr>
              <w:t>56,52</w:t>
            </w:r>
          </w:p>
        </w:tc>
      </w:tr>
      <w:tr w:rsidR="00D30190" w:rsidRPr="00AA14AA" w14:paraId="40A7CB80" w14:textId="77777777" w:rsidTr="00ED2F1E">
        <w:tc>
          <w:tcPr>
            <w:tcW w:w="5353" w:type="dxa"/>
          </w:tcPr>
          <w:p w14:paraId="3DBE5617" w14:textId="77777777" w:rsidR="00D30190" w:rsidRPr="002E4977" w:rsidRDefault="00D30190" w:rsidP="00CF1117">
            <w:pPr>
              <w:rPr>
                <w:rFonts w:ascii="Segoe UI" w:hAnsi="Segoe UI" w:cs="Segoe UI"/>
              </w:rPr>
            </w:pPr>
            <w:r w:rsidRPr="002E4977">
              <w:rPr>
                <w:rFonts w:ascii="Segoe UI" w:hAnsi="Segoe UI" w:cs="Segoe UI"/>
                <w:sz w:val="22"/>
                <w:szCs w:val="22"/>
              </w:rPr>
              <w:t>Etudes de faisabilités …………………..</w:t>
            </w:r>
          </w:p>
        </w:tc>
        <w:tc>
          <w:tcPr>
            <w:tcW w:w="1559" w:type="dxa"/>
          </w:tcPr>
          <w:p w14:paraId="49F97D3B" w14:textId="77777777" w:rsidR="00D30190" w:rsidRPr="002E4977" w:rsidRDefault="000753B5" w:rsidP="007A392F">
            <w:pPr>
              <w:jc w:val="center"/>
              <w:rPr>
                <w:rFonts w:ascii="Segoe UI" w:hAnsi="Segoe UI" w:cs="Segoe UI"/>
              </w:rPr>
            </w:pPr>
            <w:r w:rsidRPr="002E4977">
              <w:rPr>
                <w:rFonts w:ascii="Segoe UI" w:hAnsi="Segoe UI" w:cs="Segoe UI"/>
                <w:sz w:val="22"/>
                <w:szCs w:val="22"/>
              </w:rPr>
              <w:t>15 000</w:t>
            </w:r>
          </w:p>
        </w:tc>
        <w:tc>
          <w:tcPr>
            <w:tcW w:w="1560" w:type="dxa"/>
          </w:tcPr>
          <w:p w14:paraId="03462837" w14:textId="77777777" w:rsidR="00D30190" w:rsidRPr="002E4977" w:rsidRDefault="000753B5" w:rsidP="0057328F">
            <w:pPr>
              <w:jc w:val="center"/>
              <w:rPr>
                <w:rFonts w:ascii="Segoe UI" w:hAnsi="Segoe UI" w:cs="Segoe UI"/>
              </w:rPr>
            </w:pPr>
            <w:r w:rsidRPr="002E4977">
              <w:rPr>
                <w:rFonts w:ascii="Segoe UI" w:hAnsi="Segoe UI" w:cs="Segoe UI"/>
                <w:sz w:val="22"/>
                <w:szCs w:val="22"/>
              </w:rPr>
              <w:t>2 790,</w:t>
            </w:r>
            <w:r w:rsidR="006B3B04" w:rsidRPr="002E4977">
              <w:rPr>
                <w:rFonts w:ascii="Segoe UI" w:hAnsi="Segoe UI" w:cs="Segoe UI"/>
                <w:sz w:val="22"/>
                <w:szCs w:val="22"/>
              </w:rPr>
              <w:t>0</w:t>
            </w:r>
          </w:p>
        </w:tc>
        <w:tc>
          <w:tcPr>
            <w:tcW w:w="992" w:type="dxa"/>
          </w:tcPr>
          <w:p w14:paraId="3581690C" w14:textId="77777777" w:rsidR="00D30190" w:rsidRPr="002E4977" w:rsidRDefault="000753B5" w:rsidP="0057328F">
            <w:pPr>
              <w:jc w:val="center"/>
              <w:rPr>
                <w:rFonts w:ascii="Segoe UI" w:hAnsi="Segoe UI" w:cs="Segoe UI"/>
              </w:rPr>
            </w:pPr>
            <w:r w:rsidRPr="002E4977">
              <w:rPr>
                <w:rFonts w:ascii="Segoe UI" w:hAnsi="Segoe UI" w:cs="Segoe UI"/>
                <w:sz w:val="22"/>
                <w:szCs w:val="22"/>
              </w:rPr>
              <w:t>18,6</w:t>
            </w:r>
          </w:p>
        </w:tc>
      </w:tr>
      <w:tr w:rsidR="009F48CB" w:rsidRPr="00AA14AA" w14:paraId="1839C04D" w14:textId="77777777" w:rsidTr="00ED2F1E">
        <w:tc>
          <w:tcPr>
            <w:tcW w:w="5353" w:type="dxa"/>
          </w:tcPr>
          <w:p w14:paraId="0036CBB0" w14:textId="77777777" w:rsidR="009F48CB" w:rsidRPr="002E4977" w:rsidRDefault="009F48CB" w:rsidP="00CF1117">
            <w:pPr>
              <w:rPr>
                <w:rFonts w:ascii="Segoe UI" w:hAnsi="Segoe UI" w:cs="Segoe UI"/>
              </w:rPr>
            </w:pPr>
            <w:r w:rsidRPr="002E4977">
              <w:rPr>
                <w:rFonts w:ascii="Segoe UI" w:hAnsi="Segoe UI" w:cs="Segoe UI"/>
                <w:sz w:val="22"/>
                <w:szCs w:val="22"/>
              </w:rPr>
              <w:t>Prévention et gestion des catastrophes</w:t>
            </w:r>
          </w:p>
        </w:tc>
        <w:tc>
          <w:tcPr>
            <w:tcW w:w="1559" w:type="dxa"/>
          </w:tcPr>
          <w:p w14:paraId="5130DEC7" w14:textId="77777777" w:rsidR="009F48CB" w:rsidRPr="002E4977" w:rsidRDefault="009B5A87" w:rsidP="007A392F">
            <w:pPr>
              <w:jc w:val="center"/>
              <w:rPr>
                <w:rFonts w:ascii="Segoe UI" w:hAnsi="Segoe UI" w:cs="Segoe UI"/>
              </w:rPr>
            </w:pPr>
            <w:r w:rsidRPr="002E4977">
              <w:rPr>
                <w:rFonts w:ascii="Segoe UI" w:hAnsi="Segoe UI" w:cs="Segoe UI"/>
                <w:sz w:val="22"/>
                <w:szCs w:val="22"/>
              </w:rPr>
              <w:t>2 050</w:t>
            </w:r>
          </w:p>
        </w:tc>
        <w:tc>
          <w:tcPr>
            <w:tcW w:w="1560" w:type="dxa"/>
          </w:tcPr>
          <w:p w14:paraId="5ADF48D7" w14:textId="77777777" w:rsidR="009F48CB" w:rsidRPr="002E4977" w:rsidRDefault="009F48CB" w:rsidP="0057328F">
            <w:pPr>
              <w:jc w:val="center"/>
              <w:rPr>
                <w:rFonts w:ascii="Segoe UI" w:hAnsi="Segoe UI" w:cs="Segoe UI"/>
              </w:rPr>
            </w:pPr>
            <w:r w:rsidRPr="002E4977">
              <w:rPr>
                <w:rFonts w:ascii="Segoe UI" w:hAnsi="Segoe UI" w:cs="Segoe UI"/>
                <w:sz w:val="22"/>
                <w:szCs w:val="22"/>
              </w:rPr>
              <w:t>-</w:t>
            </w:r>
          </w:p>
        </w:tc>
        <w:tc>
          <w:tcPr>
            <w:tcW w:w="992" w:type="dxa"/>
          </w:tcPr>
          <w:p w14:paraId="42FA5272" w14:textId="77777777" w:rsidR="009F48CB" w:rsidRPr="002E4977" w:rsidRDefault="009F48CB" w:rsidP="0057328F">
            <w:pPr>
              <w:jc w:val="center"/>
              <w:rPr>
                <w:rFonts w:ascii="Segoe UI" w:hAnsi="Segoe UI" w:cs="Segoe UI"/>
              </w:rPr>
            </w:pPr>
            <w:r w:rsidRPr="002E4977">
              <w:rPr>
                <w:rFonts w:ascii="Segoe UI" w:hAnsi="Segoe UI" w:cs="Segoe UI"/>
                <w:sz w:val="22"/>
                <w:szCs w:val="22"/>
              </w:rPr>
              <w:t>-</w:t>
            </w:r>
          </w:p>
        </w:tc>
      </w:tr>
      <w:tr w:rsidR="00D30190" w:rsidRPr="00AA14AA" w14:paraId="1DDC0D26" w14:textId="77777777" w:rsidTr="00ED2F1E">
        <w:tc>
          <w:tcPr>
            <w:tcW w:w="5353" w:type="dxa"/>
          </w:tcPr>
          <w:p w14:paraId="7A92F820" w14:textId="77777777" w:rsidR="00D30190" w:rsidRPr="002E4977" w:rsidRDefault="00D30190" w:rsidP="00E60257">
            <w:pPr>
              <w:jc w:val="center"/>
              <w:rPr>
                <w:rFonts w:ascii="Segoe UI" w:hAnsi="Segoe UI" w:cs="Segoe UI"/>
                <w:b/>
              </w:rPr>
            </w:pPr>
            <w:r w:rsidRPr="002E4977">
              <w:rPr>
                <w:rFonts w:ascii="Segoe UI" w:hAnsi="Segoe UI" w:cs="Segoe UI"/>
                <w:b/>
                <w:sz w:val="22"/>
                <w:szCs w:val="22"/>
              </w:rPr>
              <w:t>Total</w:t>
            </w:r>
          </w:p>
        </w:tc>
        <w:tc>
          <w:tcPr>
            <w:tcW w:w="1559" w:type="dxa"/>
          </w:tcPr>
          <w:p w14:paraId="7345DFA1" w14:textId="77777777" w:rsidR="00D30190" w:rsidRPr="002E4977" w:rsidRDefault="00C3294A" w:rsidP="00C57E16">
            <w:pPr>
              <w:jc w:val="center"/>
              <w:rPr>
                <w:rFonts w:ascii="Segoe UI" w:hAnsi="Segoe UI" w:cs="Segoe UI"/>
                <w:b/>
              </w:rPr>
            </w:pPr>
            <w:r w:rsidRPr="002E4977">
              <w:rPr>
                <w:rFonts w:ascii="Segoe UI" w:hAnsi="Segoe UI" w:cs="Segoe UI"/>
                <w:b/>
                <w:sz w:val="22"/>
                <w:szCs w:val="22"/>
              </w:rPr>
              <w:t>54 486</w:t>
            </w:r>
          </w:p>
        </w:tc>
        <w:tc>
          <w:tcPr>
            <w:tcW w:w="1560" w:type="dxa"/>
          </w:tcPr>
          <w:p w14:paraId="5AA11501" w14:textId="77777777" w:rsidR="00D30190" w:rsidRPr="002E4977" w:rsidRDefault="006B3B04" w:rsidP="00B51783">
            <w:pPr>
              <w:jc w:val="center"/>
              <w:rPr>
                <w:rFonts w:ascii="Segoe UI" w:hAnsi="Segoe UI" w:cs="Segoe UI"/>
                <w:b/>
              </w:rPr>
            </w:pPr>
            <w:r w:rsidRPr="002E4977">
              <w:rPr>
                <w:rFonts w:ascii="Segoe UI" w:hAnsi="Segoe UI" w:cs="Segoe UI"/>
                <w:b/>
                <w:sz w:val="22"/>
                <w:szCs w:val="22"/>
              </w:rPr>
              <w:t>13 925,5</w:t>
            </w:r>
          </w:p>
        </w:tc>
        <w:tc>
          <w:tcPr>
            <w:tcW w:w="992" w:type="dxa"/>
          </w:tcPr>
          <w:p w14:paraId="70AFA865" w14:textId="77777777" w:rsidR="00D30190" w:rsidRPr="002E4977" w:rsidRDefault="00DC26FF" w:rsidP="00B51783">
            <w:pPr>
              <w:jc w:val="center"/>
              <w:rPr>
                <w:rFonts w:ascii="Segoe UI" w:hAnsi="Segoe UI" w:cs="Segoe UI"/>
                <w:b/>
              </w:rPr>
            </w:pPr>
            <w:r w:rsidRPr="002E4977">
              <w:rPr>
                <w:rFonts w:ascii="Segoe UI" w:hAnsi="Segoe UI" w:cs="Segoe UI"/>
                <w:b/>
                <w:sz w:val="22"/>
                <w:szCs w:val="22"/>
              </w:rPr>
              <w:t>25,5</w:t>
            </w:r>
          </w:p>
        </w:tc>
      </w:tr>
    </w:tbl>
    <w:p w14:paraId="1DF1385C" w14:textId="77777777" w:rsidR="006015E1" w:rsidRPr="002E4977" w:rsidRDefault="00E60257" w:rsidP="005716C8">
      <w:pPr>
        <w:spacing w:after="120" w:line="240" w:lineRule="auto"/>
        <w:rPr>
          <w:rFonts w:ascii="Segoe UI" w:hAnsi="Segoe UI" w:cs="Segoe UI"/>
          <w:sz w:val="20"/>
          <w:szCs w:val="24"/>
        </w:rPr>
      </w:pPr>
      <w:r w:rsidRPr="002E4977">
        <w:rPr>
          <w:rFonts w:ascii="Segoe UI" w:hAnsi="Segoe UI" w:cs="Segoe UI"/>
          <w:b/>
          <w:sz w:val="20"/>
          <w:szCs w:val="24"/>
          <w:u w:val="single"/>
        </w:rPr>
        <w:t>Source</w:t>
      </w:r>
      <w:r w:rsidRPr="002E4977">
        <w:rPr>
          <w:rFonts w:ascii="Segoe UI" w:hAnsi="Segoe UI" w:cs="Segoe UI"/>
          <w:sz w:val="20"/>
          <w:szCs w:val="24"/>
        </w:rPr>
        <w:t xml:space="preserve">: MEF/DGB/DGTCP, </w:t>
      </w:r>
      <w:r w:rsidR="00BA68D5" w:rsidRPr="002E4977">
        <w:rPr>
          <w:rFonts w:ascii="Segoe UI" w:hAnsi="Segoe UI" w:cs="Segoe UI"/>
          <w:sz w:val="20"/>
          <w:szCs w:val="24"/>
        </w:rPr>
        <w:t>avril</w:t>
      </w:r>
      <w:r w:rsidR="005A095A" w:rsidRPr="002E4977">
        <w:rPr>
          <w:rFonts w:ascii="Segoe UI" w:hAnsi="Segoe UI" w:cs="Segoe UI"/>
          <w:sz w:val="20"/>
          <w:szCs w:val="24"/>
        </w:rPr>
        <w:t xml:space="preserve"> 201</w:t>
      </w:r>
      <w:r w:rsidR="005C53A7" w:rsidRPr="002E4977">
        <w:rPr>
          <w:rFonts w:ascii="Segoe UI" w:hAnsi="Segoe UI" w:cs="Segoe UI"/>
          <w:sz w:val="20"/>
          <w:szCs w:val="24"/>
        </w:rPr>
        <w:t>7</w:t>
      </w:r>
    </w:p>
    <w:p w14:paraId="4A0BD4D3" w14:textId="72090ECA" w:rsidR="006015E1" w:rsidRDefault="006015E1" w:rsidP="005D4A19">
      <w:pPr>
        <w:spacing w:after="120"/>
        <w:rPr>
          <w:rFonts w:ascii="Segoe UI" w:hAnsi="Segoe UI" w:cs="Segoe UI"/>
          <w:sz w:val="24"/>
          <w:szCs w:val="24"/>
        </w:rPr>
      </w:pPr>
      <w:r w:rsidRPr="001541CB">
        <w:rPr>
          <w:rFonts w:ascii="Segoe UI" w:hAnsi="Segoe UI" w:cs="Segoe UI"/>
          <w:sz w:val="24"/>
          <w:szCs w:val="24"/>
        </w:rPr>
        <w:t>L’évolution de l’exécution des dépenses</w:t>
      </w:r>
      <w:r w:rsidR="00D21558">
        <w:rPr>
          <w:rFonts w:ascii="Segoe UI" w:hAnsi="Segoe UI" w:cs="Segoe UI"/>
          <w:sz w:val="24"/>
          <w:szCs w:val="24"/>
        </w:rPr>
        <w:t xml:space="preserve"> budgétaires</w:t>
      </w:r>
      <w:r w:rsidRPr="001541CB">
        <w:rPr>
          <w:rFonts w:ascii="Segoe UI" w:hAnsi="Segoe UI" w:cs="Segoe UI"/>
          <w:sz w:val="24"/>
          <w:szCs w:val="24"/>
        </w:rPr>
        <w:t xml:space="preserve"> à fin mars 201</w:t>
      </w:r>
      <w:r w:rsidR="00E028A4" w:rsidRPr="001541CB">
        <w:rPr>
          <w:rFonts w:ascii="Segoe UI" w:hAnsi="Segoe UI" w:cs="Segoe UI"/>
          <w:sz w:val="24"/>
          <w:szCs w:val="24"/>
        </w:rPr>
        <w:t>6</w:t>
      </w:r>
      <w:r w:rsidRPr="001541CB">
        <w:rPr>
          <w:rFonts w:ascii="Segoe UI" w:hAnsi="Segoe UI" w:cs="Segoe UI"/>
          <w:sz w:val="24"/>
          <w:szCs w:val="24"/>
        </w:rPr>
        <w:t xml:space="preserve"> </w:t>
      </w:r>
      <w:r w:rsidR="000D0F81" w:rsidRPr="001541CB">
        <w:rPr>
          <w:rFonts w:ascii="Segoe UI" w:hAnsi="Segoe UI" w:cs="Segoe UI"/>
          <w:sz w:val="24"/>
          <w:szCs w:val="24"/>
        </w:rPr>
        <w:t>et</w:t>
      </w:r>
      <w:r w:rsidRPr="001541CB">
        <w:rPr>
          <w:rFonts w:ascii="Segoe UI" w:hAnsi="Segoe UI" w:cs="Segoe UI"/>
          <w:sz w:val="24"/>
          <w:szCs w:val="24"/>
        </w:rPr>
        <w:t xml:space="preserve"> 201</w:t>
      </w:r>
      <w:r w:rsidR="00E028A4" w:rsidRPr="001541CB">
        <w:rPr>
          <w:rFonts w:ascii="Segoe UI" w:hAnsi="Segoe UI" w:cs="Segoe UI"/>
          <w:sz w:val="24"/>
          <w:szCs w:val="24"/>
        </w:rPr>
        <w:t>7</w:t>
      </w:r>
      <w:r w:rsidRPr="001541CB">
        <w:rPr>
          <w:rFonts w:ascii="Segoe UI" w:hAnsi="Segoe UI" w:cs="Segoe UI"/>
          <w:sz w:val="24"/>
          <w:szCs w:val="24"/>
        </w:rPr>
        <w:t xml:space="preserve"> est retracée par le graphique ci-après :</w:t>
      </w:r>
    </w:p>
    <w:p w14:paraId="65D0E728" w14:textId="77777777" w:rsidR="00B31988" w:rsidRDefault="00B31988" w:rsidP="005D4A19">
      <w:pPr>
        <w:spacing w:after="120"/>
        <w:rPr>
          <w:rFonts w:ascii="Segoe UI" w:hAnsi="Segoe UI" w:cs="Segoe UI"/>
          <w:sz w:val="24"/>
          <w:szCs w:val="24"/>
        </w:rPr>
      </w:pPr>
    </w:p>
    <w:p w14:paraId="4D4C4178" w14:textId="3FE02DBC" w:rsidR="007E513D" w:rsidRDefault="007E513D" w:rsidP="005D4A19">
      <w:pPr>
        <w:spacing w:after="120"/>
        <w:rPr>
          <w:rFonts w:ascii="Segoe UI" w:hAnsi="Segoe UI" w:cs="Segoe UI"/>
          <w:sz w:val="24"/>
          <w:szCs w:val="24"/>
        </w:rPr>
      </w:pPr>
      <w:r>
        <w:rPr>
          <w:noProof/>
        </w:rPr>
        <w:drawing>
          <wp:inline distT="0" distB="0" distL="0" distR="0" wp14:anchorId="16476AAD" wp14:editId="377B45E9">
            <wp:extent cx="5760720" cy="3345815"/>
            <wp:effectExtent l="0" t="0" r="0" b="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FC3F486" w14:textId="0F35DF3A" w:rsidR="000A68C5" w:rsidRPr="001541CB" w:rsidRDefault="000A68C5" w:rsidP="005D4A19">
      <w:pPr>
        <w:spacing w:after="120"/>
        <w:rPr>
          <w:rFonts w:ascii="Segoe UI" w:hAnsi="Segoe UI" w:cs="Segoe UI"/>
          <w:sz w:val="24"/>
          <w:szCs w:val="24"/>
        </w:rPr>
      </w:pPr>
    </w:p>
    <w:p w14:paraId="6FC4D11A" w14:textId="77777777" w:rsidR="00D75C53" w:rsidRPr="001541CB" w:rsidRDefault="00D75C53" w:rsidP="005D4A19">
      <w:pPr>
        <w:pStyle w:val="Titre2"/>
        <w:numPr>
          <w:ilvl w:val="0"/>
          <w:numId w:val="4"/>
        </w:numPr>
        <w:spacing w:before="0"/>
        <w:rPr>
          <w:rFonts w:ascii="Segoe UI" w:hAnsi="Segoe UI" w:cs="Segoe UI"/>
          <w:sz w:val="24"/>
          <w:szCs w:val="24"/>
        </w:rPr>
      </w:pPr>
      <w:bookmarkStart w:id="32" w:name="_Toc484105613"/>
      <w:r w:rsidRPr="001541CB">
        <w:rPr>
          <w:rFonts w:ascii="Segoe UI" w:hAnsi="Segoe UI" w:cs="Segoe UI"/>
          <w:sz w:val="24"/>
          <w:szCs w:val="24"/>
        </w:rPr>
        <w:t>Solde budgétaire</w:t>
      </w:r>
      <w:r w:rsidR="0074747B" w:rsidRPr="001541CB">
        <w:rPr>
          <w:rFonts w:ascii="Segoe UI" w:hAnsi="Segoe UI" w:cs="Segoe UI"/>
          <w:sz w:val="24"/>
          <w:szCs w:val="24"/>
        </w:rPr>
        <w:t xml:space="preserve"> d’exécution</w:t>
      </w:r>
      <w:r w:rsidRPr="001541CB">
        <w:rPr>
          <w:rFonts w:ascii="Segoe UI" w:hAnsi="Segoe UI" w:cs="Segoe UI"/>
          <w:sz w:val="24"/>
          <w:szCs w:val="24"/>
        </w:rPr>
        <w:t xml:space="preserve"> au 3</w:t>
      </w:r>
      <w:r w:rsidR="001F5B2E" w:rsidRPr="001541CB">
        <w:rPr>
          <w:rFonts w:ascii="Segoe UI" w:hAnsi="Segoe UI" w:cs="Segoe UI"/>
          <w:sz w:val="24"/>
          <w:szCs w:val="24"/>
        </w:rPr>
        <w:t>1</w:t>
      </w:r>
      <w:r w:rsidR="00792ACF" w:rsidRPr="001541CB">
        <w:rPr>
          <w:rFonts w:ascii="Segoe UI" w:hAnsi="Segoe UI" w:cs="Segoe UI"/>
          <w:sz w:val="24"/>
          <w:szCs w:val="24"/>
        </w:rPr>
        <w:t>mars</w:t>
      </w:r>
      <w:r w:rsidRPr="001541CB">
        <w:rPr>
          <w:rFonts w:ascii="Segoe UI" w:hAnsi="Segoe UI" w:cs="Segoe UI"/>
          <w:sz w:val="24"/>
          <w:szCs w:val="24"/>
        </w:rPr>
        <w:t xml:space="preserve"> 201</w:t>
      </w:r>
      <w:r w:rsidR="00FC5DC5" w:rsidRPr="001541CB">
        <w:rPr>
          <w:rFonts w:ascii="Segoe UI" w:hAnsi="Segoe UI" w:cs="Segoe UI"/>
          <w:sz w:val="24"/>
          <w:szCs w:val="24"/>
        </w:rPr>
        <w:t>7</w:t>
      </w:r>
      <w:bookmarkEnd w:id="32"/>
    </w:p>
    <w:p w14:paraId="6C96B307" w14:textId="77777777" w:rsidR="002C11DF" w:rsidRPr="001541CB" w:rsidRDefault="002C11DF" w:rsidP="005D4A19">
      <w:pPr>
        <w:spacing w:after="0"/>
        <w:rPr>
          <w:rFonts w:ascii="Segoe UI" w:hAnsi="Segoe UI" w:cs="Segoe UI"/>
          <w:sz w:val="24"/>
          <w:szCs w:val="24"/>
        </w:rPr>
      </w:pPr>
    </w:p>
    <w:p w14:paraId="6C5EF2A0" w14:textId="1CB83506" w:rsidR="00990910" w:rsidRDefault="00FD40C4" w:rsidP="00012586">
      <w:pPr>
        <w:rPr>
          <w:rFonts w:ascii="Segoe UI" w:hAnsi="Segoe UI" w:cs="Segoe UI"/>
          <w:sz w:val="24"/>
          <w:szCs w:val="24"/>
        </w:rPr>
      </w:pPr>
      <w:bookmarkStart w:id="33" w:name="_Toc426670161"/>
      <w:bookmarkStart w:id="34" w:name="_Toc435284860"/>
      <w:bookmarkStart w:id="35" w:name="_Toc435295627"/>
      <w:bookmarkStart w:id="36" w:name="_Toc442430617"/>
      <w:bookmarkStart w:id="37" w:name="_Toc451798285"/>
      <w:r w:rsidRPr="001541CB">
        <w:rPr>
          <w:rFonts w:ascii="Segoe UI" w:hAnsi="Segoe UI" w:cs="Segoe UI"/>
          <w:sz w:val="24"/>
          <w:szCs w:val="24"/>
        </w:rPr>
        <w:t>L</w:t>
      </w:r>
      <w:r w:rsidR="0057328F" w:rsidRPr="001541CB">
        <w:rPr>
          <w:rFonts w:ascii="Segoe UI" w:hAnsi="Segoe UI" w:cs="Segoe UI"/>
          <w:sz w:val="24"/>
          <w:szCs w:val="24"/>
        </w:rPr>
        <w:t xml:space="preserve">’exécution </w:t>
      </w:r>
      <w:r w:rsidR="00F75B4B" w:rsidRPr="001541CB">
        <w:rPr>
          <w:rFonts w:ascii="Segoe UI" w:hAnsi="Segoe UI" w:cs="Segoe UI"/>
          <w:sz w:val="24"/>
          <w:szCs w:val="24"/>
        </w:rPr>
        <w:t xml:space="preserve">base engagement </w:t>
      </w:r>
      <w:r w:rsidR="0057328F" w:rsidRPr="001541CB">
        <w:rPr>
          <w:rFonts w:ascii="Segoe UI" w:hAnsi="Segoe UI" w:cs="Segoe UI"/>
          <w:sz w:val="24"/>
          <w:szCs w:val="24"/>
        </w:rPr>
        <w:t>du budget de l’Etat</w:t>
      </w:r>
      <w:r w:rsidR="00DB6241" w:rsidRPr="001541CB">
        <w:rPr>
          <w:rFonts w:ascii="Segoe UI" w:hAnsi="Segoe UI" w:cs="Segoe UI"/>
          <w:sz w:val="24"/>
          <w:szCs w:val="24"/>
        </w:rPr>
        <w:t xml:space="preserve"> </w:t>
      </w:r>
      <w:r w:rsidRPr="001541CB">
        <w:rPr>
          <w:rFonts w:ascii="Segoe UI" w:hAnsi="Segoe UI" w:cs="Segoe UI"/>
          <w:sz w:val="24"/>
          <w:szCs w:val="24"/>
        </w:rPr>
        <w:t xml:space="preserve">à fin </w:t>
      </w:r>
      <w:r w:rsidR="00BA68D5" w:rsidRPr="001541CB">
        <w:rPr>
          <w:rFonts w:ascii="Segoe UI" w:hAnsi="Segoe UI" w:cs="Segoe UI"/>
          <w:sz w:val="24"/>
          <w:szCs w:val="24"/>
        </w:rPr>
        <w:t xml:space="preserve">mars </w:t>
      </w:r>
      <w:r w:rsidRPr="001541CB">
        <w:rPr>
          <w:rFonts w:ascii="Segoe UI" w:hAnsi="Segoe UI" w:cs="Segoe UI"/>
          <w:sz w:val="24"/>
          <w:szCs w:val="24"/>
        </w:rPr>
        <w:t>201</w:t>
      </w:r>
      <w:r w:rsidR="00FC5DC5" w:rsidRPr="001541CB">
        <w:rPr>
          <w:rFonts w:ascii="Segoe UI" w:hAnsi="Segoe UI" w:cs="Segoe UI"/>
          <w:sz w:val="24"/>
          <w:szCs w:val="24"/>
        </w:rPr>
        <w:t>7</w:t>
      </w:r>
      <w:r w:rsidR="0057328F" w:rsidRPr="001541CB">
        <w:rPr>
          <w:rFonts w:ascii="Segoe UI" w:hAnsi="Segoe UI" w:cs="Segoe UI"/>
          <w:sz w:val="24"/>
          <w:szCs w:val="24"/>
        </w:rPr>
        <w:t xml:space="preserve"> présente les </w:t>
      </w:r>
      <w:r w:rsidR="000B762F" w:rsidRPr="001541CB">
        <w:rPr>
          <w:rFonts w:ascii="Segoe UI" w:hAnsi="Segoe UI" w:cs="Segoe UI"/>
          <w:sz w:val="24"/>
          <w:szCs w:val="24"/>
        </w:rPr>
        <w:t xml:space="preserve">principaux </w:t>
      </w:r>
      <w:r w:rsidR="0057328F" w:rsidRPr="001541CB">
        <w:rPr>
          <w:rFonts w:ascii="Segoe UI" w:hAnsi="Segoe UI" w:cs="Segoe UI"/>
          <w:sz w:val="24"/>
          <w:szCs w:val="24"/>
        </w:rPr>
        <w:t xml:space="preserve">soldes budgétaires </w:t>
      </w:r>
      <w:r w:rsidRPr="001541CB">
        <w:rPr>
          <w:rFonts w:ascii="Segoe UI" w:hAnsi="Segoe UI" w:cs="Segoe UI"/>
          <w:sz w:val="24"/>
          <w:szCs w:val="24"/>
        </w:rPr>
        <w:t>récapitul</w:t>
      </w:r>
      <w:r w:rsidR="0057328F" w:rsidRPr="001541CB">
        <w:rPr>
          <w:rFonts w:ascii="Segoe UI" w:hAnsi="Segoe UI" w:cs="Segoe UI"/>
          <w:sz w:val="24"/>
          <w:szCs w:val="24"/>
        </w:rPr>
        <w:t>és dans le tableau</w:t>
      </w:r>
      <w:r w:rsidR="00964CAA" w:rsidRPr="001541CB">
        <w:rPr>
          <w:rFonts w:ascii="Segoe UI" w:hAnsi="Segoe UI" w:cs="Segoe UI"/>
          <w:sz w:val="24"/>
          <w:szCs w:val="24"/>
        </w:rPr>
        <w:t xml:space="preserve"> n° </w:t>
      </w:r>
      <w:r w:rsidR="00095F4A" w:rsidRPr="001541CB">
        <w:rPr>
          <w:rFonts w:ascii="Segoe UI" w:hAnsi="Segoe UI" w:cs="Segoe UI"/>
          <w:sz w:val="24"/>
          <w:szCs w:val="24"/>
        </w:rPr>
        <w:t>7</w:t>
      </w:r>
      <w:r w:rsidR="0057328F" w:rsidRPr="001541CB">
        <w:rPr>
          <w:rFonts w:ascii="Segoe UI" w:hAnsi="Segoe UI" w:cs="Segoe UI"/>
          <w:sz w:val="24"/>
          <w:szCs w:val="24"/>
        </w:rPr>
        <w:t xml:space="preserve"> ci-après</w:t>
      </w:r>
      <w:bookmarkEnd w:id="33"/>
      <w:bookmarkEnd w:id="34"/>
      <w:bookmarkEnd w:id="35"/>
      <w:bookmarkEnd w:id="36"/>
      <w:bookmarkEnd w:id="37"/>
      <w:r w:rsidR="00CF62E7">
        <w:rPr>
          <w:rFonts w:ascii="Segoe UI" w:hAnsi="Segoe UI" w:cs="Segoe UI"/>
          <w:sz w:val="24"/>
          <w:szCs w:val="24"/>
        </w:rPr>
        <w:t> :</w:t>
      </w:r>
    </w:p>
    <w:p w14:paraId="0D5DD060" w14:textId="77777777" w:rsidR="00CF62E7" w:rsidRDefault="00CF62E7" w:rsidP="00012586">
      <w:pPr>
        <w:rPr>
          <w:rFonts w:ascii="Segoe UI" w:hAnsi="Segoe UI" w:cs="Segoe UI"/>
          <w:sz w:val="24"/>
          <w:szCs w:val="24"/>
        </w:rPr>
      </w:pPr>
    </w:p>
    <w:p w14:paraId="118ED14C" w14:textId="77777777" w:rsidR="0057328F" w:rsidRPr="001541CB" w:rsidRDefault="0057328F" w:rsidP="009442A0">
      <w:pPr>
        <w:pStyle w:val="Listedestableaux"/>
        <w:rPr>
          <w:rFonts w:ascii="Segoe UI" w:hAnsi="Segoe UI" w:cs="Segoe UI"/>
          <w:sz w:val="24"/>
          <w:szCs w:val="24"/>
        </w:rPr>
      </w:pPr>
      <w:bookmarkStart w:id="38" w:name="_Toc481952115"/>
      <w:r w:rsidRPr="001541CB">
        <w:rPr>
          <w:rFonts w:ascii="Segoe UI" w:hAnsi="Segoe UI" w:cs="Segoe UI"/>
          <w:sz w:val="24"/>
          <w:szCs w:val="24"/>
          <w:u w:val="single"/>
        </w:rPr>
        <w:t xml:space="preserve">Tableau  </w:t>
      </w:r>
      <w:r w:rsidR="001B1451" w:rsidRPr="001541CB">
        <w:rPr>
          <w:rFonts w:ascii="Segoe UI" w:hAnsi="Segoe UI" w:cs="Segoe UI"/>
          <w:sz w:val="24"/>
          <w:szCs w:val="24"/>
          <w:u w:val="single"/>
        </w:rPr>
        <w:t>7</w:t>
      </w:r>
      <w:r w:rsidRPr="001541CB">
        <w:rPr>
          <w:rFonts w:ascii="Segoe UI" w:hAnsi="Segoe UI" w:cs="Segoe UI"/>
          <w:sz w:val="24"/>
          <w:szCs w:val="24"/>
        </w:rPr>
        <w:t>: Présentation des soldes budgétaires</w:t>
      </w:r>
      <w:r w:rsidR="00A45C09" w:rsidRPr="001541CB">
        <w:rPr>
          <w:rFonts w:ascii="Segoe UI" w:hAnsi="Segoe UI" w:cs="Segoe UI"/>
          <w:sz w:val="24"/>
          <w:szCs w:val="24"/>
        </w:rPr>
        <w:t xml:space="preserve"> d’exécution</w:t>
      </w:r>
      <w:r w:rsidRPr="001541CB">
        <w:rPr>
          <w:rFonts w:ascii="Segoe UI" w:hAnsi="Segoe UI" w:cs="Segoe UI"/>
          <w:sz w:val="24"/>
          <w:szCs w:val="24"/>
        </w:rPr>
        <w:t xml:space="preserve"> à fin </w:t>
      </w:r>
      <w:r w:rsidR="00792ACF" w:rsidRPr="001541CB">
        <w:rPr>
          <w:rFonts w:ascii="Segoe UI" w:hAnsi="Segoe UI" w:cs="Segoe UI"/>
          <w:sz w:val="24"/>
          <w:szCs w:val="24"/>
        </w:rPr>
        <w:t>mars</w:t>
      </w:r>
      <w:r w:rsidRPr="001541CB">
        <w:rPr>
          <w:rFonts w:ascii="Segoe UI" w:hAnsi="Segoe UI" w:cs="Segoe UI"/>
          <w:sz w:val="24"/>
          <w:szCs w:val="24"/>
        </w:rPr>
        <w:t xml:space="preserve"> 201</w:t>
      </w:r>
      <w:r w:rsidR="00922FCE" w:rsidRPr="001541CB">
        <w:rPr>
          <w:rFonts w:ascii="Segoe UI" w:hAnsi="Segoe UI" w:cs="Segoe UI"/>
          <w:sz w:val="24"/>
          <w:szCs w:val="24"/>
        </w:rPr>
        <w:t>7</w:t>
      </w:r>
      <w:bookmarkEnd w:id="38"/>
    </w:p>
    <w:p w14:paraId="2F001D1D" w14:textId="77777777" w:rsidR="00820B0A" w:rsidRDefault="00820B0A" w:rsidP="0015077C">
      <w:pPr>
        <w:pStyle w:val="Listedestableaux"/>
        <w:ind w:left="0"/>
        <w:rPr>
          <w:rFonts w:ascii="Segoe UI" w:hAnsi="Segoe UI" w:cs="Segoe UI"/>
          <w:sz w:val="2"/>
          <w:szCs w:val="24"/>
        </w:rPr>
      </w:pPr>
    </w:p>
    <w:p w14:paraId="36BFEBA4" w14:textId="3DE77F1D" w:rsidR="00C532A0" w:rsidRDefault="00C532A0" w:rsidP="002E4977">
      <w:pPr>
        <w:pStyle w:val="Listedestableaux"/>
        <w:spacing w:line="240" w:lineRule="auto"/>
        <w:rPr>
          <w:rFonts w:ascii="Segoe UI" w:hAnsi="Segoe UI" w:cs="Segoe UI"/>
          <w:sz w:val="2"/>
          <w:szCs w:val="24"/>
        </w:rPr>
      </w:pPr>
      <w:r>
        <w:rPr>
          <w:rFonts w:ascii="Segoe UI" w:hAnsi="Segoe UI" w:cs="Segoe UI"/>
          <w:b w:val="0"/>
          <w:sz w:val="24"/>
          <w:szCs w:val="24"/>
        </w:rPr>
        <w:t xml:space="preserve">                                                                                   </w:t>
      </w:r>
      <w:bookmarkStart w:id="39" w:name="_Toc481952116"/>
      <w:r w:rsidRPr="00687219">
        <w:rPr>
          <w:rFonts w:ascii="Segoe UI" w:hAnsi="Segoe UI" w:cs="Segoe UI"/>
          <w:b w:val="0"/>
          <w:sz w:val="24"/>
          <w:szCs w:val="24"/>
        </w:rPr>
        <w:t>En millions de FCFA</w:t>
      </w:r>
      <w:bookmarkEnd w:id="39"/>
    </w:p>
    <w:tbl>
      <w:tblPr>
        <w:tblpPr w:leftFromText="141" w:rightFromText="141" w:vertAnchor="text" w:horzAnchor="margin" w:tblpY="425"/>
        <w:tblW w:w="9212" w:type="dxa"/>
        <w:tblCellMar>
          <w:left w:w="70" w:type="dxa"/>
          <w:right w:w="70" w:type="dxa"/>
        </w:tblCellMar>
        <w:tblLook w:val="04A0" w:firstRow="1" w:lastRow="0" w:firstColumn="1" w:lastColumn="0" w:noHBand="0" w:noVBand="1"/>
      </w:tblPr>
      <w:tblGrid>
        <w:gridCol w:w="4344"/>
        <w:gridCol w:w="1210"/>
        <w:gridCol w:w="1553"/>
        <w:gridCol w:w="2105"/>
      </w:tblGrid>
      <w:tr w:rsidR="00820B0A" w:rsidRPr="00AA14AA" w14:paraId="35BF3033" w14:textId="77777777" w:rsidTr="00CD0BBD">
        <w:trPr>
          <w:trHeight w:val="558"/>
        </w:trPr>
        <w:tc>
          <w:tcPr>
            <w:tcW w:w="4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9A678" w14:textId="77777777" w:rsidR="00820B0A" w:rsidRPr="002E4977" w:rsidRDefault="00820B0A" w:rsidP="00820B0A">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 xml:space="preserve">Type de Budget </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14:paraId="1A2427A2" w14:textId="77777777" w:rsidR="00820B0A" w:rsidRPr="002E4977" w:rsidRDefault="00820B0A" w:rsidP="00820B0A">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Recettes</w:t>
            </w:r>
          </w:p>
        </w:tc>
        <w:tc>
          <w:tcPr>
            <w:tcW w:w="1553" w:type="dxa"/>
            <w:tcBorders>
              <w:top w:val="single" w:sz="4" w:space="0" w:color="auto"/>
              <w:left w:val="nil"/>
              <w:bottom w:val="single" w:sz="4" w:space="0" w:color="auto"/>
              <w:right w:val="single" w:sz="4" w:space="0" w:color="auto"/>
            </w:tcBorders>
            <w:shd w:val="clear" w:color="auto" w:fill="auto"/>
            <w:noWrap/>
            <w:vAlign w:val="center"/>
            <w:hideMark/>
          </w:tcPr>
          <w:p w14:paraId="781123C0" w14:textId="77777777" w:rsidR="00820B0A" w:rsidRPr="002E4977" w:rsidRDefault="00820B0A" w:rsidP="00820B0A">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Dépenses</w:t>
            </w:r>
          </w:p>
        </w:tc>
        <w:tc>
          <w:tcPr>
            <w:tcW w:w="2105" w:type="dxa"/>
            <w:tcBorders>
              <w:top w:val="single" w:sz="4" w:space="0" w:color="auto"/>
              <w:left w:val="nil"/>
              <w:bottom w:val="single" w:sz="4" w:space="0" w:color="auto"/>
              <w:right w:val="single" w:sz="4" w:space="0" w:color="auto"/>
            </w:tcBorders>
            <w:shd w:val="clear" w:color="auto" w:fill="auto"/>
            <w:noWrap/>
            <w:vAlign w:val="center"/>
            <w:hideMark/>
          </w:tcPr>
          <w:p w14:paraId="44957BE7" w14:textId="77777777" w:rsidR="00820B0A" w:rsidRPr="002E4977" w:rsidRDefault="00820B0A" w:rsidP="00820B0A">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Solde</w:t>
            </w:r>
          </w:p>
        </w:tc>
      </w:tr>
      <w:tr w:rsidR="003A7946" w:rsidRPr="00AA14AA" w14:paraId="3F6CB51D" w14:textId="77777777" w:rsidTr="002E4977">
        <w:trPr>
          <w:trHeight w:val="390"/>
        </w:trPr>
        <w:tc>
          <w:tcPr>
            <w:tcW w:w="4344" w:type="dxa"/>
            <w:tcBorders>
              <w:top w:val="nil"/>
              <w:left w:val="single" w:sz="4" w:space="0" w:color="auto"/>
              <w:bottom w:val="single" w:sz="4" w:space="0" w:color="auto"/>
              <w:right w:val="single" w:sz="4" w:space="0" w:color="auto"/>
            </w:tcBorders>
            <w:shd w:val="clear" w:color="auto" w:fill="auto"/>
            <w:noWrap/>
            <w:vAlign w:val="center"/>
            <w:hideMark/>
          </w:tcPr>
          <w:p w14:paraId="02A8E1DB" w14:textId="77777777" w:rsidR="003A7946" w:rsidRPr="002E4977" w:rsidRDefault="003A7946" w:rsidP="003A7946">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Budget Général et Comptes d’Affectation</w:t>
            </w:r>
          </w:p>
        </w:tc>
        <w:tc>
          <w:tcPr>
            <w:tcW w:w="1210" w:type="dxa"/>
            <w:tcBorders>
              <w:top w:val="nil"/>
              <w:left w:val="nil"/>
              <w:bottom w:val="single" w:sz="4" w:space="0" w:color="auto"/>
              <w:right w:val="single" w:sz="4" w:space="0" w:color="auto"/>
            </w:tcBorders>
            <w:shd w:val="clear" w:color="auto" w:fill="auto"/>
            <w:noWrap/>
            <w:vAlign w:val="center"/>
            <w:hideMark/>
          </w:tcPr>
          <w:p w14:paraId="23ED536B" w14:textId="1C83C212" w:rsidR="003A7946" w:rsidRPr="002E4977" w:rsidRDefault="00946860" w:rsidP="00946860">
            <w:pPr>
              <w:jc w:val="center"/>
              <w:rPr>
                <w:rFonts w:ascii="Segoe UI" w:hAnsi="Segoe UI" w:cs="Segoe UI"/>
                <w:color w:val="000000"/>
                <w:sz w:val="20"/>
                <w:szCs w:val="20"/>
              </w:rPr>
            </w:pPr>
            <w:r>
              <w:rPr>
                <w:rFonts w:ascii="Segoe UI" w:hAnsi="Segoe UI" w:cs="Segoe UI"/>
                <w:color w:val="000000"/>
                <w:sz w:val="20"/>
                <w:szCs w:val="20"/>
              </w:rPr>
              <w:t>18</w:t>
            </w:r>
            <w:r w:rsidR="003A7946">
              <w:rPr>
                <w:rFonts w:ascii="Segoe UI" w:hAnsi="Segoe UI" w:cs="Segoe UI"/>
                <w:color w:val="000000"/>
                <w:sz w:val="20"/>
                <w:szCs w:val="20"/>
              </w:rPr>
              <w:t>4</w:t>
            </w:r>
            <w:r>
              <w:rPr>
                <w:rFonts w:ascii="Segoe UI" w:hAnsi="Segoe UI" w:cs="Segoe UI"/>
                <w:color w:val="000000"/>
                <w:sz w:val="20"/>
                <w:szCs w:val="20"/>
              </w:rPr>
              <w:t> 474,0</w:t>
            </w:r>
          </w:p>
        </w:tc>
        <w:tc>
          <w:tcPr>
            <w:tcW w:w="1553" w:type="dxa"/>
            <w:tcBorders>
              <w:top w:val="nil"/>
              <w:left w:val="nil"/>
              <w:bottom w:val="single" w:sz="4" w:space="0" w:color="auto"/>
              <w:right w:val="single" w:sz="4" w:space="0" w:color="auto"/>
            </w:tcBorders>
            <w:shd w:val="clear" w:color="auto" w:fill="auto"/>
            <w:noWrap/>
            <w:vAlign w:val="center"/>
            <w:hideMark/>
          </w:tcPr>
          <w:p w14:paraId="62A606F0" w14:textId="7B9BD492" w:rsidR="003A7946" w:rsidRPr="002E4977" w:rsidRDefault="003A7946" w:rsidP="00946860">
            <w:pPr>
              <w:jc w:val="center"/>
              <w:rPr>
                <w:rFonts w:ascii="Segoe UI" w:hAnsi="Segoe UI" w:cs="Segoe UI"/>
                <w:color w:val="000000"/>
                <w:sz w:val="20"/>
                <w:szCs w:val="20"/>
              </w:rPr>
            </w:pPr>
            <w:r>
              <w:rPr>
                <w:rFonts w:ascii="Segoe UI" w:hAnsi="Segoe UI" w:cs="Segoe UI"/>
                <w:color w:val="000000"/>
                <w:sz w:val="20"/>
                <w:szCs w:val="20"/>
              </w:rPr>
              <w:t>1</w:t>
            </w:r>
            <w:r w:rsidR="00946860">
              <w:rPr>
                <w:rFonts w:ascii="Segoe UI" w:hAnsi="Segoe UI" w:cs="Segoe UI"/>
                <w:color w:val="000000"/>
                <w:sz w:val="20"/>
                <w:szCs w:val="20"/>
              </w:rPr>
              <w:t>97 386,5</w:t>
            </w:r>
          </w:p>
        </w:tc>
        <w:tc>
          <w:tcPr>
            <w:tcW w:w="2105" w:type="dxa"/>
            <w:tcBorders>
              <w:top w:val="nil"/>
              <w:left w:val="nil"/>
              <w:bottom w:val="single" w:sz="4" w:space="0" w:color="auto"/>
              <w:right w:val="single" w:sz="4" w:space="0" w:color="auto"/>
            </w:tcBorders>
            <w:shd w:val="clear" w:color="auto" w:fill="auto"/>
            <w:noWrap/>
            <w:vAlign w:val="center"/>
            <w:hideMark/>
          </w:tcPr>
          <w:p w14:paraId="16651894" w14:textId="2264BBBD" w:rsidR="003A7946" w:rsidRPr="002E4977" w:rsidRDefault="003A7946" w:rsidP="00CD0BBD">
            <w:pPr>
              <w:jc w:val="center"/>
              <w:rPr>
                <w:rFonts w:ascii="Segoe UI" w:hAnsi="Segoe UI" w:cs="Segoe UI"/>
                <w:color w:val="000000"/>
                <w:sz w:val="20"/>
                <w:szCs w:val="20"/>
              </w:rPr>
            </w:pPr>
            <w:r>
              <w:rPr>
                <w:rFonts w:ascii="Segoe UI" w:hAnsi="Segoe UI" w:cs="Segoe UI"/>
                <w:color w:val="000000"/>
                <w:sz w:val="20"/>
                <w:szCs w:val="20"/>
              </w:rPr>
              <w:t>-</w:t>
            </w:r>
            <w:r w:rsidR="00946860">
              <w:rPr>
                <w:rFonts w:ascii="Segoe UI" w:hAnsi="Segoe UI" w:cs="Segoe UI"/>
                <w:color w:val="000000"/>
                <w:sz w:val="20"/>
                <w:szCs w:val="20"/>
              </w:rPr>
              <w:t xml:space="preserve"> </w:t>
            </w:r>
            <w:r>
              <w:rPr>
                <w:rFonts w:ascii="Segoe UI" w:hAnsi="Segoe UI" w:cs="Segoe UI"/>
                <w:color w:val="000000"/>
                <w:sz w:val="20"/>
                <w:szCs w:val="20"/>
              </w:rPr>
              <w:t>1</w:t>
            </w:r>
            <w:r w:rsidR="00946860">
              <w:rPr>
                <w:rFonts w:ascii="Segoe UI" w:hAnsi="Segoe UI" w:cs="Segoe UI"/>
                <w:color w:val="000000"/>
                <w:sz w:val="20"/>
                <w:szCs w:val="20"/>
              </w:rPr>
              <w:t>2 912,5</w:t>
            </w:r>
          </w:p>
        </w:tc>
      </w:tr>
      <w:tr w:rsidR="003A7946" w:rsidRPr="00AA14AA" w14:paraId="702C94AC" w14:textId="77777777" w:rsidTr="002E4977">
        <w:trPr>
          <w:trHeight w:val="390"/>
        </w:trPr>
        <w:tc>
          <w:tcPr>
            <w:tcW w:w="4344" w:type="dxa"/>
            <w:tcBorders>
              <w:top w:val="nil"/>
              <w:left w:val="single" w:sz="4" w:space="0" w:color="auto"/>
              <w:bottom w:val="single" w:sz="4" w:space="0" w:color="auto"/>
              <w:right w:val="single" w:sz="4" w:space="0" w:color="auto"/>
            </w:tcBorders>
            <w:shd w:val="clear" w:color="auto" w:fill="auto"/>
            <w:noWrap/>
            <w:vAlign w:val="center"/>
          </w:tcPr>
          <w:p w14:paraId="486D0116" w14:textId="77777777" w:rsidR="003A7946" w:rsidRPr="002E4977" w:rsidRDefault="003A7946" w:rsidP="003A7946">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FNRB</w:t>
            </w:r>
          </w:p>
        </w:tc>
        <w:tc>
          <w:tcPr>
            <w:tcW w:w="1210" w:type="dxa"/>
            <w:tcBorders>
              <w:top w:val="nil"/>
              <w:left w:val="nil"/>
              <w:bottom w:val="single" w:sz="4" w:space="0" w:color="auto"/>
              <w:right w:val="single" w:sz="4" w:space="0" w:color="auto"/>
            </w:tcBorders>
            <w:shd w:val="clear" w:color="auto" w:fill="auto"/>
            <w:noWrap/>
            <w:vAlign w:val="center"/>
          </w:tcPr>
          <w:p w14:paraId="18CF83E2" w14:textId="6882B646" w:rsidR="003A7946" w:rsidRPr="002E4977" w:rsidRDefault="003A7946" w:rsidP="002E4977">
            <w:pPr>
              <w:jc w:val="center"/>
              <w:rPr>
                <w:rFonts w:ascii="Segoe UI" w:hAnsi="Segoe UI" w:cs="Segoe UI"/>
                <w:color w:val="000000"/>
                <w:sz w:val="20"/>
                <w:szCs w:val="20"/>
              </w:rPr>
            </w:pPr>
            <w:r>
              <w:rPr>
                <w:rFonts w:ascii="Segoe UI" w:hAnsi="Segoe UI" w:cs="Segoe UI"/>
                <w:color w:val="000000"/>
                <w:sz w:val="20"/>
                <w:szCs w:val="20"/>
              </w:rPr>
              <w:t>4</w:t>
            </w:r>
            <w:r w:rsidR="002C6AF5">
              <w:rPr>
                <w:rFonts w:ascii="Segoe UI" w:hAnsi="Segoe UI" w:cs="Segoe UI"/>
                <w:color w:val="000000"/>
                <w:sz w:val="20"/>
                <w:szCs w:val="20"/>
              </w:rPr>
              <w:t xml:space="preserve"> </w:t>
            </w:r>
            <w:r>
              <w:rPr>
                <w:rFonts w:ascii="Segoe UI" w:hAnsi="Segoe UI" w:cs="Segoe UI"/>
                <w:color w:val="000000"/>
                <w:sz w:val="20"/>
                <w:szCs w:val="20"/>
              </w:rPr>
              <w:t>649,9</w:t>
            </w:r>
          </w:p>
        </w:tc>
        <w:tc>
          <w:tcPr>
            <w:tcW w:w="1553" w:type="dxa"/>
            <w:tcBorders>
              <w:top w:val="nil"/>
              <w:left w:val="nil"/>
              <w:bottom w:val="single" w:sz="4" w:space="0" w:color="auto"/>
              <w:right w:val="single" w:sz="4" w:space="0" w:color="auto"/>
            </w:tcBorders>
            <w:shd w:val="clear" w:color="auto" w:fill="auto"/>
            <w:noWrap/>
            <w:vAlign w:val="center"/>
          </w:tcPr>
          <w:p w14:paraId="6C03353D" w14:textId="0FCDA1A7" w:rsidR="003A7946" w:rsidRPr="002C6AF5" w:rsidRDefault="003A7946" w:rsidP="002E4977">
            <w:pPr>
              <w:jc w:val="center"/>
              <w:rPr>
                <w:rFonts w:ascii="Segoe UI" w:hAnsi="Segoe UI" w:cs="Segoe UI"/>
                <w:color w:val="000000"/>
                <w:sz w:val="20"/>
                <w:szCs w:val="20"/>
              </w:rPr>
            </w:pPr>
            <w:r w:rsidRPr="002C6AF5">
              <w:rPr>
                <w:rFonts w:ascii="Segoe UI" w:hAnsi="Segoe UI" w:cs="Segoe UI"/>
                <w:color w:val="000000"/>
                <w:sz w:val="20"/>
                <w:szCs w:val="20"/>
              </w:rPr>
              <w:t>6</w:t>
            </w:r>
            <w:r w:rsidR="002C6AF5">
              <w:rPr>
                <w:rFonts w:ascii="Segoe UI" w:hAnsi="Segoe UI" w:cs="Segoe UI"/>
                <w:color w:val="000000"/>
                <w:sz w:val="20"/>
                <w:szCs w:val="20"/>
              </w:rPr>
              <w:t> </w:t>
            </w:r>
            <w:r w:rsidRPr="002C6AF5">
              <w:rPr>
                <w:rFonts w:ascii="Segoe UI" w:hAnsi="Segoe UI" w:cs="Segoe UI"/>
                <w:color w:val="000000"/>
                <w:sz w:val="20"/>
                <w:szCs w:val="20"/>
              </w:rPr>
              <w:t>588</w:t>
            </w:r>
            <w:r w:rsidR="002C6AF5">
              <w:rPr>
                <w:rFonts w:ascii="Segoe UI" w:hAnsi="Segoe UI" w:cs="Segoe UI"/>
                <w:color w:val="000000"/>
                <w:sz w:val="20"/>
                <w:szCs w:val="20"/>
              </w:rPr>
              <w:t>,0</w:t>
            </w:r>
          </w:p>
        </w:tc>
        <w:tc>
          <w:tcPr>
            <w:tcW w:w="2105" w:type="dxa"/>
            <w:tcBorders>
              <w:top w:val="nil"/>
              <w:left w:val="nil"/>
              <w:bottom w:val="single" w:sz="4" w:space="0" w:color="auto"/>
              <w:right w:val="single" w:sz="4" w:space="0" w:color="auto"/>
            </w:tcBorders>
            <w:shd w:val="clear" w:color="auto" w:fill="auto"/>
            <w:noWrap/>
            <w:vAlign w:val="center"/>
          </w:tcPr>
          <w:p w14:paraId="521E5195" w14:textId="0D82F9C9" w:rsidR="003A7946" w:rsidRPr="002E4977" w:rsidRDefault="00946860" w:rsidP="00CD0BBD">
            <w:pPr>
              <w:jc w:val="center"/>
              <w:rPr>
                <w:rFonts w:ascii="Segoe UI" w:hAnsi="Segoe UI" w:cs="Segoe UI"/>
                <w:color w:val="000000"/>
                <w:sz w:val="20"/>
                <w:szCs w:val="20"/>
              </w:rPr>
            </w:pPr>
            <w:r>
              <w:rPr>
                <w:rFonts w:ascii="Segoe UI" w:hAnsi="Segoe UI" w:cs="Segoe UI"/>
                <w:color w:val="000000"/>
                <w:sz w:val="20"/>
                <w:szCs w:val="20"/>
              </w:rPr>
              <w:t xml:space="preserve">- </w:t>
            </w:r>
            <w:r w:rsidR="003A7946">
              <w:rPr>
                <w:rFonts w:ascii="Segoe UI" w:hAnsi="Segoe UI" w:cs="Segoe UI"/>
                <w:color w:val="000000"/>
                <w:sz w:val="20"/>
                <w:szCs w:val="20"/>
              </w:rPr>
              <w:t>1</w:t>
            </w:r>
            <w:r w:rsidR="002C6AF5">
              <w:rPr>
                <w:rFonts w:ascii="Segoe UI" w:hAnsi="Segoe UI" w:cs="Segoe UI"/>
                <w:color w:val="000000"/>
                <w:sz w:val="20"/>
                <w:szCs w:val="20"/>
              </w:rPr>
              <w:t> </w:t>
            </w:r>
            <w:r w:rsidR="003A7946">
              <w:rPr>
                <w:rFonts w:ascii="Segoe UI" w:hAnsi="Segoe UI" w:cs="Segoe UI"/>
                <w:color w:val="000000"/>
                <w:sz w:val="20"/>
                <w:szCs w:val="20"/>
              </w:rPr>
              <w:t>938</w:t>
            </w:r>
            <w:r w:rsidR="002C6AF5">
              <w:rPr>
                <w:rFonts w:ascii="Segoe UI" w:hAnsi="Segoe UI" w:cs="Segoe UI"/>
                <w:color w:val="000000"/>
                <w:sz w:val="20"/>
                <w:szCs w:val="20"/>
              </w:rPr>
              <w:t>,1</w:t>
            </w:r>
          </w:p>
        </w:tc>
      </w:tr>
      <w:tr w:rsidR="003A7946" w:rsidRPr="00AA14AA" w14:paraId="7856A2C0" w14:textId="77777777" w:rsidTr="002E4977">
        <w:trPr>
          <w:trHeight w:val="641"/>
        </w:trPr>
        <w:tc>
          <w:tcPr>
            <w:tcW w:w="4344" w:type="dxa"/>
            <w:tcBorders>
              <w:top w:val="nil"/>
              <w:left w:val="single" w:sz="4" w:space="0" w:color="auto"/>
              <w:bottom w:val="single" w:sz="4" w:space="0" w:color="auto"/>
              <w:right w:val="single" w:sz="4" w:space="0" w:color="auto"/>
            </w:tcBorders>
            <w:shd w:val="clear" w:color="auto" w:fill="auto"/>
            <w:noWrap/>
            <w:vAlign w:val="center"/>
          </w:tcPr>
          <w:p w14:paraId="795078A0" w14:textId="77777777" w:rsidR="003A7946" w:rsidRPr="002E4977" w:rsidRDefault="003A7946" w:rsidP="003A7946">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CAA</w:t>
            </w:r>
          </w:p>
        </w:tc>
        <w:tc>
          <w:tcPr>
            <w:tcW w:w="1210" w:type="dxa"/>
            <w:tcBorders>
              <w:top w:val="nil"/>
              <w:left w:val="nil"/>
              <w:bottom w:val="single" w:sz="4" w:space="0" w:color="auto"/>
              <w:right w:val="single" w:sz="4" w:space="0" w:color="auto"/>
            </w:tcBorders>
            <w:shd w:val="clear" w:color="auto" w:fill="auto"/>
            <w:noWrap/>
            <w:vAlign w:val="center"/>
          </w:tcPr>
          <w:p w14:paraId="1F3092EE" w14:textId="799781A1" w:rsidR="003A7946" w:rsidRPr="002E4977" w:rsidRDefault="003A7946" w:rsidP="002E4977">
            <w:pPr>
              <w:jc w:val="center"/>
              <w:rPr>
                <w:rFonts w:ascii="Segoe UI" w:hAnsi="Segoe UI" w:cs="Segoe UI"/>
                <w:color w:val="000000"/>
                <w:sz w:val="20"/>
                <w:szCs w:val="20"/>
              </w:rPr>
            </w:pPr>
            <w:r>
              <w:rPr>
                <w:rFonts w:ascii="Segoe UI" w:hAnsi="Segoe UI" w:cs="Segoe UI"/>
                <w:color w:val="000000"/>
                <w:sz w:val="20"/>
                <w:szCs w:val="20"/>
              </w:rPr>
              <w:t>6</w:t>
            </w:r>
            <w:r w:rsidR="002C6AF5">
              <w:rPr>
                <w:rFonts w:ascii="Segoe UI" w:hAnsi="Segoe UI" w:cs="Segoe UI"/>
                <w:color w:val="000000"/>
                <w:sz w:val="20"/>
                <w:szCs w:val="20"/>
              </w:rPr>
              <w:t xml:space="preserve"> </w:t>
            </w:r>
            <w:r>
              <w:rPr>
                <w:rFonts w:ascii="Segoe UI" w:hAnsi="Segoe UI" w:cs="Segoe UI"/>
                <w:color w:val="000000"/>
                <w:sz w:val="20"/>
                <w:szCs w:val="20"/>
              </w:rPr>
              <w:t>595,3</w:t>
            </w:r>
          </w:p>
        </w:tc>
        <w:tc>
          <w:tcPr>
            <w:tcW w:w="1553" w:type="dxa"/>
            <w:tcBorders>
              <w:top w:val="nil"/>
              <w:left w:val="nil"/>
              <w:bottom w:val="single" w:sz="4" w:space="0" w:color="auto"/>
              <w:right w:val="single" w:sz="4" w:space="0" w:color="auto"/>
            </w:tcBorders>
            <w:shd w:val="clear" w:color="auto" w:fill="auto"/>
            <w:noWrap/>
            <w:vAlign w:val="center"/>
          </w:tcPr>
          <w:p w14:paraId="2581713B" w14:textId="4CBB9EB7" w:rsidR="003A7946" w:rsidRPr="002C6AF5" w:rsidRDefault="003A7946" w:rsidP="002E4977">
            <w:pPr>
              <w:jc w:val="center"/>
              <w:rPr>
                <w:rFonts w:ascii="Segoe UI" w:hAnsi="Segoe UI" w:cs="Segoe UI"/>
                <w:color w:val="000000"/>
                <w:sz w:val="20"/>
                <w:szCs w:val="20"/>
              </w:rPr>
            </w:pPr>
            <w:r w:rsidRPr="002C6AF5">
              <w:rPr>
                <w:rFonts w:ascii="Segoe UI" w:hAnsi="Segoe UI" w:cs="Segoe UI"/>
                <w:color w:val="000000"/>
                <w:sz w:val="20"/>
                <w:szCs w:val="20"/>
              </w:rPr>
              <w:t>336,5</w:t>
            </w:r>
          </w:p>
        </w:tc>
        <w:tc>
          <w:tcPr>
            <w:tcW w:w="2105" w:type="dxa"/>
            <w:tcBorders>
              <w:top w:val="nil"/>
              <w:left w:val="nil"/>
              <w:bottom w:val="single" w:sz="4" w:space="0" w:color="auto"/>
              <w:right w:val="single" w:sz="4" w:space="0" w:color="auto"/>
            </w:tcBorders>
            <w:shd w:val="clear" w:color="auto" w:fill="auto"/>
            <w:noWrap/>
            <w:vAlign w:val="center"/>
          </w:tcPr>
          <w:p w14:paraId="71E1A3D2" w14:textId="2589757C" w:rsidR="003A7946" w:rsidRPr="002E4977" w:rsidRDefault="003A7946" w:rsidP="00CD0BBD">
            <w:pPr>
              <w:jc w:val="center"/>
              <w:rPr>
                <w:rFonts w:ascii="Segoe UI" w:hAnsi="Segoe UI" w:cs="Segoe UI"/>
                <w:color w:val="000000"/>
                <w:sz w:val="20"/>
                <w:szCs w:val="20"/>
              </w:rPr>
            </w:pPr>
            <w:r>
              <w:rPr>
                <w:rFonts w:ascii="Segoe UI" w:hAnsi="Segoe UI" w:cs="Segoe UI"/>
                <w:color w:val="000000"/>
                <w:sz w:val="20"/>
                <w:szCs w:val="20"/>
              </w:rPr>
              <w:t>6</w:t>
            </w:r>
            <w:r w:rsidR="002C6AF5">
              <w:rPr>
                <w:rFonts w:ascii="Segoe UI" w:hAnsi="Segoe UI" w:cs="Segoe UI"/>
                <w:color w:val="000000"/>
                <w:sz w:val="20"/>
                <w:szCs w:val="20"/>
              </w:rPr>
              <w:t> </w:t>
            </w:r>
            <w:r w:rsidR="00BD510C">
              <w:rPr>
                <w:rFonts w:ascii="Segoe UI" w:hAnsi="Segoe UI" w:cs="Segoe UI"/>
                <w:color w:val="000000"/>
                <w:sz w:val="20"/>
                <w:szCs w:val="20"/>
              </w:rPr>
              <w:t>258</w:t>
            </w:r>
            <w:r w:rsidR="002C6AF5">
              <w:rPr>
                <w:rFonts w:ascii="Segoe UI" w:hAnsi="Segoe UI" w:cs="Segoe UI"/>
                <w:color w:val="000000"/>
                <w:sz w:val="20"/>
                <w:szCs w:val="20"/>
              </w:rPr>
              <w:t>,8</w:t>
            </w:r>
          </w:p>
        </w:tc>
      </w:tr>
      <w:tr w:rsidR="003A7946" w:rsidRPr="00AA14AA" w14:paraId="2A25AE22" w14:textId="77777777" w:rsidTr="002E4977">
        <w:trPr>
          <w:trHeight w:val="390"/>
        </w:trPr>
        <w:tc>
          <w:tcPr>
            <w:tcW w:w="4344" w:type="dxa"/>
            <w:tcBorders>
              <w:top w:val="nil"/>
              <w:left w:val="single" w:sz="4" w:space="0" w:color="auto"/>
              <w:bottom w:val="single" w:sz="4" w:space="0" w:color="auto"/>
              <w:right w:val="single" w:sz="4" w:space="0" w:color="auto"/>
            </w:tcBorders>
            <w:shd w:val="clear" w:color="auto" w:fill="auto"/>
            <w:noWrap/>
            <w:vAlign w:val="center"/>
          </w:tcPr>
          <w:p w14:paraId="2EAE9C82" w14:textId="77777777" w:rsidR="003A7946" w:rsidRPr="002E4977" w:rsidRDefault="003A7946" w:rsidP="003A7946">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FR</w:t>
            </w:r>
          </w:p>
        </w:tc>
        <w:tc>
          <w:tcPr>
            <w:tcW w:w="1210" w:type="dxa"/>
            <w:tcBorders>
              <w:top w:val="nil"/>
              <w:left w:val="nil"/>
              <w:bottom w:val="single" w:sz="4" w:space="0" w:color="auto"/>
              <w:right w:val="single" w:sz="4" w:space="0" w:color="auto"/>
            </w:tcBorders>
            <w:shd w:val="clear" w:color="auto" w:fill="auto"/>
            <w:noWrap/>
            <w:vAlign w:val="center"/>
          </w:tcPr>
          <w:p w14:paraId="7BB6EB55" w14:textId="1A04E117" w:rsidR="003A7946" w:rsidRPr="002E4977" w:rsidRDefault="003A7946" w:rsidP="002E4977">
            <w:pPr>
              <w:jc w:val="center"/>
              <w:rPr>
                <w:rFonts w:ascii="Segoe UI" w:hAnsi="Segoe UI" w:cs="Segoe UI"/>
                <w:color w:val="000000"/>
                <w:sz w:val="20"/>
                <w:szCs w:val="20"/>
              </w:rPr>
            </w:pPr>
            <w:r>
              <w:rPr>
                <w:rFonts w:ascii="Segoe UI" w:hAnsi="Segoe UI" w:cs="Segoe UI"/>
                <w:color w:val="000000"/>
                <w:sz w:val="20"/>
                <w:szCs w:val="20"/>
              </w:rPr>
              <w:t>520</w:t>
            </w:r>
          </w:p>
        </w:tc>
        <w:tc>
          <w:tcPr>
            <w:tcW w:w="1553" w:type="dxa"/>
            <w:tcBorders>
              <w:top w:val="nil"/>
              <w:left w:val="nil"/>
              <w:bottom w:val="single" w:sz="4" w:space="0" w:color="auto"/>
              <w:right w:val="single" w:sz="4" w:space="0" w:color="auto"/>
            </w:tcBorders>
            <w:shd w:val="clear" w:color="auto" w:fill="auto"/>
            <w:noWrap/>
            <w:vAlign w:val="center"/>
          </w:tcPr>
          <w:p w14:paraId="336F205A" w14:textId="483BF257" w:rsidR="003A7946" w:rsidRPr="002C6AF5" w:rsidRDefault="003A7946" w:rsidP="002E4977">
            <w:pPr>
              <w:jc w:val="center"/>
              <w:rPr>
                <w:rFonts w:ascii="Segoe UI" w:hAnsi="Segoe UI" w:cs="Segoe UI"/>
                <w:color w:val="000000"/>
                <w:sz w:val="20"/>
                <w:szCs w:val="20"/>
              </w:rPr>
            </w:pPr>
            <w:r w:rsidRPr="002C6AF5">
              <w:rPr>
                <w:rFonts w:ascii="Segoe UI" w:hAnsi="Segoe UI" w:cs="Segoe UI"/>
                <w:color w:val="000000"/>
                <w:sz w:val="20"/>
                <w:szCs w:val="20"/>
              </w:rPr>
              <w:t>303,9</w:t>
            </w:r>
          </w:p>
        </w:tc>
        <w:tc>
          <w:tcPr>
            <w:tcW w:w="2105" w:type="dxa"/>
            <w:tcBorders>
              <w:top w:val="nil"/>
              <w:left w:val="nil"/>
              <w:bottom w:val="single" w:sz="4" w:space="0" w:color="auto"/>
              <w:right w:val="single" w:sz="4" w:space="0" w:color="auto"/>
            </w:tcBorders>
            <w:shd w:val="clear" w:color="auto" w:fill="auto"/>
            <w:noWrap/>
            <w:vAlign w:val="center"/>
          </w:tcPr>
          <w:p w14:paraId="4938FBEE" w14:textId="71B68E05" w:rsidR="003A7946" w:rsidRPr="002E4977" w:rsidRDefault="003A7946" w:rsidP="00CD0BBD">
            <w:pPr>
              <w:jc w:val="center"/>
              <w:rPr>
                <w:rFonts w:ascii="Segoe UI" w:hAnsi="Segoe UI" w:cs="Segoe UI"/>
                <w:color w:val="000000"/>
                <w:sz w:val="20"/>
                <w:szCs w:val="20"/>
              </w:rPr>
            </w:pPr>
            <w:r>
              <w:rPr>
                <w:rFonts w:ascii="Segoe UI" w:hAnsi="Segoe UI" w:cs="Segoe UI"/>
                <w:color w:val="000000"/>
                <w:sz w:val="20"/>
                <w:szCs w:val="20"/>
              </w:rPr>
              <w:t>216</w:t>
            </w:r>
            <w:r w:rsidR="002C6AF5">
              <w:rPr>
                <w:rFonts w:ascii="Segoe UI" w:hAnsi="Segoe UI" w:cs="Segoe UI"/>
                <w:color w:val="000000"/>
                <w:sz w:val="20"/>
                <w:szCs w:val="20"/>
              </w:rPr>
              <w:t>,1</w:t>
            </w:r>
          </w:p>
        </w:tc>
      </w:tr>
      <w:tr w:rsidR="003A7946" w:rsidRPr="00AA14AA" w14:paraId="7D27EF0A" w14:textId="77777777" w:rsidTr="002E4977">
        <w:trPr>
          <w:trHeight w:val="375"/>
        </w:trPr>
        <w:tc>
          <w:tcPr>
            <w:tcW w:w="4344" w:type="dxa"/>
            <w:tcBorders>
              <w:top w:val="nil"/>
              <w:left w:val="single" w:sz="4" w:space="0" w:color="auto"/>
              <w:bottom w:val="single" w:sz="4" w:space="0" w:color="auto"/>
              <w:right w:val="single" w:sz="4" w:space="0" w:color="auto"/>
            </w:tcBorders>
            <w:shd w:val="clear" w:color="auto" w:fill="auto"/>
            <w:noWrap/>
            <w:vAlign w:val="center"/>
          </w:tcPr>
          <w:p w14:paraId="02960B92" w14:textId="77777777" w:rsidR="003A7946" w:rsidRPr="002E4977" w:rsidRDefault="003A7946" w:rsidP="003A7946">
            <w:pPr>
              <w:spacing w:after="0" w:line="240" w:lineRule="auto"/>
              <w:jc w:val="center"/>
              <w:rPr>
                <w:rFonts w:ascii="Segoe UI" w:eastAsia="Times New Roman" w:hAnsi="Segoe UI" w:cs="Segoe UI"/>
                <w:b/>
                <w:bCs/>
                <w:sz w:val="20"/>
                <w:szCs w:val="20"/>
              </w:rPr>
            </w:pPr>
            <w:r w:rsidRPr="002E4977">
              <w:rPr>
                <w:rFonts w:ascii="Segoe UI" w:eastAsia="Times New Roman" w:hAnsi="Segoe UI" w:cs="Segoe UI"/>
                <w:b/>
                <w:bCs/>
                <w:sz w:val="20"/>
                <w:szCs w:val="20"/>
              </w:rPr>
              <w:t>Solde global d’exécution budgétaire</w:t>
            </w:r>
          </w:p>
        </w:tc>
        <w:tc>
          <w:tcPr>
            <w:tcW w:w="1210" w:type="dxa"/>
            <w:tcBorders>
              <w:top w:val="nil"/>
              <w:left w:val="nil"/>
              <w:bottom w:val="single" w:sz="4" w:space="0" w:color="auto"/>
              <w:right w:val="single" w:sz="4" w:space="0" w:color="auto"/>
            </w:tcBorders>
            <w:shd w:val="clear" w:color="auto" w:fill="auto"/>
            <w:noWrap/>
            <w:vAlign w:val="center"/>
          </w:tcPr>
          <w:p w14:paraId="5146A2E0" w14:textId="3E8AA903" w:rsidR="003A7946" w:rsidRPr="002E4977" w:rsidRDefault="002C6AF5" w:rsidP="002C6AF5">
            <w:pPr>
              <w:jc w:val="center"/>
              <w:rPr>
                <w:rFonts w:ascii="Segoe UI" w:hAnsi="Segoe UI" w:cs="Segoe UI"/>
                <w:color w:val="000000"/>
                <w:sz w:val="20"/>
                <w:szCs w:val="20"/>
              </w:rPr>
            </w:pPr>
            <w:r>
              <w:rPr>
                <w:rFonts w:ascii="Segoe UI" w:hAnsi="Segoe UI" w:cs="Segoe UI"/>
                <w:color w:val="000000"/>
                <w:sz w:val="20"/>
                <w:szCs w:val="20"/>
              </w:rPr>
              <w:t>196  239,2</w:t>
            </w:r>
          </w:p>
        </w:tc>
        <w:tc>
          <w:tcPr>
            <w:tcW w:w="1553" w:type="dxa"/>
            <w:tcBorders>
              <w:top w:val="nil"/>
              <w:left w:val="nil"/>
              <w:bottom w:val="single" w:sz="4" w:space="0" w:color="auto"/>
              <w:right w:val="single" w:sz="4" w:space="0" w:color="auto"/>
            </w:tcBorders>
            <w:shd w:val="clear" w:color="auto" w:fill="auto"/>
            <w:noWrap/>
            <w:vAlign w:val="center"/>
          </w:tcPr>
          <w:p w14:paraId="1DE3461E" w14:textId="2DC5613F" w:rsidR="003A7946" w:rsidRPr="002C6AF5" w:rsidRDefault="002C6AF5" w:rsidP="002C6AF5">
            <w:pPr>
              <w:jc w:val="center"/>
              <w:rPr>
                <w:rFonts w:ascii="Segoe UI" w:hAnsi="Segoe UI" w:cs="Segoe UI"/>
                <w:color w:val="000000"/>
                <w:sz w:val="20"/>
                <w:szCs w:val="20"/>
              </w:rPr>
            </w:pPr>
            <w:r w:rsidRPr="002C6AF5">
              <w:rPr>
                <w:rFonts w:ascii="Segoe UI" w:hAnsi="Segoe UI" w:cs="Segoe UI"/>
                <w:color w:val="000000"/>
                <w:sz w:val="20"/>
                <w:szCs w:val="20"/>
              </w:rPr>
              <w:t>204 614,9</w:t>
            </w:r>
          </w:p>
        </w:tc>
        <w:tc>
          <w:tcPr>
            <w:tcW w:w="2105" w:type="dxa"/>
            <w:tcBorders>
              <w:top w:val="nil"/>
              <w:left w:val="nil"/>
              <w:bottom w:val="single" w:sz="4" w:space="0" w:color="auto"/>
              <w:right w:val="single" w:sz="4" w:space="0" w:color="auto"/>
            </w:tcBorders>
            <w:shd w:val="clear" w:color="auto" w:fill="auto"/>
            <w:noWrap/>
            <w:vAlign w:val="center"/>
          </w:tcPr>
          <w:p w14:paraId="3305B61B" w14:textId="03733880" w:rsidR="003A7946" w:rsidRPr="00946860" w:rsidRDefault="00946860" w:rsidP="00CD0BBD">
            <w:pPr>
              <w:pStyle w:val="Paragraphedeliste"/>
              <w:rPr>
                <w:rFonts w:ascii="Segoe UI" w:hAnsi="Segoe UI" w:cs="Segoe UI"/>
                <w:color w:val="000000"/>
                <w:sz w:val="20"/>
                <w:szCs w:val="20"/>
              </w:rPr>
            </w:pPr>
            <w:r>
              <w:rPr>
                <w:rFonts w:ascii="Segoe UI" w:hAnsi="Segoe UI" w:cs="Segoe UI"/>
                <w:color w:val="000000"/>
                <w:sz w:val="20"/>
                <w:szCs w:val="20"/>
              </w:rPr>
              <w:t xml:space="preserve">- </w:t>
            </w:r>
            <w:r w:rsidR="002C6AF5">
              <w:rPr>
                <w:rFonts w:ascii="Segoe UI" w:hAnsi="Segoe UI" w:cs="Segoe UI"/>
                <w:color w:val="000000"/>
                <w:sz w:val="20"/>
                <w:szCs w:val="20"/>
              </w:rPr>
              <w:t xml:space="preserve"> 8 375,7</w:t>
            </w:r>
          </w:p>
        </w:tc>
      </w:tr>
    </w:tbl>
    <w:p w14:paraId="2627385B" w14:textId="77777777" w:rsidR="0029066A" w:rsidRPr="001541CB" w:rsidRDefault="0029066A" w:rsidP="00AD11B0">
      <w:pPr>
        <w:spacing w:after="0" w:line="240" w:lineRule="auto"/>
        <w:rPr>
          <w:rFonts w:ascii="Segoe UI" w:hAnsi="Segoe UI" w:cs="Segoe UI"/>
          <w:bCs/>
          <w:iCs/>
          <w:sz w:val="24"/>
          <w:szCs w:val="24"/>
        </w:rPr>
      </w:pPr>
    </w:p>
    <w:p w14:paraId="49A9B5F4" w14:textId="77777777" w:rsidR="00F31B5F" w:rsidRPr="002E4977" w:rsidRDefault="00AD11B0" w:rsidP="00AD11B0">
      <w:pPr>
        <w:spacing w:after="0" w:line="240" w:lineRule="auto"/>
        <w:rPr>
          <w:rFonts w:ascii="Segoe UI" w:hAnsi="Segoe UI" w:cs="Segoe UI"/>
          <w:bCs/>
          <w:iCs/>
          <w:sz w:val="20"/>
          <w:szCs w:val="24"/>
        </w:rPr>
      </w:pPr>
      <w:r w:rsidRPr="002E4977">
        <w:rPr>
          <w:rFonts w:ascii="Segoe UI" w:hAnsi="Segoe UI" w:cs="Segoe UI"/>
          <w:b/>
          <w:bCs/>
          <w:iCs/>
          <w:sz w:val="20"/>
          <w:szCs w:val="24"/>
        </w:rPr>
        <w:t xml:space="preserve">     </w:t>
      </w:r>
      <w:r w:rsidR="00DC4467" w:rsidRPr="002E4977">
        <w:rPr>
          <w:rFonts w:ascii="Segoe UI" w:hAnsi="Segoe UI" w:cs="Segoe UI"/>
          <w:b/>
          <w:bCs/>
          <w:iCs/>
          <w:sz w:val="20"/>
          <w:szCs w:val="24"/>
        </w:rPr>
        <w:t xml:space="preserve">     </w:t>
      </w:r>
      <w:r w:rsidR="00744FF6" w:rsidRPr="002E4977">
        <w:rPr>
          <w:rFonts w:ascii="Segoe UI" w:hAnsi="Segoe UI" w:cs="Segoe UI"/>
          <w:b/>
          <w:bCs/>
          <w:iCs/>
          <w:sz w:val="20"/>
          <w:szCs w:val="24"/>
          <w:u w:val="single"/>
        </w:rPr>
        <w:t>Source</w:t>
      </w:r>
      <w:r w:rsidR="00744FF6" w:rsidRPr="002E4977">
        <w:rPr>
          <w:rFonts w:ascii="Segoe UI" w:hAnsi="Segoe UI" w:cs="Segoe UI"/>
          <w:bCs/>
          <w:iCs/>
          <w:sz w:val="20"/>
          <w:szCs w:val="24"/>
        </w:rPr>
        <w:t xml:space="preserve"> : MEF/DGB, </w:t>
      </w:r>
      <w:r w:rsidR="00045582" w:rsidRPr="002E4977">
        <w:rPr>
          <w:rFonts w:ascii="Segoe UI" w:hAnsi="Segoe UI" w:cs="Segoe UI"/>
          <w:bCs/>
          <w:iCs/>
          <w:sz w:val="20"/>
          <w:szCs w:val="24"/>
        </w:rPr>
        <w:t>avril</w:t>
      </w:r>
      <w:r w:rsidR="00F75B4B" w:rsidRPr="002E4977">
        <w:rPr>
          <w:rFonts w:ascii="Segoe UI" w:hAnsi="Segoe UI" w:cs="Segoe UI"/>
          <w:bCs/>
          <w:iCs/>
          <w:sz w:val="20"/>
          <w:szCs w:val="24"/>
        </w:rPr>
        <w:t xml:space="preserve"> 201</w:t>
      </w:r>
      <w:r w:rsidR="00EB3CF1" w:rsidRPr="002E4977">
        <w:rPr>
          <w:rFonts w:ascii="Segoe UI" w:hAnsi="Segoe UI" w:cs="Segoe UI"/>
          <w:bCs/>
          <w:iCs/>
          <w:sz w:val="20"/>
          <w:szCs w:val="24"/>
        </w:rPr>
        <w:t>7</w:t>
      </w:r>
    </w:p>
    <w:p w14:paraId="0EB63047" w14:textId="77777777" w:rsidR="00F31B5F" w:rsidRPr="001541CB" w:rsidRDefault="00F31B5F" w:rsidP="00AD11B0">
      <w:pPr>
        <w:spacing w:after="0"/>
        <w:jc w:val="both"/>
        <w:rPr>
          <w:rFonts w:ascii="Segoe UI" w:hAnsi="Segoe UI" w:cs="Segoe UI"/>
          <w:bCs/>
          <w:sz w:val="24"/>
          <w:szCs w:val="24"/>
        </w:rPr>
      </w:pPr>
    </w:p>
    <w:p w14:paraId="7E66D713" w14:textId="77777777" w:rsidR="002C11DF" w:rsidRPr="001541CB" w:rsidRDefault="00D75C53" w:rsidP="00023160">
      <w:pPr>
        <w:pStyle w:val="Titre1"/>
        <w:numPr>
          <w:ilvl w:val="0"/>
          <w:numId w:val="1"/>
        </w:numPr>
        <w:spacing w:before="240" w:after="120"/>
        <w:rPr>
          <w:rFonts w:ascii="Segoe UI" w:hAnsi="Segoe UI" w:cs="Segoe UI"/>
          <w:sz w:val="24"/>
          <w:szCs w:val="24"/>
        </w:rPr>
      </w:pPr>
      <w:bookmarkStart w:id="40" w:name="_Toc484105614"/>
      <w:r w:rsidRPr="001541CB">
        <w:rPr>
          <w:rFonts w:ascii="Segoe UI" w:hAnsi="Segoe UI" w:cs="Segoe UI"/>
          <w:sz w:val="24"/>
          <w:szCs w:val="24"/>
        </w:rPr>
        <w:t>S</w:t>
      </w:r>
      <w:r w:rsidR="00DA42B2" w:rsidRPr="001541CB">
        <w:rPr>
          <w:rFonts w:ascii="Segoe UI" w:hAnsi="Segoe UI" w:cs="Segoe UI"/>
          <w:sz w:val="24"/>
          <w:szCs w:val="24"/>
        </w:rPr>
        <w:t>ITU</w:t>
      </w:r>
      <w:r w:rsidRPr="001541CB">
        <w:rPr>
          <w:rFonts w:ascii="Segoe UI" w:hAnsi="Segoe UI" w:cs="Segoe UI"/>
          <w:sz w:val="24"/>
          <w:szCs w:val="24"/>
        </w:rPr>
        <w:t xml:space="preserve">ATION DES OPERATIONS DE TRESORERIE </w:t>
      </w:r>
      <w:r w:rsidR="00DA42B2" w:rsidRPr="001541CB">
        <w:rPr>
          <w:rFonts w:ascii="Segoe UI" w:hAnsi="Segoe UI" w:cs="Segoe UI"/>
          <w:sz w:val="24"/>
          <w:szCs w:val="24"/>
        </w:rPr>
        <w:t>AU 3</w:t>
      </w:r>
      <w:r w:rsidR="001F5B2E" w:rsidRPr="001541CB">
        <w:rPr>
          <w:rFonts w:ascii="Segoe UI" w:hAnsi="Segoe UI" w:cs="Segoe UI"/>
          <w:sz w:val="24"/>
          <w:szCs w:val="24"/>
        </w:rPr>
        <w:t>1</w:t>
      </w:r>
      <w:r w:rsidR="00B91DC1" w:rsidRPr="001541CB">
        <w:rPr>
          <w:rFonts w:ascii="Segoe UI" w:hAnsi="Segoe UI" w:cs="Segoe UI"/>
          <w:sz w:val="24"/>
          <w:szCs w:val="24"/>
        </w:rPr>
        <w:t xml:space="preserve"> </w:t>
      </w:r>
      <w:r w:rsidR="00792ACF" w:rsidRPr="001541CB">
        <w:rPr>
          <w:rFonts w:ascii="Segoe UI" w:hAnsi="Segoe UI" w:cs="Segoe UI"/>
          <w:sz w:val="24"/>
          <w:szCs w:val="24"/>
        </w:rPr>
        <w:t>MARS</w:t>
      </w:r>
      <w:r w:rsidR="009A3164" w:rsidRPr="001541CB">
        <w:rPr>
          <w:rFonts w:ascii="Segoe UI" w:hAnsi="Segoe UI" w:cs="Segoe UI"/>
          <w:sz w:val="24"/>
          <w:szCs w:val="24"/>
        </w:rPr>
        <w:t xml:space="preserve"> </w:t>
      </w:r>
      <w:r w:rsidRPr="001541CB">
        <w:rPr>
          <w:rFonts w:ascii="Segoe UI" w:hAnsi="Segoe UI" w:cs="Segoe UI"/>
          <w:sz w:val="24"/>
          <w:szCs w:val="24"/>
        </w:rPr>
        <w:t>201</w:t>
      </w:r>
      <w:r w:rsidR="00BE273B" w:rsidRPr="001541CB">
        <w:rPr>
          <w:rFonts w:ascii="Segoe UI" w:hAnsi="Segoe UI" w:cs="Segoe UI"/>
          <w:sz w:val="24"/>
          <w:szCs w:val="24"/>
        </w:rPr>
        <w:t>7</w:t>
      </w:r>
      <w:bookmarkEnd w:id="40"/>
    </w:p>
    <w:p w14:paraId="4A55F873" w14:textId="77777777" w:rsidR="003D508F" w:rsidRPr="001541CB" w:rsidRDefault="003D508F" w:rsidP="0043249E">
      <w:pPr>
        <w:pStyle w:val="Paragraphedeliste"/>
        <w:keepNext/>
        <w:numPr>
          <w:ilvl w:val="0"/>
          <w:numId w:val="21"/>
        </w:numPr>
        <w:spacing w:after="120" w:line="360" w:lineRule="auto"/>
        <w:ind w:right="68"/>
        <w:jc w:val="both"/>
        <w:outlineLvl w:val="2"/>
        <w:rPr>
          <w:rFonts w:ascii="Segoe UI" w:hAnsi="Segoe UI" w:cs="Segoe UI"/>
          <w:b/>
          <w:sz w:val="24"/>
          <w:szCs w:val="24"/>
        </w:rPr>
      </w:pPr>
      <w:bookmarkStart w:id="41" w:name="_Toc484105615"/>
      <w:r w:rsidRPr="001541CB">
        <w:rPr>
          <w:rFonts w:ascii="Segoe UI" w:hAnsi="Segoe UI" w:cs="Segoe UI"/>
          <w:b/>
          <w:sz w:val="24"/>
          <w:szCs w:val="24"/>
        </w:rPr>
        <w:t>La mobilisation des res</w:t>
      </w:r>
      <w:r w:rsidR="00493AE1" w:rsidRPr="001541CB">
        <w:rPr>
          <w:rFonts w:ascii="Segoe UI" w:hAnsi="Segoe UI" w:cs="Segoe UI"/>
          <w:b/>
          <w:sz w:val="24"/>
          <w:szCs w:val="24"/>
        </w:rPr>
        <w:t>s</w:t>
      </w:r>
      <w:r w:rsidRPr="001541CB">
        <w:rPr>
          <w:rFonts w:ascii="Segoe UI" w:hAnsi="Segoe UI" w:cs="Segoe UI"/>
          <w:b/>
          <w:sz w:val="24"/>
          <w:szCs w:val="24"/>
        </w:rPr>
        <w:t>ources</w:t>
      </w:r>
      <w:bookmarkEnd w:id="41"/>
    </w:p>
    <w:p w14:paraId="5F293A0E" w14:textId="77777777" w:rsidR="004A1038" w:rsidRDefault="003D508F" w:rsidP="00EB5D35">
      <w:pPr>
        <w:spacing w:after="0" w:line="360" w:lineRule="auto"/>
        <w:jc w:val="both"/>
        <w:rPr>
          <w:rFonts w:ascii="Segoe UI" w:hAnsi="Segoe UI" w:cs="Segoe UI"/>
          <w:sz w:val="24"/>
          <w:szCs w:val="24"/>
        </w:rPr>
      </w:pPr>
      <w:bookmarkStart w:id="42" w:name="_Toc435284863"/>
      <w:bookmarkStart w:id="43" w:name="_Toc435295630"/>
      <w:bookmarkStart w:id="44" w:name="_Toc442430620"/>
      <w:bookmarkStart w:id="45" w:name="_Toc427941531"/>
      <w:r w:rsidRPr="001541CB">
        <w:rPr>
          <w:rFonts w:ascii="Segoe UI" w:hAnsi="Segoe UI" w:cs="Segoe UI"/>
          <w:sz w:val="24"/>
          <w:szCs w:val="24"/>
        </w:rPr>
        <w:t>L</w:t>
      </w:r>
      <w:r w:rsidR="003D5AA4" w:rsidRPr="001541CB">
        <w:rPr>
          <w:rFonts w:ascii="Segoe UI" w:hAnsi="Segoe UI" w:cs="Segoe UI"/>
          <w:sz w:val="24"/>
          <w:szCs w:val="24"/>
        </w:rPr>
        <w:t>e premier trimestre de l’</w:t>
      </w:r>
      <w:r w:rsidR="00E40FC8" w:rsidRPr="001541CB">
        <w:rPr>
          <w:rFonts w:ascii="Segoe UI" w:hAnsi="Segoe UI" w:cs="Segoe UI"/>
          <w:sz w:val="24"/>
          <w:szCs w:val="24"/>
        </w:rPr>
        <w:t>année 201</w:t>
      </w:r>
      <w:r w:rsidR="001B755D" w:rsidRPr="001541CB">
        <w:rPr>
          <w:rFonts w:ascii="Segoe UI" w:hAnsi="Segoe UI" w:cs="Segoe UI"/>
          <w:sz w:val="24"/>
          <w:szCs w:val="24"/>
        </w:rPr>
        <w:t>7</w:t>
      </w:r>
      <w:r w:rsidR="009A3164" w:rsidRPr="001541CB">
        <w:rPr>
          <w:rFonts w:ascii="Segoe UI" w:hAnsi="Segoe UI" w:cs="Segoe UI"/>
          <w:sz w:val="24"/>
          <w:szCs w:val="24"/>
        </w:rPr>
        <w:t xml:space="preserve"> </w:t>
      </w:r>
      <w:r w:rsidR="003D5AA4" w:rsidRPr="001541CB">
        <w:rPr>
          <w:rFonts w:ascii="Segoe UI" w:hAnsi="Segoe UI" w:cs="Segoe UI"/>
          <w:sz w:val="24"/>
          <w:szCs w:val="24"/>
        </w:rPr>
        <w:t>est</w:t>
      </w:r>
      <w:r w:rsidR="00EF1126" w:rsidRPr="001541CB">
        <w:rPr>
          <w:rFonts w:ascii="Segoe UI" w:hAnsi="Segoe UI" w:cs="Segoe UI"/>
          <w:sz w:val="24"/>
          <w:szCs w:val="24"/>
        </w:rPr>
        <w:t xml:space="preserve"> caractérisé par la mobilisation de </w:t>
      </w:r>
      <w:r w:rsidR="007448BA" w:rsidRPr="004E1239">
        <w:rPr>
          <w:rFonts w:ascii="Segoe UI" w:hAnsi="Segoe UI" w:cs="Segoe UI"/>
          <w:sz w:val="24"/>
          <w:szCs w:val="24"/>
        </w:rPr>
        <w:t>116 935</w:t>
      </w:r>
      <w:r w:rsidR="009A3164" w:rsidRPr="001541CB">
        <w:rPr>
          <w:rFonts w:ascii="Segoe UI" w:hAnsi="Segoe UI" w:cs="Segoe UI"/>
          <w:sz w:val="24"/>
          <w:szCs w:val="24"/>
        </w:rPr>
        <w:t xml:space="preserve"> </w:t>
      </w:r>
      <w:r w:rsidR="00EF1126" w:rsidRPr="001541CB">
        <w:rPr>
          <w:rFonts w:ascii="Segoe UI" w:hAnsi="Segoe UI" w:cs="Segoe UI"/>
          <w:sz w:val="24"/>
          <w:szCs w:val="24"/>
        </w:rPr>
        <w:t xml:space="preserve">millions de FCFA </w:t>
      </w:r>
      <w:r w:rsidR="00E40FC8" w:rsidRPr="001541CB">
        <w:rPr>
          <w:rFonts w:ascii="Segoe UI" w:hAnsi="Segoe UI" w:cs="Segoe UI"/>
          <w:sz w:val="24"/>
          <w:szCs w:val="24"/>
        </w:rPr>
        <w:t xml:space="preserve">au titre des ressources de trésorerie sur un objectif annuel de </w:t>
      </w:r>
      <w:r w:rsidR="009A3164" w:rsidRPr="001541CB">
        <w:rPr>
          <w:rFonts w:ascii="Segoe UI" w:hAnsi="Segoe UI" w:cs="Segoe UI"/>
          <w:sz w:val="24"/>
          <w:szCs w:val="24"/>
        </w:rPr>
        <w:t xml:space="preserve">       </w:t>
      </w:r>
      <w:r w:rsidR="001B755D" w:rsidRPr="001541CB">
        <w:rPr>
          <w:rFonts w:ascii="Segoe UI" w:hAnsi="Segoe UI" w:cs="Segoe UI"/>
          <w:sz w:val="24"/>
          <w:szCs w:val="24"/>
        </w:rPr>
        <w:t>1 002 861</w:t>
      </w:r>
      <w:r w:rsidR="00E40FC8" w:rsidRPr="001541CB">
        <w:rPr>
          <w:rFonts w:ascii="Segoe UI" w:hAnsi="Segoe UI" w:cs="Segoe UI"/>
          <w:sz w:val="24"/>
          <w:szCs w:val="24"/>
        </w:rPr>
        <w:t xml:space="preserve"> millions de FCFA</w:t>
      </w:r>
      <w:r w:rsidR="00D77D10" w:rsidRPr="001541CB">
        <w:rPr>
          <w:rFonts w:ascii="Segoe UI" w:hAnsi="Segoe UI" w:cs="Segoe UI"/>
          <w:sz w:val="24"/>
          <w:szCs w:val="24"/>
        </w:rPr>
        <w:t xml:space="preserve">. On note ainsi un niveau de mobilisation </w:t>
      </w:r>
      <w:r w:rsidR="00EB3CF1" w:rsidRPr="001541CB">
        <w:rPr>
          <w:rFonts w:ascii="Segoe UI" w:hAnsi="Segoe UI" w:cs="Segoe UI"/>
          <w:sz w:val="24"/>
          <w:szCs w:val="24"/>
        </w:rPr>
        <w:t>de</w:t>
      </w:r>
      <w:r w:rsidR="00045582" w:rsidRPr="001541CB">
        <w:rPr>
          <w:rFonts w:ascii="Segoe UI" w:hAnsi="Segoe UI" w:cs="Segoe UI"/>
          <w:sz w:val="24"/>
          <w:szCs w:val="24"/>
        </w:rPr>
        <w:t xml:space="preserve"> </w:t>
      </w:r>
      <w:r w:rsidR="007448BA" w:rsidRPr="004E1239">
        <w:rPr>
          <w:rFonts w:ascii="Segoe UI" w:hAnsi="Segoe UI" w:cs="Segoe UI"/>
          <w:sz w:val="24"/>
          <w:szCs w:val="24"/>
        </w:rPr>
        <w:t>11,7</w:t>
      </w:r>
      <w:r w:rsidR="00EF1126" w:rsidRPr="004E1239">
        <w:rPr>
          <w:rFonts w:ascii="Segoe UI" w:hAnsi="Segoe UI" w:cs="Segoe UI"/>
          <w:sz w:val="24"/>
          <w:szCs w:val="24"/>
        </w:rPr>
        <w:t>%.</w:t>
      </w:r>
      <w:r w:rsidR="00EF1126" w:rsidRPr="001541CB">
        <w:rPr>
          <w:rFonts w:ascii="Segoe UI" w:hAnsi="Segoe UI" w:cs="Segoe UI"/>
          <w:sz w:val="24"/>
          <w:szCs w:val="24"/>
        </w:rPr>
        <w:t xml:space="preserve"> </w:t>
      </w:r>
      <w:r w:rsidR="00C8186D" w:rsidRPr="001541CB">
        <w:rPr>
          <w:rFonts w:ascii="Segoe UI" w:hAnsi="Segoe UI" w:cs="Segoe UI"/>
          <w:sz w:val="24"/>
          <w:szCs w:val="24"/>
        </w:rPr>
        <w:t xml:space="preserve">Le détail sur la mobilisation des ressources de trésorerie </w:t>
      </w:r>
      <w:r w:rsidR="00EB3CF1" w:rsidRPr="001541CB">
        <w:rPr>
          <w:rFonts w:ascii="Segoe UI" w:hAnsi="Segoe UI" w:cs="Segoe UI"/>
          <w:sz w:val="24"/>
          <w:szCs w:val="24"/>
        </w:rPr>
        <w:t>est</w:t>
      </w:r>
      <w:r w:rsidR="00C8186D" w:rsidRPr="001541CB">
        <w:rPr>
          <w:rFonts w:ascii="Segoe UI" w:hAnsi="Segoe UI" w:cs="Segoe UI"/>
          <w:sz w:val="24"/>
          <w:szCs w:val="24"/>
        </w:rPr>
        <w:t xml:space="preserve"> </w:t>
      </w:r>
      <w:r w:rsidR="00EB3CF1" w:rsidRPr="001541CB">
        <w:rPr>
          <w:rFonts w:ascii="Segoe UI" w:hAnsi="Segoe UI" w:cs="Segoe UI"/>
          <w:sz w:val="24"/>
          <w:szCs w:val="24"/>
        </w:rPr>
        <w:t>retracé</w:t>
      </w:r>
      <w:r w:rsidR="00C8186D" w:rsidRPr="001541CB">
        <w:rPr>
          <w:rFonts w:ascii="Segoe UI" w:hAnsi="Segoe UI" w:cs="Segoe UI"/>
          <w:sz w:val="24"/>
          <w:szCs w:val="24"/>
        </w:rPr>
        <w:t xml:space="preserve"> dans le tableau </w:t>
      </w:r>
      <w:r w:rsidR="003D5AA4" w:rsidRPr="001541CB">
        <w:rPr>
          <w:rFonts w:ascii="Segoe UI" w:hAnsi="Segoe UI" w:cs="Segoe UI"/>
          <w:sz w:val="24"/>
          <w:szCs w:val="24"/>
        </w:rPr>
        <w:t>n°8</w:t>
      </w:r>
      <w:r w:rsidR="00C8186D" w:rsidRPr="001541CB">
        <w:rPr>
          <w:rFonts w:ascii="Segoe UI" w:hAnsi="Segoe UI" w:cs="Segoe UI"/>
          <w:sz w:val="24"/>
          <w:szCs w:val="24"/>
        </w:rPr>
        <w:t xml:space="preserve"> ci-après</w:t>
      </w:r>
      <w:bookmarkEnd w:id="42"/>
      <w:bookmarkEnd w:id="43"/>
      <w:bookmarkEnd w:id="44"/>
      <w:r w:rsidR="00AD11B0" w:rsidRPr="001541CB">
        <w:rPr>
          <w:rFonts w:ascii="Segoe UI" w:hAnsi="Segoe UI" w:cs="Segoe UI"/>
          <w:sz w:val="24"/>
          <w:szCs w:val="24"/>
        </w:rPr>
        <w:t> :</w:t>
      </w:r>
    </w:p>
    <w:p w14:paraId="6D0155F9" w14:textId="77777777" w:rsidR="00CF62E7" w:rsidRDefault="00CF62E7" w:rsidP="00EB5D35">
      <w:pPr>
        <w:spacing w:after="0" w:line="360" w:lineRule="auto"/>
        <w:jc w:val="both"/>
        <w:rPr>
          <w:rFonts w:ascii="Segoe UI" w:hAnsi="Segoe UI" w:cs="Segoe UI"/>
          <w:sz w:val="24"/>
          <w:szCs w:val="24"/>
        </w:rPr>
      </w:pPr>
    </w:p>
    <w:p w14:paraId="119C500F" w14:textId="77777777" w:rsidR="00CF62E7" w:rsidRDefault="00CF62E7" w:rsidP="00EB5D35">
      <w:pPr>
        <w:spacing w:after="0" w:line="360" w:lineRule="auto"/>
        <w:jc w:val="both"/>
        <w:rPr>
          <w:rFonts w:ascii="Segoe UI" w:hAnsi="Segoe UI" w:cs="Segoe UI"/>
          <w:sz w:val="24"/>
          <w:szCs w:val="24"/>
        </w:rPr>
      </w:pPr>
    </w:p>
    <w:p w14:paraId="34B8071F" w14:textId="77777777" w:rsidR="00CF62E7" w:rsidRDefault="00CF62E7" w:rsidP="00EB5D35">
      <w:pPr>
        <w:spacing w:after="0" w:line="360" w:lineRule="auto"/>
        <w:jc w:val="both"/>
        <w:rPr>
          <w:rFonts w:ascii="Segoe UI" w:hAnsi="Segoe UI" w:cs="Segoe UI"/>
          <w:sz w:val="24"/>
          <w:szCs w:val="24"/>
        </w:rPr>
      </w:pPr>
    </w:p>
    <w:p w14:paraId="12F60888" w14:textId="77777777" w:rsidR="00CF62E7" w:rsidRDefault="00CF62E7" w:rsidP="00EB5D35">
      <w:pPr>
        <w:spacing w:after="0" w:line="360" w:lineRule="auto"/>
        <w:jc w:val="both"/>
        <w:rPr>
          <w:rFonts w:ascii="Segoe UI" w:hAnsi="Segoe UI" w:cs="Segoe UI"/>
          <w:sz w:val="24"/>
          <w:szCs w:val="24"/>
        </w:rPr>
      </w:pPr>
    </w:p>
    <w:p w14:paraId="03B1FBD6" w14:textId="77777777" w:rsidR="00CF62E7" w:rsidRDefault="00CF62E7" w:rsidP="00EB5D35">
      <w:pPr>
        <w:spacing w:after="0" w:line="360" w:lineRule="auto"/>
        <w:jc w:val="both"/>
        <w:rPr>
          <w:rFonts w:ascii="Segoe UI" w:hAnsi="Segoe UI" w:cs="Segoe UI"/>
          <w:sz w:val="24"/>
          <w:szCs w:val="24"/>
        </w:rPr>
      </w:pPr>
    </w:p>
    <w:p w14:paraId="5E16FD95" w14:textId="77777777" w:rsidR="00CF62E7" w:rsidRDefault="00CF62E7" w:rsidP="00EB5D35">
      <w:pPr>
        <w:spacing w:after="0" w:line="360" w:lineRule="auto"/>
        <w:jc w:val="both"/>
        <w:rPr>
          <w:rFonts w:ascii="Segoe UI" w:hAnsi="Segoe UI" w:cs="Segoe UI"/>
          <w:sz w:val="24"/>
          <w:szCs w:val="24"/>
        </w:rPr>
      </w:pPr>
    </w:p>
    <w:p w14:paraId="330B29DA" w14:textId="77777777" w:rsidR="00CF62E7" w:rsidRDefault="00CF62E7" w:rsidP="00EB5D35">
      <w:pPr>
        <w:spacing w:after="0" w:line="360" w:lineRule="auto"/>
        <w:jc w:val="both"/>
        <w:rPr>
          <w:rFonts w:ascii="Segoe UI" w:hAnsi="Segoe UI" w:cs="Segoe UI"/>
          <w:sz w:val="24"/>
          <w:szCs w:val="24"/>
        </w:rPr>
      </w:pPr>
    </w:p>
    <w:p w14:paraId="4E51592D" w14:textId="77777777" w:rsidR="00CF62E7" w:rsidRDefault="00CF62E7" w:rsidP="00EB5D35">
      <w:pPr>
        <w:spacing w:after="0" w:line="360" w:lineRule="auto"/>
        <w:jc w:val="both"/>
        <w:rPr>
          <w:rFonts w:ascii="Segoe UI" w:hAnsi="Segoe UI" w:cs="Segoe UI"/>
          <w:sz w:val="24"/>
          <w:szCs w:val="24"/>
        </w:rPr>
      </w:pPr>
    </w:p>
    <w:p w14:paraId="428F93DE" w14:textId="77777777" w:rsidR="00946860" w:rsidRPr="001541CB" w:rsidRDefault="00946860" w:rsidP="00EB5D35">
      <w:pPr>
        <w:spacing w:after="0" w:line="360" w:lineRule="auto"/>
        <w:jc w:val="both"/>
        <w:rPr>
          <w:rFonts w:ascii="Segoe UI" w:hAnsi="Segoe UI" w:cs="Segoe UI"/>
          <w:sz w:val="24"/>
          <w:szCs w:val="24"/>
        </w:rPr>
      </w:pPr>
    </w:p>
    <w:p w14:paraId="4BA5029A" w14:textId="77777777" w:rsidR="00BE2D6A" w:rsidRDefault="001458A1" w:rsidP="002258EC">
      <w:pPr>
        <w:pStyle w:val="Listedestableaux"/>
        <w:rPr>
          <w:rFonts w:ascii="Segoe UI" w:hAnsi="Segoe UI" w:cs="Segoe UI"/>
          <w:sz w:val="24"/>
          <w:szCs w:val="24"/>
        </w:rPr>
      </w:pPr>
      <w:bookmarkStart w:id="46" w:name="_Toc435284864"/>
      <w:bookmarkStart w:id="47" w:name="_Toc435295631"/>
      <w:bookmarkStart w:id="48" w:name="_Toc442430621"/>
      <w:bookmarkStart w:id="49" w:name="_Toc481952117"/>
      <w:r w:rsidRPr="001541CB">
        <w:rPr>
          <w:rFonts w:ascii="Segoe UI" w:hAnsi="Segoe UI" w:cs="Segoe UI"/>
          <w:sz w:val="24"/>
          <w:szCs w:val="24"/>
          <w:u w:val="single"/>
        </w:rPr>
        <w:lastRenderedPageBreak/>
        <w:t xml:space="preserve">Tableau </w:t>
      </w:r>
      <w:r w:rsidR="001B1451" w:rsidRPr="001541CB">
        <w:rPr>
          <w:rFonts w:ascii="Segoe UI" w:hAnsi="Segoe UI" w:cs="Segoe UI"/>
          <w:sz w:val="24"/>
          <w:szCs w:val="24"/>
          <w:u w:val="single"/>
        </w:rPr>
        <w:t>8</w:t>
      </w:r>
      <w:r w:rsidR="00C8186D" w:rsidRPr="001541CB">
        <w:rPr>
          <w:rFonts w:ascii="Segoe UI" w:hAnsi="Segoe UI" w:cs="Segoe UI"/>
          <w:sz w:val="24"/>
          <w:szCs w:val="24"/>
        </w:rPr>
        <w:t xml:space="preserve">: Niveau de mobilisation des ressources de trésorerie par nature à fin </w:t>
      </w:r>
      <w:r w:rsidR="00792ACF" w:rsidRPr="001541CB">
        <w:rPr>
          <w:rFonts w:ascii="Segoe UI" w:hAnsi="Segoe UI" w:cs="Segoe UI"/>
          <w:sz w:val="24"/>
          <w:szCs w:val="24"/>
        </w:rPr>
        <w:t>mars</w:t>
      </w:r>
      <w:r w:rsidR="00C8186D" w:rsidRPr="001541CB">
        <w:rPr>
          <w:rFonts w:ascii="Segoe UI" w:hAnsi="Segoe UI" w:cs="Segoe UI"/>
          <w:sz w:val="24"/>
          <w:szCs w:val="24"/>
        </w:rPr>
        <w:t xml:space="preserve"> 201</w:t>
      </w:r>
      <w:bookmarkEnd w:id="46"/>
      <w:bookmarkEnd w:id="47"/>
      <w:bookmarkEnd w:id="48"/>
      <w:r w:rsidR="00A7332C" w:rsidRPr="001541CB">
        <w:rPr>
          <w:rFonts w:ascii="Segoe UI" w:hAnsi="Segoe UI" w:cs="Segoe UI"/>
          <w:sz w:val="24"/>
          <w:szCs w:val="24"/>
        </w:rPr>
        <w:t>7</w:t>
      </w:r>
      <w:bookmarkEnd w:id="49"/>
    </w:p>
    <w:p w14:paraId="1461ADC8" w14:textId="77777777" w:rsidR="00BE2D6A" w:rsidRPr="00BE2D6A" w:rsidRDefault="00BE2D6A" w:rsidP="00BE2D6A">
      <w:pPr>
        <w:pStyle w:val="Listedestableaux"/>
        <w:spacing w:line="240" w:lineRule="auto"/>
        <w:rPr>
          <w:rFonts w:ascii="Segoe UI" w:hAnsi="Segoe UI" w:cs="Segoe UI"/>
          <w:b w:val="0"/>
          <w:sz w:val="24"/>
          <w:szCs w:val="24"/>
        </w:rPr>
      </w:pPr>
      <w:r>
        <w:rPr>
          <w:rFonts w:ascii="Segoe UI" w:hAnsi="Segoe UI" w:cs="Segoe UI"/>
          <w:sz w:val="24"/>
          <w:szCs w:val="24"/>
        </w:rPr>
        <w:t xml:space="preserve">                                                                                          </w:t>
      </w:r>
      <w:bookmarkStart w:id="50" w:name="_Toc481952118"/>
      <w:r w:rsidRPr="00BE2D6A">
        <w:rPr>
          <w:rFonts w:ascii="Segoe UI" w:hAnsi="Segoe UI" w:cs="Segoe UI"/>
          <w:b w:val="0"/>
          <w:sz w:val="24"/>
          <w:szCs w:val="24"/>
        </w:rPr>
        <w:t>En millions de FCFA</w:t>
      </w:r>
      <w:bookmarkEnd w:id="50"/>
    </w:p>
    <w:tbl>
      <w:tblPr>
        <w:tblW w:w="9500" w:type="dxa"/>
        <w:tblInd w:w="55" w:type="dxa"/>
        <w:tblCellMar>
          <w:left w:w="70" w:type="dxa"/>
          <w:right w:w="70" w:type="dxa"/>
        </w:tblCellMar>
        <w:tblLook w:val="04A0" w:firstRow="1" w:lastRow="0" w:firstColumn="1" w:lastColumn="0" w:noHBand="0" w:noVBand="1"/>
      </w:tblPr>
      <w:tblGrid>
        <w:gridCol w:w="5380"/>
        <w:gridCol w:w="1336"/>
        <w:gridCol w:w="1584"/>
        <w:gridCol w:w="1200"/>
      </w:tblGrid>
      <w:tr w:rsidR="00BF5B98" w:rsidRPr="00882E5F" w14:paraId="2A010D6E" w14:textId="77777777" w:rsidTr="004162ED">
        <w:trPr>
          <w:trHeight w:val="315"/>
        </w:trPr>
        <w:tc>
          <w:tcPr>
            <w:tcW w:w="5380" w:type="dxa"/>
            <w:tcBorders>
              <w:top w:val="single" w:sz="4" w:space="0" w:color="auto"/>
              <w:left w:val="single" w:sz="4" w:space="0" w:color="auto"/>
              <w:bottom w:val="single" w:sz="4" w:space="0" w:color="auto"/>
              <w:right w:val="single" w:sz="4" w:space="0" w:color="auto"/>
            </w:tcBorders>
            <w:noWrap/>
            <w:vAlign w:val="bottom"/>
            <w:hideMark/>
          </w:tcPr>
          <w:p w14:paraId="02549159" w14:textId="77777777" w:rsidR="00BF5B98" w:rsidRPr="002E4977" w:rsidRDefault="00BF5B98" w:rsidP="004162ED">
            <w:pPr>
              <w:spacing w:after="0" w:line="240" w:lineRule="auto"/>
              <w:jc w:val="center"/>
              <w:rPr>
                <w:rFonts w:ascii="Segoe UI" w:hAnsi="Segoe UI" w:cs="Segoe UI"/>
                <w:b/>
                <w:bCs/>
                <w:sz w:val="20"/>
                <w:szCs w:val="20"/>
              </w:rPr>
            </w:pPr>
            <w:r w:rsidRPr="002E4977">
              <w:rPr>
                <w:rFonts w:ascii="Segoe UI" w:hAnsi="Segoe UI" w:cs="Segoe UI"/>
                <w:b/>
                <w:bCs/>
                <w:sz w:val="20"/>
                <w:szCs w:val="20"/>
              </w:rPr>
              <w:t>Nature</w:t>
            </w:r>
          </w:p>
        </w:tc>
        <w:tc>
          <w:tcPr>
            <w:tcW w:w="1336" w:type="dxa"/>
            <w:tcBorders>
              <w:top w:val="single" w:sz="4" w:space="0" w:color="auto"/>
              <w:left w:val="nil"/>
              <w:bottom w:val="single" w:sz="4" w:space="0" w:color="auto"/>
              <w:right w:val="single" w:sz="4" w:space="0" w:color="auto"/>
            </w:tcBorders>
            <w:noWrap/>
            <w:vAlign w:val="center"/>
            <w:hideMark/>
          </w:tcPr>
          <w:p w14:paraId="0158C5F3" w14:textId="77777777" w:rsidR="00BF5B98" w:rsidRPr="002E4977" w:rsidRDefault="00BF5B98" w:rsidP="004162ED">
            <w:pPr>
              <w:spacing w:after="0" w:line="240" w:lineRule="auto"/>
              <w:jc w:val="right"/>
              <w:rPr>
                <w:rFonts w:ascii="Segoe UI" w:hAnsi="Segoe UI" w:cs="Segoe UI"/>
                <w:b/>
                <w:bCs/>
                <w:sz w:val="20"/>
                <w:szCs w:val="20"/>
              </w:rPr>
            </w:pPr>
            <w:r w:rsidRPr="002E4977">
              <w:rPr>
                <w:rFonts w:ascii="Segoe UI" w:hAnsi="Segoe UI" w:cs="Segoe UI"/>
                <w:b/>
                <w:bCs/>
                <w:sz w:val="20"/>
                <w:szCs w:val="20"/>
              </w:rPr>
              <w:t>Prévisions</w:t>
            </w:r>
          </w:p>
        </w:tc>
        <w:tc>
          <w:tcPr>
            <w:tcW w:w="1584" w:type="dxa"/>
            <w:tcBorders>
              <w:top w:val="single" w:sz="4" w:space="0" w:color="auto"/>
              <w:left w:val="nil"/>
              <w:bottom w:val="single" w:sz="4" w:space="0" w:color="auto"/>
              <w:right w:val="single" w:sz="4" w:space="0" w:color="auto"/>
            </w:tcBorders>
            <w:noWrap/>
            <w:vAlign w:val="center"/>
            <w:hideMark/>
          </w:tcPr>
          <w:p w14:paraId="45AE9AC0" w14:textId="77777777" w:rsidR="00BF5B98" w:rsidRPr="002E4977" w:rsidRDefault="00BF5B98" w:rsidP="004162ED">
            <w:pPr>
              <w:spacing w:after="0" w:line="240" w:lineRule="auto"/>
              <w:jc w:val="right"/>
              <w:rPr>
                <w:rFonts w:ascii="Segoe UI" w:hAnsi="Segoe UI" w:cs="Segoe UI"/>
                <w:b/>
                <w:bCs/>
                <w:sz w:val="20"/>
                <w:szCs w:val="20"/>
              </w:rPr>
            </w:pPr>
            <w:r w:rsidRPr="002E4977">
              <w:rPr>
                <w:rFonts w:ascii="Segoe UI" w:hAnsi="Segoe UI" w:cs="Segoe UI"/>
                <w:b/>
                <w:bCs/>
                <w:sz w:val="20"/>
                <w:szCs w:val="20"/>
              </w:rPr>
              <w:t>Réalisations</w:t>
            </w:r>
          </w:p>
        </w:tc>
        <w:tc>
          <w:tcPr>
            <w:tcW w:w="1200" w:type="dxa"/>
            <w:tcBorders>
              <w:top w:val="single" w:sz="4" w:space="0" w:color="auto"/>
              <w:left w:val="nil"/>
              <w:bottom w:val="single" w:sz="4" w:space="0" w:color="auto"/>
              <w:right w:val="single" w:sz="4" w:space="0" w:color="auto"/>
            </w:tcBorders>
            <w:noWrap/>
            <w:vAlign w:val="center"/>
            <w:hideMark/>
          </w:tcPr>
          <w:p w14:paraId="56738D50" w14:textId="77777777" w:rsidR="00BF5B98" w:rsidRPr="002E4977" w:rsidRDefault="00BF5B98" w:rsidP="004162ED">
            <w:pPr>
              <w:spacing w:after="0" w:line="240" w:lineRule="auto"/>
              <w:jc w:val="center"/>
              <w:rPr>
                <w:rFonts w:ascii="Segoe UI" w:hAnsi="Segoe UI" w:cs="Segoe UI"/>
                <w:b/>
                <w:bCs/>
                <w:i/>
                <w:iCs/>
                <w:sz w:val="20"/>
                <w:szCs w:val="20"/>
              </w:rPr>
            </w:pPr>
            <w:r w:rsidRPr="002E4977">
              <w:rPr>
                <w:rFonts w:ascii="Segoe UI" w:hAnsi="Segoe UI" w:cs="Segoe UI"/>
                <w:b/>
                <w:bCs/>
                <w:i/>
                <w:iCs/>
                <w:sz w:val="20"/>
                <w:szCs w:val="20"/>
              </w:rPr>
              <w:t>Taux (%)</w:t>
            </w:r>
          </w:p>
        </w:tc>
      </w:tr>
      <w:tr w:rsidR="00BF5B98" w:rsidRPr="00882E5F" w14:paraId="28D8B219" w14:textId="77777777" w:rsidTr="004162ED">
        <w:trPr>
          <w:trHeight w:val="315"/>
        </w:trPr>
        <w:tc>
          <w:tcPr>
            <w:tcW w:w="5380" w:type="dxa"/>
            <w:tcBorders>
              <w:top w:val="nil"/>
              <w:left w:val="single" w:sz="4" w:space="0" w:color="auto"/>
              <w:bottom w:val="single" w:sz="4" w:space="0" w:color="auto"/>
              <w:right w:val="single" w:sz="4" w:space="0" w:color="auto"/>
            </w:tcBorders>
            <w:noWrap/>
            <w:vAlign w:val="bottom"/>
            <w:hideMark/>
          </w:tcPr>
          <w:p w14:paraId="056D06DD" w14:textId="77777777" w:rsidR="00BF5B98" w:rsidRPr="002E4977" w:rsidRDefault="00BF5B98" w:rsidP="004162ED">
            <w:pPr>
              <w:spacing w:after="0" w:line="240" w:lineRule="auto"/>
              <w:rPr>
                <w:rFonts w:ascii="Segoe UI" w:hAnsi="Segoe UI" w:cs="Segoe UI"/>
                <w:sz w:val="20"/>
                <w:szCs w:val="20"/>
              </w:rPr>
            </w:pPr>
            <w:r w:rsidRPr="002E4977">
              <w:rPr>
                <w:rFonts w:ascii="Segoe UI" w:hAnsi="Segoe UI" w:cs="Segoe UI"/>
                <w:sz w:val="20"/>
                <w:szCs w:val="20"/>
              </w:rPr>
              <w:t>Remboursement prêts et avances</w:t>
            </w:r>
          </w:p>
        </w:tc>
        <w:tc>
          <w:tcPr>
            <w:tcW w:w="1336" w:type="dxa"/>
            <w:tcBorders>
              <w:top w:val="nil"/>
              <w:left w:val="nil"/>
              <w:bottom w:val="single" w:sz="4" w:space="0" w:color="auto"/>
              <w:right w:val="single" w:sz="4" w:space="0" w:color="auto"/>
            </w:tcBorders>
            <w:noWrap/>
            <w:vAlign w:val="center"/>
            <w:hideMark/>
          </w:tcPr>
          <w:p w14:paraId="42ACEDDA" w14:textId="77777777" w:rsidR="00BF5B98" w:rsidRPr="002E4977" w:rsidRDefault="0031494D" w:rsidP="004162ED">
            <w:pPr>
              <w:spacing w:after="0" w:line="240" w:lineRule="auto"/>
              <w:jc w:val="right"/>
              <w:rPr>
                <w:rFonts w:ascii="Segoe UI" w:hAnsi="Segoe UI" w:cs="Segoe UI"/>
                <w:sz w:val="20"/>
                <w:szCs w:val="20"/>
              </w:rPr>
            </w:pPr>
            <w:r w:rsidRPr="002E4977">
              <w:rPr>
                <w:rFonts w:ascii="Segoe UI" w:hAnsi="Segoe UI" w:cs="Segoe UI"/>
                <w:sz w:val="20"/>
                <w:szCs w:val="20"/>
              </w:rPr>
              <w:t>947</w:t>
            </w:r>
          </w:p>
        </w:tc>
        <w:tc>
          <w:tcPr>
            <w:tcW w:w="1584" w:type="dxa"/>
            <w:tcBorders>
              <w:top w:val="nil"/>
              <w:left w:val="nil"/>
              <w:bottom w:val="single" w:sz="4" w:space="0" w:color="auto"/>
              <w:right w:val="single" w:sz="4" w:space="0" w:color="auto"/>
            </w:tcBorders>
            <w:noWrap/>
            <w:vAlign w:val="center"/>
            <w:hideMark/>
          </w:tcPr>
          <w:p w14:paraId="7F2DAC6B" w14:textId="77777777" w:rsidR="00BF5B98" w:rsidRPr="002E4977" w:rsidRDefault="00A50ED4" w:rsidP="00BF5B98">
            <w:pPr>
              <w:spacing w:after="0" w:line="240" w:lineRule="auto"/>
              <w:jc w:val="right"/>
              <w:rPr>
                <w:rFonts w:ascii="Segoe UI" w:hAnsi="Segoe UI" w:cs="Segoe UI"/>
                <w:sz w:val="20"/>
                <w:szCs w:val="20"/>
              </w:rPr>
            </w:pPr>
            <w:r w:rsidRPr="002E4977">
              <w:rPr>
                <w:rFonts w:ascii="Segoe UI" w:hAnsi="Segoe UI" w:cs="Segoe UI"/>
                <w:sz w:val="20"/>
                <w:szCs w:val="20"/>
              </w:rPr>
              <w:t>4,5</w:t>
            </w:r>
          </w:p>
        </w:tc>
        <w:tc>
          <w:tcPr>
            <w:tcW w:w="1200" w:type="dxa"/>
            <w:tcBorders>
              <w:top w:val="nil"/>
              <w:left w:val="nil"/>
              <w:bottom w:val="single" w:sz="4" w:space="0" w:color="auto"/>
              <w:right w:val="single" w:sz="4" w:space="0" w:color="auto"/>
            </w:tcBorders>
            <w:noWrap/>
            <w:vAlign w:val="center"/>
            <w:hideMark/>
          </w:tcPr>
          <w:p w14:paraId="163C781D" w14:textId="77777777" w:rsidR="00BF5B98" w:rsidRPr="002E4977" w:rsidRDefault="000409CC" w:rsidP="000409CC">
            <w:pPr>
              <w:spacing w:after="0" w:line="240" w:lineRule="auto"/>
              <w:jc w:val="center"/>
              <w:rPr>
                <w:rFonts w:ascii="Segoe UI" w:hAnsi="Segoe UI" w:cs="Segoe UI"/>
                <w:sz w:val="20"/>
                <w:szCs w:val="20"/>
              </w:rPr>
            </w:pPr>
            <w:r w:rsidRPr="002E4977">
              <w:rPr>
                <w:rFonts w:ascii="Segoe UI" w:hAnsi="Segoe UI" w:cs="Segoe UI"/>
                <w:sz w:val="20"/>
                <w:szCs w:val="20"/>
              </w:rPr>
              <w:t>0,5</w:t>
            </w:r>
          </w:p>
        </w:tc>
      </w:tr>
      <w:tr w:rsidR="00BF5B98" w:rsidRPr="00882E5F" w14:paraId="2E812232" w14:textId="77777777" w:rsidTr="002D2143">
        <w:trPr>
          <w:trHeight w:val="278"/>
        </w:trPr>
        <w:tc>
          <w:tcPr>
            <w:tcW w:w="5380" w:type="dxa"/>
            <w:tcBorders>
              <w:top w:val="nil"/>
              <w:left w:val="single" w:sz="4" w:space="0" w:color="auto"/>
              <w:bottom w:val="single" w:sz="4" w:space="0" w:color="auto"/>
              <w:right w:val="single" w:sz="4" w:space="0" w:color="auto"/>
            </w:tcBorders>
            <w:hideMark/>
          </w:tcPr>
          <w:p w14:paraId="1C354073" w14:textId="77777777" w:rsidR="00BF5B98" w:rsidRPr="002E4977" w:rsidRDefault="00BF5B98" w:rsidP="002D2143">
            <w:pPr>
              <w:spacing w:after="0" w:line="240" w:lineRule="auto"/>
              <w:jc w:val="center"/>
              <w:rPr>
                <w:rFonts w:ascii="Segoe UI" w:hAnsi="Segoe UI" w:cs="Segoe UI"/>
                <w:sz w:val="20"/>
                <w:szCs w:val="20"/>
              </w:rPr>
            </w:pPr>
            <w:r w:rsidRPr="002E4977">
              <w:rPr>
                <w:rFonts w:ascii="Segoe UI" w:hAnsi="Segoe UI" w:cs="Segoe UI"/>
                <w:sz w:val="20"/>
                <w:szCs w:val="20"/>
              </w:rPr>
              <w:t>Emission de dettes à moyen et long termes</w:t>
            </w:r>
          </w:p>
        </w:tc>
        <w:tc>
          <w:tcPr>
            <w:tcW w:w="1336" w:type="dxa"/>
            <w:tcBorders>
              <w:top w:val="nil"/>
              <w:left w:val="nil"/>
              <w:bottom w:val="single" w:sz="4" w:space="0" w:color="auto"/>
              <w:right w:val="single" w:sz="4" w:space="0" w:color="auto"/>
            </w:tcBorders>
            <w:noWrap/>
            <w:hideMark/>
          </w:tcPr>
          <w:p w14:paraId="41F64DAD" w14:textId="77777777" w:rsidR="00BF5B98" w:rsidRPr="002E4977" w:rsidRDefault="0097060D" w:rsidP="002D2143">
            <w:pPr>
              <w:spacing w:after="0" w:line="240" w:lineRule="auto"/>
              <w:jc w:val="center"/>
              <w:rPr>
                <w:rFonts w:ascii="Segoe UI" w:hAnsi="Segoe UI" w:cs="Segoe UI"/>
                <w:sz w:val="20"/>
                <w:szCs w:val="20"/>
              </w:rPr>
            </w:pPr>
            <w:r w:rsidRPr="002E4977">
              <w:rPr>
                <w:rFonts w:ascii="Segoe UI" w:hAnsi="Segoe UI" w:cs="Segoe UI"/>
                <w:sz w:val="20"/>
                <w:szCs w:val="20"/>
              </w:rPr>
              <w:t>285 300</w:t>
            </w:r>
          </w:p>
        </w:tc>
        <w:tc>
          <w:tcPr>
            <w:tcW w:w="1584" w:type="dxa"/>
            <w:tcBorders>
              <w:top w:val="nil"/>
              <w:left w:val="nil"/>
              <w:bottom w:val="single" w:sz="4" w:space="0" w:color="auto"/>
              <w:right w:val="single" w:sz="4" w:space="0" w:color="auto"/>
            </w:tcBorders>
            <w:noWrap/>
            <w:hideMark/>
          </w:tcPr>
          <w:p w14:paraId="210EADC8" w14:textId="77777777" w:rsidR="00BF5B98" w:rsidRPr="002E4977" w:rsidRDefault="00304BDA" w:rsidP="002D2143">
            <w:pPr>
              <w:spacing w:after="0" w:line="240" w:lineRule="auto"/>
              <w:jc w:val="center"/>
              <w:rPr>
                <w:rFonts w:ascii="Segoe UI" w:hAnsi="Segoe UI" w:cs="Segoe UI"/>
                <w:sz w:val="20"/>
                <w:szCs w:val="20"/>
              </w:rPr>
            </w:pPr>
            <w:r w:rsidRPr="002E4977">
              <w:rPr>
                <w:rFonts w:ascii="Segoe UI" w:hAnsi="Segoe UI" w:cs="Segoe UI"/>
                <w:sz w:val="20"/>
                <w:szCs w:val="20"/>
              </w:rPr>
              <w:t>37 268,5</w:t>
            </w:r>
          </w:p>
        </w:tc>
        <w:tc>
          <w:tcPr>
            <w:tcW w:w="1200" w:type="dxa"/>
            <w:tcBorders>
              <w:top w:val="nil"/>
              <w:left w:val="nil"/>
              <w:bottom w:val="single" w:sz="4" w:space="0" w:color="auto"/>
              <w:right w:val="single" w:sz="4" w:space="0" w:color="auto"/>
            </w:tcBorders>
            <w:noWrap/>
            <w:hideMark/>
          </w:tcPr>
          <w:p w14:paraId="4B2D9385" w14:textId="77777777" w:rsidR="00BF5B98" w:rsidRPr="002E4977" w:rsidRDefault="003D44D1" w:rsidP="002D2143">
            <w:pPr>
              <w:spacing w:after="0" w:line="240" w:lineRule="auto"/>
              <w:jc w:val="center"/>
              <w:rPr>
                <w:rFonts w:ascii="Segoe UI" w:hAnsi="Segoe UI" w:cs="Segoe UI"/>
                <w:sz w:val="20"/>
                <w:szCs w:val="20"/>
              </w:rPr>
            </w:pPr>
            <w:r w:rsidRPr="002E4977">
              <w:rPr>
                <w:rFonts w:ascii="Segoe UI" w:hAnsi="Segoe UI" w:cs="Segoe UI"/>
                <w:sz w:val="20"/>
                <w:szCs w:val="20"/>
              </w:rPr>
              <w:t>13,1</w:t>
            </w:r>
          </w:p>
        </w:tc>
      </w:tr>
      <w:tr w:rsidR="00BF5B98" w:rsidRPr="00882E5F" w14:paraId="11AAC63A" w14:textId="77777777" w:rsidTr="004A1038">
        <w:trPr>
          <w:trHeight w:val="465"/>
        </w:trPr>
        <w:tc>
          <w:tcPr>
            <w:tcW w:w="5380" w:type="dxa"/>
            <w:tcBorders>
              <w:top w:val="nil"/>
              <w:left w:val="single" w:sz="4" w:space="0" w:color="auto"/>
              <w:bottom w:val="single" w:sz="4" w:space="0" w:color="auto"/>
              <w:right w:val="single" w:sz="4" w:space="0" w:color="auto"/>
            </w:tcBorders>
            <w:vAlign w:val="center"/>
          </w:tcPr>
          <w:p w14:paraId="2B099994" w14:textId="77777777" w:rsidR="00BF5B98" w:rsidRPr="002E4977" w:rsidRDefault="00BF5B98" w:rsidP="004162ED">
            <w:pPr>
              <w:spacing w:after="0" w:line="240" w:lineRule="auto"/>
              <w:rPr>
                <w:rFonts w:ascii="Segoe UI" w:hAnsi="Segoe UI" w:cs="Segoe UI"/>
                <w:i/>
                <w:sz w:val="20"/>
                <w:szCs w:val="20"/>
              </w:rPr>
            </w:pPr>
            <w:r w:rsidRPr="002E4977">
              <w:rPr>
                <w:rFonts w:ascii="Segoe UI" w:hAnsi="Segoe UI" w:cs="Segoe UI"/>
                <w:i/>
                <w:sz w:val="20"/>
                <w:szCs w:val="20"/>
              </w:rPr>
              <w:t xml:space="preserve">        Emprunt extérieur (prêts et dons)</w:t>
            </w:r>
          </w:p>
        </w:tc>
        <w:tc>
          <w:tcPr>
            <w:tcW w:w="1336" w:type="dxa"/>
            <w:tcBorders>
              <w:top w:val="nil"/>
              <w:left w:val="nil"/>
              <w:bottom w:val="single" w:sz="4" w:space="0" w:color="auto"/>
              <w:right w:val="single" w:sz="4" w:space="0" w:color="auto"/>
            </w:tcBorders>
            <w:noWrap/>
            <w:vAlign w:val="center"/>
          </w:tcPr>
          <w:p w14:paraId="2A558C32" w14:textId="77777777" w:rsidR="00BF5B98" w:rsidRPr="002E4977" w:rsidRDefault="0031494D" w:rsidP="004162ED">
            <w:pPr>
              <w:spacing w:after="0" w:line="240" w:lineRule="auto"/>
              <w:jc w:val="right"/>
              <w:rPr>
                <w:rFonts w:ascii="Segoe UI" w:hAnsi="Segoe UI" w:cs="Segoe UI"/>
                <w:i/>
                <w:sz w:val="20"/>
                <w:szCs w:val="20"/>
              </w:rPr>
            </w:pPr>
            <w:r w:rsidRPr="002E4977">
              <w:rPr>
                <w:rFonts w:ascii="Segoe UI" w:hAnsi="Segoe UI" w:cs="Segoe UI"/>
                <w:i/>
                <w:sz w:val="20"/>
                <w:szCs w:val="20"/>
              </w:rPr>
              <w:t>210 300</w:t>
            </w:r>
          </w:p>
        </w:tc>
        <w:tc>
          <w:tcPr>
            <w:tcW w:w="1584" w:type="dxa"/>
            <w:tcBorders>
              <w:top w:val="nil"/>
              <w:left w:val="nil"/>
              <w:bottom w:val="single" w:sz="4" w:space="0" w:color="auto"/>
              <w:right w:val="single" w:sz="4" w:space="0" w:color="auto"/>
            </w:tcBorders>
            <w:noWrap/>
            <w:vAlign w:val="center"/>
          </w:tcPr>
          <w:p w14:paraId="2EF0344E" w14:textId="77777777" w:rsidR="00BF5B98" w:rsidRPr="002E4977" w:rsidRDefault="00304BDA" w:rsidP="003D5AA4">
            <w:pPr>
              <w:spacing w:after="0" w:line="240" w:lineRule="auto"/>
              <w:jc w:val="right"/>
              <w:rPr>
                <w:rFonts w:ascii="Segoe UI" w:hAnsi="Segoe UI" w:cs="Segoe UI"/>
                <w:i/>
                <w:sz w:val="20"/>
                <w:szCs w:val="20"/>
              </w:rPr>
            </w:pPr>
            <w:r w:rsidRPr="002E4977">
              <w:rPr>
                <w:rFonts w:ascii="Segoe UI" w:hAnsi="Segoe UI" w:cs="Segoe UI"/>
                <w:i/>
                <w:sz w:val="20"/>
                <w:szCs w:val="20"/>
              </w:rPr>
              <w:t>29 318,9</w:t>
            </w:r>
          </w:p>
        </w:tc>
        <w:tc>
          <w:tcPr>
            <w:tcW w:w="1200" w:type="dxa"/>
            <w:tcBorders>
              <w:top w:val="nil"/>
              <w:left w:val="nil"/>
              <w:bottom w:val="single" w:sz="4" w:space="0" w:color="auto"/>
              <w:right w:val="single" w:sz="4" w:space="0" w:color="auto"/>
            </w:tcBorders>
            <w:noWrap/>
            <w:vAlign w:val="center"/>
          </w:tcPr>
          <w:p w14:paraId="50135B84" w14:textId="77777777" w:rsidR="00BF5B98" w:rsidRPr="002E4977" w:rsidRDefault="003D44D1" w:rsidP="003D5AA4">
            <w:pPr>
              <w:spacing w:after="0" w:line="240" w:lineRule="auto"/>
              <w:jc w:val="center"/>
              <w:rPr>
                <w:rFonts w:ascii="Segoe UI" w:hAnsi="Segoe UI" w:cs="Segoe UI"/>
                <w:i/>
                <w:sz w:val="20"/>
                <w:szCs w:val="20"/>
              </w:rPr>
            </w:pPr>
            <w:r w:rsidRPr="002E4977">
              <w:rPr>
                <w:rFonts w:ascii="Segoe UI" w:hAnsi="Segoe UI" w:cs="Segoe UI"/>
                <w:i/>
                <w:sz w:val="20"/>
                <w:szCs w:val="20"/>
              </w:rPr>
              <w:t>17</w:t>
            </w:r>
            <w:r w:rsidR="002F0468" w:rsidRPr="002E4977">
              <w:rPr>
                <w:rFonts w:ascii="Segoe UI" w:hAnsi="Segoe UI" w:cs="Segoe UI"/>
                <w:i/>
                <w:sz w:val="20"/>
                <w:szCs w:val="20"/>
              </w:rPr>
              <w:t>,0</w:t>
            </w:r>
          </w:p>
        </w:tc>
      </w:tr>
      <w:tr w:rsidR="00BF5B98" w:rsidRPr="00882E5F" w14:paraId="296F7442" w14:textId="77777777" w:rsidTr="004A1038">
        <w:trPr>
          <w:trHeight w:val="416"/>
        </w:trPr>
        <w:tc>
          <w:tcPr>
            <w:tcW w:w="5380" w:type="dxa"/>
            <w:tcBorders>
              <w:top w:val="nil"/>
              <w:left w:val="single" w:sz="4" w:space="0" w:color="auto"/>
              <w:bottom w:val="single" w:sz="4" w:space="0" w:color="auto"/>
              <w:right w:val="single" w:sz="4" w:space="0" w:color="auto"/>
            </w:tcBorders>
            <w:vAlign w:val="center"/>
          </w:tcPr>
          <w:p w14:paraId="5F83486E" w14:textId="77777777" w:rsidR="00BF5B98" w:rsidRPr="002E4977" w:rsidRDefault="00BF5B98" w:rsidP="004162ED">
            <w:pPr>
              <w:spacing w:after="0" w:line="240" w:lineRule="auto"/>
              <w:rPr>
                <w:rFonts w:ascii="Segoe UI" w:hAnsi="Segoe UI" w:cs="Segoe UI"/>
                <w:i/>
                <w:sz w:val="20"/>
                <w:szCs w:val="20"/>
              </w:rPr>
            </w:pPr>
            <w:r w:rsidRPr="002E4977">
              <w:rPr>
                <w:rFonts w:ascii="Segoe UI" w:hAnsi="Segoe UI" w:cs="Segoe UI"/>
                <w:i/>
                <w:sz w:val="20"/>
                <w:szCs w:val="20"/>
              </w:rPr>
              <w:t xml:space="preserve">        Financement banques locales</w:t>
            </w:r>
          </w:p>
        </w:tc>
        <w:tc>
          <w:tcPr>
            <w:tcW w:w="1336" w:type="dxa"/>
            <w:tcBorders>
              <w:top w:val="nil"/>
              <w:left w:val="nil"/>
              <w:bottom w:val="single" w:sz="4" w:space="0" w:color="auto"/>
              <w:right w:val="single" w:sz="4" w:space="0" w:color="auto"/>
            </w:tcBorders>
            <w:noWrap/>
            <w:vAlign w:val="center"/>
          </w:tcPr>
          <w:p w14:paraId="4A7E87FD" w14:textId="77777777" w:rsidR="00BF5B98" w:rsidRPr="002E4977" w:rsidRDefault="0031494D" w:rsidP="004162ED">
            <w:pPr>
              <w:spacing w:after="0" w:line="240" w:lineRule="auto"/>
              <w:jc w:val="right"/>
              <w:rPr>
                <w:rFonts w:ascii="Segoe UI" w:hAnsi="Segoe UI" w:cs="Segoe UI"/>
                <w:i/>
                <w:sz w:val="20"/>
                <w:szCs w:val="20"/>
              </w:rPr>
            </w:pPr>
            <w:r w:rsidRPr="002E4977">
              <w:rPr>
                <w:rFonts w:ascii="Segoe UI" w:hAnsi="Segoe UI" w:cs="Segoe UI"/>
                <w:i/>
                <w:sz w:val="20"/>
                <w:szCs w:val="20"/>
              </w:rPr>
              <w:t>75 000</w:t>
            </w:r>
          </w:p>
        </w:tc>
        <w:tc>
          <w:tcPr>
            <w:tcW w:w="1584" w:type="dxa"/>
            <w:tcBorders>
              <w:top w:val="nil"/>
              <w:left w:val="nil"/>
              <w:bottom w:val="single" w:sz="4" w:space="0" w:color="auto"/>
              <w:right w:val="single" w:sz="4" w:space="0" w:color="auto"/>
            </w:tcBorders>
            <w:noWrap/>
            <w:vAlign w:val="center"/>
          </w:tcPr>
          <w:p w14:paraId="7333E18E" w14:textId="77777777" w:rsidR="00BF5B98" w:rsidRPr="002E4977" w:rsidRDefault="00304BDA" w:rsidP="003D5AA4">
            <w:pPr>
              <w:spacing w:after="0" w:line="240" w:lineRule="auto"/>
              <w:jc w:val="right"/>
              <w:rPr>
                <w:rFonts w:ascii="Segoe UI" w:hAnsi="Segoe UI" w:cs="Segoe UI"/>
                <w:i/>
                <w:sz w:val="20"/>
                <w:szCs w:val="20"/>
              </w:rPr>
            </w:pPr>
            <w:r w:rsidRPr="002E4977">
              <w:rPr>
                <w:rFonts w:ascii="Segoe UI" w:hAnsi="Segoe UI" w:cs="Segoe UI"/>
                <w:i/>
                <w:sz w:val="20"/>
                <w:szCs w:val="20"/>
              </w:rPr>
              <w:t>7 949,6</w:t>
            </w:r>
          </w:p>
        </w:tc>
        <w:tc>
          <w:tcPr>
            <w:tcW w:w="1200" w:type="dxa"/>
            <w:tcBorders>
              <w:top w:val="nil"/>
              <w:left w:val="nil"/>
              <w:bottom w:val="single" w:sz="4" w:space="0" w:color="auto"/>
              <w:right w:val="single" w:sz="4" w:space="0" w:color="auto"/>
            </w:tcBorders>
            <w:noWrap/>
            <w:vAlign w:val="center"/>
          </w:tcPr>
          <w:p w14:paraId="2860ECF6" w14:textId="77777777" w:rsidR="00BF5B98" w:rsidRPr="002E4977" w:rsidRDefault="003D44D1" w:rsidP="00694E5E">
            <w:pPr>
              <w:spacing w:after="0" w:line="240" w:lineRule="auto"/>
              <w:jc w:val="center"/>
              <w:rPr>
                <w:rFonts w:ascii="Segoe UI" w:hAnsi="Segoe UI" w:cs="Segoe UI"/>
                <w:i/>
                <w:sz w:val="20"/>
                <w:szCs w:val="20"/>
              </w:rPr>
            </w:pPr>
            <w:r w:rsidRPr="002E4977">
              <w:rPr>
                <w:rFonts w:ascii="Segoe UI" w:hAnsi="Segoe UI" w:cs="Segoe UI"/>
                <w:i/>
                <w:sz w:val="20"/>
                <w:szCs w:val="20"/>
              </w:rPr>
              <w:t>10,6</w:t>
            </w:r>
          </w:p>
        </w:tc>
      </w:tr>
      <w:tr w:rsidR="00BF5B98" w:rsidRPr="00882E5F" w14:paraId="4AC231C3" w14:textId="77777777" w:rsidTr="004162ED">
        <w:trPr>
          <w:trHeight w:val="315"/>
        </w:trPr>
        <w:tc>
          <w:tcPr>
            <w:tcW w:w="5380" w:type="dxa"/>
            <w:tcBorders>
              <w:top w:val="nil"/>
              <w:left w:val="single" w:sz="4" w:space="0" w:color="auto"/>
              <w:bottom w:val="single" w:sz="4" w:space="0" w:color="auto"/>
              <w:right w:val="single" w:sz="4" w:space="0" w:color="auto"/>
            </w:tcBorders>
            <w:noWrap/>
            <w:vAlign w:val="bottom"/>
            <w:hideMark/>
          </w:tcPr>
          <w:p w14:paraId="33CBC81E" w14:textId="77777777" w:rsidR="00BF5B98" w:rsidRPr="002E4977" w:rsidRDefault="00BF5B98" w:rsidP="004162ED">
            <w:pPr>
              <w:spacing w:after="0" w:line="240" w:lineRule="auto"/>
              <w:rPr>
                <w:rFonts w:ascii="Segoe UI" w:hAnsi="Segoe UI" w:cs="Segoe UI"/>
                <w:sz w:val="20"/>
                <w:szCs w:val="20"/>
              </w:rPr>
            </w:pPr>
            <w:r w:rsidRPr="002E4977">
              <w:rPr>
                <w:rFonts w:ascii="Segoe UI" w:hAnsi="Segoe UI" w:cs="Segoe UI"/>
                <w:sz w:val="20"/>
                <w:szCs w:val="20"/>
              </w:rPr>
              <w:t>Autres ressources de trésorerie</w:t>
            </w:r>
          </w:p>
        </w:tc>
        <w:tc>
          <w:tcPr>
            <w:tcW w:w="1336" w:type="dxa"/>
            <w:tcBorders>
              <w:top w:val="nil"/>
              <w:left w:val="nil"/>
              <w:bottom w:val="single" w:sz="4" w:space="0" w:color="auto"/>
              <w:right w:val="single" w:sz="4" w:space="0" w:color="auto"/>
            </w:tcBorders>
            <w:noWrap/>
            <w:vAlign w:val="center"/>
            <w:hideMark/>
          </w:tcPr>
          <w:p w14:paraId="2BC8ECF5" w14:textId="77777777" w:rsidR="00BF5B98" w:rsidRPr="002E4977" w:rsidRDefault="0097060D" w:rsidP="00456FC1">
            <w:pPr>
              <w:spacing w:after="0" w:line="240" w:lineRule="auto"/>
              <w:jc w:val="right"/>
              <w:rPr>
                <w:rFonts w:ascii="Segoe UI" w:hAnsi="Segoe UI" w:cs="Segoe UI"/>
                <w:sz w:val="20"/>
                <w:szCs w:val="20"/>
              </w:rPr>
            </w:pPr>
            <w:r w:rsidRPr="002E4977">
              <w:rPr>
                <w:rFonts w:ascii="Segoe UI" w:hAnsi="Segoe UI" w:cs="Segoe UI"/>
                <w:sz w:val="20"/>
                <w:szCs w:val="20"/>
              </w:rPr>
              <w:t>716 614</w:t>
            </w:r>
          </w:p>
        </w:tc>
        <w:tc>
          <w:tcPr>
            <w:tcW w:w="1584" w:type="dxa"/>
            <w:tcBorders>
              <w:top w:val="nil"/>
              <w:left w:val="nil"/>
              <w:bottom w:val="single" w:sz="4" w:space="0" w:color="auto"/>
              <w:right w:val="single" w:sz="4" w:space="0" w:color="auto"/>
            </w:tcBorders>
            <w:noWrap/>
            <w:vAlign w:val="center"/>
            <w:hideMark/>
          </w:tcPr>
          <w:p w14:paraId="56374679" w14:textId="77777777" w:rsidR="00BF5B98" w:rsidRPr="002E4977" w:rsidRDefault="00AA1D88" w:rsidP="004162ED">
            <w:pPr>
              <w:spacing w:after="0" w:line="240" w:lineRule="auto"/>
              <w:jc w:val="right"/>
              <w:rPr>
                <w:rFonts w:ascii="Segoe UI" w:hAnsi="Segoe UI" w:cs="Segoe UI"/>
                <w:sz w:val="20"/>
                <w:szCs w:val="20"/>
              </w:rPr>
            </w:pPr>
            <w:r w:rsidRPr="002E4977">
              <w:rPr>
                <w:rFonts w:ascii="Segoe UI" w:hAnsi="Segoe UI" w:cs="Segoe UI"/>
                <w:i/>
                <w:sz w:val="20"/>
                <w:szCs w:val="20"/>
              </w:rPr>
              <w:t>79 662,0</w:t>
            </w:r>
          </w:p>
        </w:tc>
        <w:tc>
          <w:tcPr>
            <w:tcW w:w="1200" w:type="dxa"/>
            <w:tcBorders>
              <w:top w:val="nil"/>
              <w:left w:val="nil"/>
              <w:bottom w:val="single" w:sz="4" w:space="0" w:color="auto"/>
              <w:right w:val="single" w:sz="4" w:space="0" w:color="auto"/>
            </w:tcBorders>
            <w:noWrap/>
            <w:vAlign w:val="center"/>
            <w:hideMark/>
          </w:tcPr>
          <w:p w14:paraId="21977723" w14:textId="77777777" w:rsidR="00BF5B98" w:rsidRPr="002E4977" w:rsidRDefault="007E7DD1" w:rsidP="00456FC1">
            <w:pPr>
              <w:spacing w:after="0" w:line="240" w:lineRule="auto"/>
              <w:jc w:val="center"/>
              <w:rPr>
                <w:rFonts w:ascii="Segoe UI" w:hAnsi="Segoe UI" w:cs="Segoe UI"/>
                <w:sz w:val="20"/>
                <w:szCs w:val="20"/>
              </w:rPr>
            </w:pPr>
            <w:r w:rsidRPr="002E4977">
              <w:rPr>
                <w:rFonts w:ascii="Segoe UI" w:hAnsi="Segoe UI" w:cs="Segoe UI"/>
                <w:sz w:val="20"/>
                <w:szCs w:val="20"/>
              </w:rPr>
              <w:t>11,1</w:t>
            </w:r>
          </w:p>
        </w:tc>
      </w:tr>
      <w:tr w:rsidR="00BF5B98" w:rsidRPr="00882E5F" w14:paraId="14FBB8AA" w14:textId="77777777" w:rsidTr="004162ED">
        <w:trPr>
          <w:trHeight w:val="315"/>
        </w:trPr>
        <w:tc>
          <w:tcPr>
            <w:tcW w:w="5380" w:type="dxa"/>
            <w:tcBorders>
              <w:top w:val="nil"/>
              <w:left w:val="single" w:sz="4" w:space="0" w:color="auto"/>
              <w:bottom w:val="single" w:sz="4" w:space="0" w:color="auto"/>
              <w:right w:val="single" w:sz="4" w:space="0" w:color="auto"/>
            </w:tcBorders>
            <w:noWrap/>
            <w:vAlign w:val="bottom"/>
          </w:tcPr>
          <w:p w14:paraId="16FBDA96" w14:textId="77777777" w:rsidR="00BF5B98" w:rsidRPr="002E4977" w:rsidRDefault="00BF5B98" w:rsidP="004162ED">
            <w:pPr>
              <w:spacing w:after="0" w:line="240" w:lineRule="auto"/>
              <w:rPr>
                <w:rFonts w:ascii="Segoe UI" w:hAnsi="Segoe UI" w:cs="Segoe UI"/>
                <w:i/>
                <w:sz w:val="20"/>
                <w:szCs w:val="20"/>
              </w:rPr>
            </w:pPr>
            <w:r w:rsidRPr="002E4977">
              <w:rPr>
                <w:rFonts w:ascii="Segoe UI" w:hAnsi="Segoe UI" w:cs="Segoe UI"/>
                <w:i/>
                <w:sz w:val="20"/>
                <w:szCs w:val="20"/>
              </w:rPr>
              <w:t xml:space="preserve">        Obligations du trésor</w:t>
            </w:r>
          </w:p>
        </w:tc>
        <w:tc>
          <w:tcPr>
            <w:tcW w:w="1336" w:type="dxa"/>
            <w:tcBorders>
              <w:top w:val="nil"/>
              <w:left w:val="nil"/>
              <w:bottom w:val="single" w:sz="4" w:space="0" w:color="auto"/>
              <w:right w:val="single" w:sz="4" w:space="0" w:color="auto"/>
            </w:tcBorders>
            <w:noWrap/>
            <w:vAlign w:val="center"/>
          </w:tcPr>
          <w:p w14:paraId="56FD70AD" w14:textId="77777777" w:rsidR="00BF5B98" w:rsidRPr="002E4977" w:rsidRDefault="0097060D" w:rsidP="004162ED">
            <w:pPr>
              <w:spacing w:after="0" w:line="240" w:lineRule="auto"/>
              <w:jc w:val="right"/>
              <w:rPr>
                <w:rFonts w:ascii="Segoe UI" w:hAnsi="Segoe UI" w:cs="Segoe UI"/>
                <w:i/>
                <w:sz w:val="20"/>
                <w:szCs w:val="20"/>
              </w:rPr>
            </w:pPr>
            <w:r w:rsidRPr="002E4977">
              <w:rPr>
                <w:rFonts w:ascii="Segoe UI" w:hAnsi="Segoe UI" w:cs="Segoe UI"/>
                <w:i/>
                <w:sz w:val="20"/>
                <w:szCs w:val="20"/>
              </w:rPr>
              <w:t>542 314</w:t>
            </w:r>
          </w:p>
        </w:tc>
        <w:tc>
          <w:tcPr>
            <w:tcW w:w="1584" w:type="dxa"/>
            <w:tcBorders>
              <w:top w:val="nil"/>
              <w:left w:val="nil"/>
              <w:bottom w:val="single" w:sz="4" w:space="0" w:color="auto"/>
              <w:right w:val="single" w:sz="4" w:space="0" w:color="auto"/>
            </w:tcBorders>
            <w:noWrap/>
            <w:vAlign w:val="center"/>
          </w:tcPr>
          <w:p w14:paraId="53D881ED" w14:textId="77777777" w:rsidR="00BF5B98" w:rsidRPr="002E4977" w:rsidRDefault="00AF7B2C" w:rsidP="004162ED">
            <w:pPr>
              <w:spacing w:after="0" w:line="240" w:lineRule="auto"/>
              <w:jc w:val="right"/>
              <w:rPr>
                <w:rFonts w:ascii="Segoe UI" w:hAnsi="Segoe UI" w:cs="Segoe UI"/>
                <w:i/>
                <w:sz w:val="20"/>
                <w:szCs w:val="20"/>
              </w:rPr>
            </w:pPr>
            <w:r w:rsidRPr="002E4977">
              <w:rPr>
                <w:rFonts w:ascii="Segoe UI" w:hAnsi="Segoe UI" w:cs="Segoe UI"/>
                <w:i/>
                <w:sz w:val="20"/>
                <w:szCs w:val="20"/>
              </w:rPr>
              <w:t>0,0</w:t>
            </w:r>
          </w:p>
        </w:tc>
        <w:tc>
          <w:tcPr>
            <w:tcW w:w="1200" w:type="dxa"/>
            <w:tcBorders>
              <w:top w:val="nil"/>
              <w:left w:val="nil"/>
              <w:bottom w:val="single" w:sz="4" w:space="0" w:color="auto"/>
              <w:right w:val="single" w:sz="4" w:space="0" w:color="auto"/>
            </w:tcBorders>
            <w:noWrap/>
            <w:vAlign w:val="center"/>
          </w:tcPr>
          <w:p w14:paraId="33FD3C36" w14:textId="77777777" w:rsidR="00BF5B98" w:rsidRPr="002E4977" w:rsidRDefault="003D44D1" w:rsidP="003D44D1">
            <w:pPr>
              <w:spacing w:after="0" w:line="240" w:lineRule="auto"/>
              <w:jc w:val="center"/>
              <w:rPr>
                <w:rFonts w:ascii="Segoe UI" w:hAnsi="Segoe UI" w:cs="Segoe UI"/>
                <w:i/>
                <w:sz w:val="20"/>
                <w:szCs w:val="20"/>
              </w:rPr>
            </w:pPr>
            <w:r w:rsidRPr="002E4977">
              <w:rPr>
                <w:rFonts w:ascii="Segoe UI" w:hAnsi="Segoe UI" w:cs="Segoe UI"/>
                <w:i/>
                <w:sz w:val="20"/>
                <w:szCs w:val="20"/>
              </w:rPr>
              <w:t>0,0</w:t>
            </w:r>
          </w:p>
        </w:tc>
      </w:tr>
      <w:tr w:rsidR="00BF5B98" w:rsidRPr="00882E5F" w14:paraId="0A818C50" w14:textId="77777777" w:rsidTr="004162ED">
        <w:trPr>
          <w:trHeight w:val="315"/>
        </w:trPr>
        <w:tc>
          <w:tcPr>
            <w:tcW w:w="5380" w:type="dxa"/>
            <w:tcBorders>
              <w:top w:val="nil"/>
              <w:left w:val="single" w:sz="4" w:space="0" w:color="auto"/>
              <w:bottom w:val="single" w:sz="4" w:space="0" w:color="auto"/>
              <w:right w:val="single" w:sz="4" w:space="0" w:color="auto"/>
            </w:tcBorders>
            <w:noWrap/>
            <w:vAlign w:val="bottom"/>
          </w:tcPr>
          <w:p w14:paraId="17E80B75" w14:textId="77777777" w:rsidR="00BF5B98" w:rsidRPr="002E4977" w:rsidRDefault="00BF5B98" w:rsidP="004162ED">
            <w:pPr>
              <w:spacing w:after="0" w:line="240" w:lineRule="auto"/>
              <w:rPr>
                <w:rFonts w:ascii="Segoe UI" w:hAnsi="Segoe UI" w:cs="Segoe UI"/>
                <w:i/>
                <w:sz w:val="20"/>
                <w:szCs w:val="20"/>
              </w:rPr>
            </w:pPr>
            <w:r w:rsidRPr="002E4977">
              <w:rPr>
                <w:rFonts w:ascii="Segoe UI" w:hAnsi="Segoe UI" w:cs="Segoe UI"/>
                <w:i/>
                <w:sz w:val="20"/>
                <w:szCs w:val="20"/>
              </w:rPr>
              <w:t xml:space="preserve">        Bons du trésor</w:t>
            </w:r>
          </w:p>
        </w:tc>
        <w:tc>
          <w:tcPr>
            <w:tcW w:w="1336" w:type="dxa"/>
            <w:tcBorders>
              <w:top w:val="nil"/>
              <w:left w:val="nil"/>
              <w:bottom w:val="single" w:sz="4" w:space="0" w:color="auto"/>
              <w:right w:val="single" w:sz="4" w:space="0" w:color="auto"/>
            </w:tcBorders>
            <w:noWrap/>
            <w:vAlign w:val="center"/>
          </w:tcPr>
          <w:p w14:paraId="3C0C35BC" w14:textId="77777777" w:rsidR="00BF5B98" w:rsidRPr="002E4977" w:rsidRDefault="0097060D" w:rsidP="004162ED">
            <w:pPr>
              <w:spacing w:after="0" w:line="240" w:lineRule="auto"/>
              <w:jc w:val="right"/>
              <w:rPr>
                <w:rFonts w:ascii="Segoe UI" w:hAnsi="Segoe UI" w:cs="Segoe UI"/>
                <w:i/>
                <w:sz w:val="20"/>
                <w:szCs w:val="20"/>
              </w:rPr>
            </w:pPr>
            <w:r w:rsidRPr="002E4977">
              <w:rPr>
                <w:rFonts w:ascii="Segoe UI" w:hAnsi="Segoe UI" w:cs="Segoe UI"/>
                <w:i/>
                <w:sz w:val="20"/>
                <w:szCs w:val="20"/>
              </w:rPr>
              <w:t>174 300</w:t>
            </w:r>
          </w:p>
        </w:tc>
        <w:tc>
          <w:tcPr>
            <w:tcW w:w="1584" w:type="dxa"/>
            <w:tcBorders>
              <w:top w:val="nil"/>
              <w:left w:val="nil"/>
              <w:bottom w:val="single" w:sz="4" w:space="0" w:color="auto"/>
              <w:right w:val="single" w:sz="4" w:space="0" w:color="auto"/>
            </w:tcBorders>
            <w:noWrap/>
            <w:vAlign w:val="center"/>
          </w:tcPr>
          <w:p w14:paraId="3B7649E9" w14:textId="77777777" w:rsidR="00BF5B98" w:rsidRPr="002E4977" w:rsidRDefault="00A50ED4" w:rsidP="004162ED">
            <w:pPr>
              <w:spacing w:after="0" w:line="240" w:lineRule="auto"/>
              <w:jc w:val="right"/>
              <w:rPr>
                <w:rFonts w:ascii="Segoe UI" w:hAnsi="Segoe UI" w:cs="Segoe UI"/>
                <w:i/>
                <w:sz w:val="20"/>
                <w:szCs w:val="20"/>
              </w:rPr>
            </w:pPr>
            <w:r w:rsidRPr="002E4977">
              <w:rPr>
                <w:rFonts w:ascii="Segoe UI" w:hAnsi="Segoe UI" w:cs="Segoe UI"/>
                <w:i/>
                <w:sz w:val="20"/>
                <w:szCs w:val="20"/>
              </w:rPr>
              <w:t>79 662,0</w:t>
            </w:r>
          </w:p>
        </w:tc>
        <w:tc>
          <w:tcPr>
            <w:tcW w:w="1200" w:type="dxa"/>
            <w:tcBorders>
              <w:top w:val="nil"/>
              <w:left w:val="nil"/>
              <w:bottom w:val="single" w:sz="4" w:space="0" w:color="auto"/>
              <w:right w:val="single" w:sz="4" w:space="0" w:color="auto"/>
            </w:tcBorders>
            <w:noWrap/>
            <w:vAlign w:val="center"/>
          </w:tcPr>
          <w:p w14:paraId="43FE369A" w14:textId="77777777" w:rsidR="00BF5B98" w:rsidRPr="002E4977" w:rsidRDefault="004373C6" w:rsidP="004162ED">
            <w:pPr>
              <w:spacing w:after="0" w:line="240" w:lineRule="auto"/>
              <w:jc w:val="center"/>
              <w:rPr>
                <w:rFonts w:ascii="Segoe UI" w:hAnsi="Segoe UI" w:cs="Segoe UI"/>
                <w:i/>
                <w:sz w:val="20"/>
                <w:szCs w:val="20"/>
              </w:rPr>
            </w:pPr>
            <w:r w:rsidRPr="002E4977">
              <w:rPr>
                <w:rFonts w:ascii="Segoe UI" w:hAnsi="Segoe UI" w:cs="Segoe UI"/>
                <w:i/>
                <w:sz w:val="20"/>
                <w:szCs w:val="20"/>
              </w:rPr>
              <w:t>45,7</w:t>
            </w:r>
          </w:p>
        </w:tc>
      </w:tr>
      <w:tr w:rsidR="00BF5B98" w:rsidRPr="00882E5F" w14:paraId="405EAE61" w14:textId="77777777" w:rsidTr="004162ED">
        <w:trPr>
          <w:trHeight w:val="315"/>
        </w:trPr>
        <w:tc>
          <w:tcPr>
            <w:tcW w:w="5380" w:type="dxa"/>
            <w:tcBorders>
              <w:top w:val="nil"/>
              <w:left w:val="single" w:sz="4" w:space="0" w:color="auto"/>
              <w:bottom w:val="single" w:sz="4" w:space="0" w:color="auto"/>
              <w:right w:val="single" w:sz="4" w:space="0" w:color="auto"/>
            </w:tcBorders>
            <w:noWrap/>
            <w:vAlign w:val="bottom"/>
            <w:hideMark/>
          </w:tcPr>
          <w:p w14:paraId="26F08ECA" w14:textId="77777777" w:rsidR="00BF5B98" w:rsidRPr="002E4977" w:rsidRDefault="00BF5B98" w:rsidP="004162ED">
            <w:pPr>
              <w:spacing w:after="0" w:line="240" w:lineRule="auto"/>
              <w:rPr>
                <w:rFonts w:ascii="Segoe UI" w:hAnsi="Segoe UI" w:cs="Segoe UI"/>
                <w:sz w:val="20"/>
                <w:szCs w:val="20"/>
              </w:rPr>
            </w:pPr>
            <w:r w:rsidRPr="002E4977">
              <w:rPr>
                <w:rFonts w:ascii="Segoe UI" w:hAnsi="Segoe UI" w:cs="Segoe UI"/>
                <w:sz w:val="20"/>
                <w:szCs w:val="20"/>
              </w:rPr>
              <w:t>Dépôts des correspondants du Trésor</w:t>
            </w:r>
          </w:p>
        </w:tc>
        <w:tc>
          <w:tcPr>
            <w:tcW w:w="1336" w:type="dxa"/>
            <w:tcBorders>
              <w:top w:val="nil"/>
              <w:left w:val="nil"/>
              <w:bottom w:val="single" w:sz="4" w:space="0" w:color="auto"/>
              <w:right w:val="single" w:sz="4" w:space="0" w:color="auto"/>
            </w:tcBorders>
            <w:noWrap/>
            <w:vAlign w:val="center"/>
            <w:hideMark/>
          </w:tcPr>
          <w:p w14:paraId="75A297EC" w14:textId="77777777" w:rsidR="00BF5B98" w:rsidRPr="002E4977" w:rsidRDefault="00AB35EB" w:rsidP="00456FC1">
            <w:pPr>
              <w:spacing w:after="0" w:line="240" w:lineRule="auto"/>
              <w:jc w:val="right"/>
              <w:rPr>
                <w:rFonts w:ascii="Segoe UI" w:hAnsi="Segoe UI" w:cs="Segoe UI"/>
                <w:sz w:val="20"/>
                <w:szCs w:val="20"/>
              </w:rPr>
            </w:pPr>
            <w:r w:rsidRPr="002E4977">
              <w:rPr>
                <w:rFonts w:ascii="Segoe UI" w:hAnsi="Segoe UI" w:cs="Segoe UI"/>
                <w:sz w:val="20"/>
                <w:szCs w:val="20"/>
              </w:rPr>
              <w:t>0,</w:t>
            </w:r>
            <w:r w:rsidR="00BF5B98" w:rsidRPr="002E4977">
              <w:rPr>
                <w:rFonts w:ascii="Segoe UI" w:hAnsi="Segoe UI" w:cs="Segoe UI"/>
                <w:sz w:val="20"/>
                <w:szCs w:val="20"/>
              </w:rPr>
              <w:t>0</w:t>
            </w:r>
          </w:p>
        </w:tc>
        <w:tc>
          <w:tcPr>
            <w:tcW w:w="1584" w:type="dxa"/>
            <w:tcBorders>
              <w:top w:val="nil"/>
              <w:left w:val="nil"/>
              <w:bottom w:val="single" w:sz="4" w:space="0" w:color="auto"/>
              <w:right w:val="single" w:sz="4" w:space="0" w:color="auto"/>
            </w:tcBorders>
            <w:noWrap/>
            <w:vAlign w:val="center"/>
            <w:hideMark/>
          </w:tcPr>
          <w:p w14:paraId="79AB2FF1" w14:textId="77777777" w:rsidR="00BF5B98" w:rsidRPr="002E4977" w:rsidRDefault="00AF7B2C" w:rsidP="00456FC1">
            <w:pPr>
              <w:spacing w:after="0" w:line="240" w:lineRule="auto"/>
              <w:jc w:val="right"/>
              <w:rPr>
                <w:rFonts w:ascii="Segoe UI" w:hAnsi="Segoe UI" w:cs="Segoe UI"/>
                <w:sz w:val="20"/>
                <w:szCs w:val="20"/>
              </w:rPr>
            </w:pPr>
            <w:r w:rsidRPr="002E4977">
              <w:rPr>
                <w:rFonts w:ascii="Segoe UI" w:hAnsi="Segoe UI" w:cs="Segoe UI"/>
                <w:sz w:val="20"/>
                <w:szCs w:val="20"/>
              </w:rPr>
              <w:t>0,0</w:t>
            </w:r>
          </w:p>
        </w:tc>
        <w:tc>
          <w:tcPr>
            <w:tcW w:w="1200" w:type="dxa"/>
            <w:tcBorders>
              <w:top w:val="nil"/>
              <w:left w:val="nil"/>
              <w:bottom w:val="single" w:sz="4" w:space="0" w:color="auto"/>
              <w:right w:val="single" w:sz="4" w:space="0" w:color="auto"/>
            </w:tcBorders>
            <w:noWrap/>
            <w:vAlign w:val="center"/>
            <w:hideMark/>
          </w:tcPr>
          <w:p w14:paraId="375B3074" w14:textId="77777777" w:rsidR="00BF5B98" w:rsidRPr="002E4977" w:rsidRDefault="00BF5B98" w:rsidP="004162ED">
            <w:pPr>
              <w:spacing w:after="0" w:line="240" w:lineRule="auto"/>
              <w:jc w:val="center"/>
              <w:rPr>
                <w:rFonts w:ascii="Segoe UI" w:hAnsi="Segoe UI" w:cs="Segoe UI"/>
                <w:sz w:val="20"/>
                <w:szCs w:val="20"/>
              </w:rPr>
            </w:pPr>
            <w:r w:rsidRPr="002E4977">
              <w:rPr>
                <w:rFonts w:ascii="Segoe UI" w:hAnsi="Segoe UI" w:cs="Segoe UI"/>
                <w:sz w:val="20"/>
                <w:szCs w:val="20"/>
              </w:rPr>
              <w:t>-</w:t>
            </w:r>
          </w:p>
        </w:tc>
      </w:tr>
      <w:tr w:rsidR="00BF5B98" w:rsidRPr="00882E5F" w14:paraId="27AFDD75" w14:textId="77777777" w:rsidTr="004162ED">
        <w:trPr>
          <w:trHeight w:val="315"/>
        </w:trPr>
        <w:tc>
          <w:tcPr>
            <w:tcW w:w="5380" w:type="dxa"/>
            <w:tcBorders>
              <w:top w:val="nil"/>
              <w:left w:val="single" w:sz="4" w:space="0" w:color="auto"/>
              <w:bottom w:val="single" w:sz="4" w:space="0" w:color="auto"/>
              <w:right w:val="single" w:sz="4" w:space="0" w:color="auto"/>
            </w:tcBorders>
            <w:noWrap/>
            <w:vAlign w:val="bottom"/>
            <w:hideMark/>
          </w:tcPr>
          <w:p w14:paraId="0B5489B8" w14:textId="77777777" w:rsidR="00BF5B98" w:rsidRPr="002E4977" w:rsidRDefault="00BF5B98" w:rsidP="004162ED">
            <w:pPr>
              <w:spacing w:after="0" w:line="240" w:lineRule="auto"/>
              <w:rPr>
                <w:rFonts w:ascii="Segoe UI" w:hAnsi="Segoe UI" w:cs="Segoe UI"/>
                <w:sz w:val="20"/>
                <w:szCs w:val="20"/>
              </w:rPr>
            </w:pPr>
            <w:r w:rsidRPr="002E4977">
              <w:rPr>
                <w:rFonts w:ascii="Segoe UI" w:hAnsi="Segoe UI" w:cs="Segoe UI"/>
                <w:sz w:val="20"/>
                <w:szCs w:val="20"/>
              </w:rPr>
              <w:t>Produits des cessions d'actifs</w:t>
            </w:r>
          </w:p>
        </w:tc>
        <w:tc>
          <w:tcPr>
            <w:tcW w:w="1336" w:type="dxa"/>
            <w:tcBorders>
              <w:top w:val="nil"/>
              <w:left w:val="nil"/>
              <w:bottom w:val="single" w:sz="4" w:space="0" w:color="auto"/>
              <w:right w:val="single" w:sz="4" w:space="0" w:color="auto"/>
            </w:tcBorders>
            <w:noWrap/>
            <w:vAlign w:val="center"/>
            <w:hideMark/>
          </w:tcPr>
          <w:p w14:paraId="45342073" w14:textId="77777777" w:rsidR="00BF5B98" w:rsidRPr="002E4977" w:rsidRDefault="00AB35EB" w:rsidP="00456FC1">
            <w:pPr>
              <w:spacing w:after="0" w:line="240" w:lineRule="auto"/>
              <w:jc w:val="right"/>
              <w:rPr>
                <w:rFonts w:ascii="Segoe UI" w:hAnsi="Segoe UI" w:cs="Segoe UI"/>
                <w:sz w:val="20"/>
                <w:szCs w:val="20"/>
              </w:rPr>
            </w:pPr>
            <w:r w:rsidRPr="002E4977">
              <w:rPr>
                <w:rFonts w:ascii="Segoe UI" w:hAnsi="Segoe UI" w:cs="Segoe UI"/>
                <w:sz w:val="20"/>
                <w:szCs w:val="20"/>
              </w:rPr>
              <w:t>0,</w:t>
            </w:r>
            <w:r w:rsidR="0097060D" w:rsidRPr="002E4977">
              <w:rPr>
                <w:rFonts w:ascii="Segoe UI" w:hAnsi="Segoe UI" w:cs="Segoe UI"/>
                <w:sz w:val="20"/>
                <w:szCs w:val="20"/>
              </w:rPr>
              <w:t>0</w:t>
            </w:r>
          </w:p>
        </w:tc>
        <w:tc>
          <w:tcPr>
            <w:tcW w:w="1584" w:type="dxa"/>
            <w:tcBorders>
              <w:top w:val="nil"/>
              <w:left w:val="nil"/>
              <w:bottom w:val="single" w:sz="4" w:space="0" w:color="auto"/>
              <w:right w:val="single" w:sz="4" w:space="0" w:color="auto"/>
            </w:tcBorders>
            <w:noWrap/>
            <w:vAlign w:val="center"/>
            <w:hideMark/>
          </w:tcPr>
          <w:p w14:paraId="7BCDB5FD" w14:textId="77777777" w:rsidR="00BF5B98" w:rsidRPr="002E4977" w:rsidRDefault="00BF5B98" w:rsidP="004162ED">
            <w:pPr>
              <w:spacing w:after="0" w:line="240" w:lineRule="auto"/>
              <w:jc w:val="right"/>
              <w:rPr>
                <w:rFonts w:ascii="Segoe UI" w:hAnsi="Segoe UI" w:cs="Segoe UI"/>
                <w:sz w:val="20"/>
                <w:szCs w:val="20"/>
              </w:rPr>
            </w:pPr>
            <w:r w:rsidRPr="002E4977">
              <w:rPr>
                <w:rFonts w:ascii="Segoe UI" w:hAnsi="Segoe UI" w:cs="Segoe UI"/>
                <w:sz w:val="20"/>
                <w:szCs w:val="20"/>
              </w:rPr>
              <w:t>0,0</w:t>
            </w:r>
          </w:p>
        </w:tc>
        <w:tc>
          <w:tcPr>
            <w:tcW w:w="1200" w:type="dxa"/>
            <w:tcBorders>
              <w:top w:val="nil"/>
              <w:left w:val="nil"/>
              <w:bottom w:val="single" w:sz="4" w:space="0" w:color="auto"/>
              <w:right w:val="single" w:sz="4" w:space="0" w:color="auto"/>
            </w:tcBorders>
            <w:noWrap/>
            <w:vAlign w:val="center"/>
            <w:hideMark/>
          </w:tcPr>
          <w:p w14:paraId="1DCB9F6D" w14:textId="77777777" w:rsidR="00BF5B98" w:rsidRPr="002E4977" w:rsidRDefault="003D44D1" w:rsidP="004162ED">
            <w:pPr>
              <w:spacing w:after="0" w:line="240" w:lineRule="auto"/>
              <w:jc w:val="center"/>
              <w:rPr>
                <w:rFonts w:ascii="Segoe UI" w:hAnsi="Segoe UI" w:cs="Segoe UI"/>
                <w:sz w:val="20"/>
                <w:szCs w:val="20"/>
              </w:rPr>
            </w:pPr>
            <w:r w:rsidRPr="002E4977">
              <w:rPr>
                <w:rFonts w:ascii="Segoe UI" w:hAnsi="Segoe UI" w:cs="Segoe UI"/>
                <w:sz w:val="20"/>
                <w:szCs w:val="20"/>
              </w:rPr>
              <w:t>-</w:t>
            </w:r>
          </w:p>
        </w:tc>
      </w:tr>
      <w:tr w:rsidR="00BF5B98" w:rsidRPr="00882E5F" w14:paraId="599078E3" w14:textId="77777777" w:rsidTr="004162ED">
        <w:trPr>
          <w:trHeight w:val="315"/>
        </w:trPr>
        <w:tc>
          <w:tcPr>
            <w:tcW w:w="5380" w:type="dxa"/>
            <w:tcBorders>
              <w:top w:val="nil"/>
              <w:left w:val="single" w:sz="4" w:space="0" w:color="auto"/>
              <w:bottom w:val="nil"/>
              <w:right w:val="single" w:sz="4" w:space="0" w:color="auto"/>
            </w:tcBorders>
            <w:noWrap/>
            <w:vAlign w:val="bottom"/>
            <w:hideMark/>
          </w:tcPr>
          <w:p w14:paraId="20CFA893" w14:textId="77777777" w:rsidR="00BF5B98" w:rsidRPr="002E4977" w:rsidRDefault="00BF5B98" w:rsidP="004162ED">
            <w:pPr>
              <w:spacing w:after="0" w:line="240" w:lineRule="auto"/>
              <w:rPr>
                <w:rFonts w:ascii="Segoe UI" w:hAnsi="Segoe UI" w:cs="Segoe UI"/>
                <w:sz w:val="20"/>
                <w:szCs w:val="20"/>
              </w:rPr>
            </w:pPr>
            <w:r w:rsidRPr="002E4977">
              <w:rPr>
                <w:rFonts w:ascii="Segoe UI" w:hAnsi="Segoe UI" w:cs="Segoe UI"/>
                <w:sz w:val="20"/>
                <w:szCs w:val="20"/>
              </w:rPr>
              <w:t> </w:t>
            </w:r>
          </w:p>
        </w:tc>
        <w:tc>
          <w:tcPr>
            <w:tcW w:w="1336" w:type="dxa"/>
            <w:tcBorders>
              <w:top w:val="nil"/>
              <w:left w:val="nil"/>
              <w:bottom w:val="nil"/>
              <w:right w:val="single" w:sz="4" w:space="0" w:color="auto"/>
            </w:tcBorders>
            <w:noWrap/>
            <w:vAlign w:val="bottom"/>
            <w:hideMark/>
          </w:tcPr>
          <w:p w14:paraId="5982C56D" w14:textId="77777777" w:rsidR="00BF5B98" w:rsidRPr="002E4977" w:rsidRDefault="00BF5B98" w:rsidP="004162ED">
            <w:pPr>
              <w:spacing w:after="0" w:line="240" w:lineRule="auto"/>
              <w:rPr>
                <w:rFonts w:ascii="Segoe UI" w:hAnsi="Segoe UI" w:cs="Segoe UI"/>
                <w:sz w:val="20"/>
                <w:szCs w:val="20"/>
              </w:rPr>
            </w:pPr>
            <w:r w:rsidRPr="002E4977">
              <w:rPr>
                <w:rFonts w:ascii="Segoe UI" w:hAnsi="Segoe UI" w:cs="Segoe UI"/>
                <w:sz w:val="20"/>
                <w:szCs w:val="20"/>
              </w:rPr>
              <w:t> </w:t>
            </w:r>
          </w:p>
        </w:tc>
        <w:tc>
          <w:tcPr>
            <w:tcW w:w="1584" w:type="dxa"/>
            <w:tcBorders>
              <w:top w:val="nil"/>
              <w:left w:val="nil"/>
              <w:bottom w:val="nil"/>
              <w:right w:val="single" w:sz="4" w:space="0" w:color="auto"/>
            </w:tcBorders>
            <w:noWrap/>
            <w:vAlign w:val="bottom"/>
            <w:hideMark/>
          </w:tcPr>
          <w:p w14:paraId="08DCBF04" w14:textId="77777777" w:rsidR="00BF5B98" w:rsidRPr="002E4977" w:rsidRDefault="00BF5B98" w:rsidP="004162ED">
            <w:pPr>
              <w:spacing w:after="0" w:line="240" w:lineRule="auto"/>
              <w:rPr>
                <w:rFonts w:ascii="Segoe UI" w:hAnsi="Segoe UI" w:cs="Segoe UI"/>
                <w:sz w:val="20"/>
                <w:szCs w:val="20"/>
              </w:rPr>
            </w:pPr>
            <w:r w:rsidRPr="002E4977">
              <w:rPr>
                <w:rFonts w:ascii="Segoe UI" w:hAnsi="Segoe UI" w:cs="Segoe UI"/>
                <w:sz w:val="20"/>
                <w:szCs w:val="20"/>
              </w:rPr>
              <w:t> </w:t>
            </w:r>
          </w:p>
        </w:tc>
        <w:tc>
          <w:tcPr>
            <w:tcW w:w="1200" w:type="dxa"/>
            <w:tcBorders>
              <w:top w:val="nil"/>
              <w:left w:val="nil"/>
              <w:bottom w:val="nil"/>
              <w:right w:val="single" w:sz="4" w:space="0" w:color="auto"/>
            </w:tcBorders>
            <w:noWrap/>
            <w:vAlign w:val="center"/>
            <w:hideMark/>
          </w:tcPr>
          <w:p w14:paraId="1798BCD2" w14:textId="77777777" w:rsidR="00BF5B98" w:rsidRPr="002E4977" w:rsidRDefault="00BF5B98" w:rsidP="004162ED">
            <w:pPr>
              <w:spacing w:after="0" w:line="240" w:lineRule="auto"/>
              <w:jc w:val="center"/>
              <w:rPr>
                <w:rFonts w:ascii="Segoe UI" w:hAnsi="Segoe UI" w:cs="Segoe UI"/>
                <w:sz w:val="20"/>
                <w:szCs w:val="20"/>
              </w:rPr>
            </w:pPr>
            <w:r w:rsidRPr="002E4977">
              <w:rPr>
                <w:rFonts w:ascii="Segoe UI" w:hAnsi="Segoe UI" w:cs="Segoe UI"/>
                <w:sz w:val="20"/>
                <w:szCs w:val="20"/>
              </w:rPr>
              <w:t> </w:t>
            </w:r>
          </w:p>
        </w:tc>
      </w:tr>
      <w:tr w:rsidR="00BF5B98" w:rsidRPr="00882E5F" w14:paraId="494790ED" w14:textId="77777777" w:rsidTr="004A1038">
        <w:trPr>
          <w:trHeight w:val="80"/>
        </w:trPr>
        <w:tc>
          <w:tcPr>
            <w:tcW w:w="5380" w:type="dxa"/>
            <w:tcBorders>
              <w:top w:val="nil"/>
              <w:left w:val="single" w:sz="4" w:space="0" w:color="auto"/>
              <w:bottom w:val="single" w:sz="4" w:space="0" w:color="auto"/>
              <w:right w:val="single" w:sz="4" w:space="0" w:color="auto"/>
            </w:tcBorders>
            <w:noWrap/>
            <w:vAlign w:val="bottom"/>
            <w:hideMark/>
          </w:tcPr>
          <w:p w14:paraId="167A89F0" w14:textId="77777777" w:rsidR="00BF5B98" w:rsidRPr="002E4977" w:rsidRDefault="00BF5B98" w:rsidP="004162ED">
            <w:pPr>
              <w:spacing w:after="0" w:line="240" w:lineRule="auto"/>
              <w:jc w:val="center"/>
              <w:rPr>
                <w:rFonts w:ascii="Segoe UI" w:hAnsi="Segoe UI" w:cs="Segoe UI"/>
                <w:b/>
                <w:bCs/>
                <w:sz w:val="20"/>
                <w:szCs w:val="20"/>
              </w:rPr>
            </w:pPr>
            <w:r w:rsidRPr="002E4977">
              <w:rPr>
                <w:rFonts w:ascii="Segoe UI" w:hAnsi="Segoe UI" w:cs="Segoe UI"/>
                <w:b/>
                <w:bCs/>
                <w:sz w:val="20"/>
                <w:szCs w:val="20"/>
              </w:rPr>
              <w:t>Total</w:t>
            </w:r>
          </w:p>
        </w:tc>
        <w:tc>
          <w:tcPr>
            <w:tcW w:w="1336" w:type="dxa"/>
            <w:tcBorders>
              <w:top w:val="nil"/>
              <w:left w:val="nil"/>
              <w:bottom w:val="single" w:sz="4" w:space="0" w:color="auto"/>
              <w:right w:val="single" w:sz="4" w:space="0" w:color="auto"/>
            </w:tcBorders>
            <w:noWrap/>
            <w:vAlign w:val="bottom"/>
            <w:hideMark/>
          </w:tcPr>
          <w:p w14:paraId="760A7E1F" w14:textId="77777777" w:rsidR="00BF5B98" w:rsidRPr="002E4977" w:rsidRDefault="00206547" w:rsidP="00456FC1">
            <w:pPr>
              <w:spacing w:after="0" w:line="240" w:lineRule="auto"/>
              <w:jc w:val="right"/>
              <w:rPr>
                <w:rFonts w:ascii="Segoe UI" w:hAnsi="Segoe UI" w:cs="Segoe UI"/>
                <w:b/>
                <w:bCs/>
                <w:sz w:val="20"/>
                <w:szCs w:val="20"/>
              </w:rPr>
            </w:pPr>
            <w:r w:rsidRPr="002E4977">
              <w:rPr>
                <w:rFonts w:ascii="Segoe UI" w:hAnsi="Segoe UI" w:cs="Segoe UI"/>
                <w:b/>
                <w:bCs/>
                <w:sz w:val="20"/>
                <w:szCs w:val="20"/>
              </w:rPr>
              <w:t>1 002 861</w:t>
            </w:r>
          </w:p>
        </w:tc>
        <w:tc>
          <w:tcPr>
            <w:tcW w:w="1584" w:type="dxa"/>
            <w:tcBorders>
              <w:top w:val="nil"/>
              <w:left w:val="nil"/>
              <w:bottom w:val="single" w:sz="4" w:space="0" w:color="auto"/>
              <w:right w:val="single" w:sz="4" w:space="0" w:color="auto"/>
            </w:tcBorders>
            <w:noWrap/>
            <w:vAlign w:val="bottom"/>
            <w:hideMark/>
          </w:tcPr>
          <w:p w14:paraId="0B956579" w14:textId="77777777" w:rsidR="00BF5B98" w:rsidRPr="002E4977" w:rsidRDefault="00153EF8" w:rsidP="00694E5E">
            <w:pPr>
              <w:spacing w:after="0" w:line="240" w:lineRule="auto"/>
              <w:jc w:val="right"/>
              <w:rPr>
                <w:rFonts w:ascii="Segoe UI" w:hAnsi="Segoe UI" w:cs="Segoe UI"/>
                <w:b/>
                <w:bCs/>
                <w:sz w:val="20"/>
                <w:szCs w:val="20"/>
              </w:rPr>
            </w:pPr>
            <w:r w:rsidRPr="002E4977">
              <w:rPr>
                <w:rFonts w:ascii="Segoe UI" w:hAnsi="Segoe UI" w:cs="Segoe UI"/>
                <w:b/>
                <w:bCs/>
                <w:sz w:val="20"/>
                <w:szCs w:val="20"/>
              </w:rPr>
              <w:t>116 935</w:t>
            </w:r>
          </w:p>
        </w:tc>
        <w:tc>
          <w:tcPr>
            <w:tcW w:w="1200" w:type="dxa"/>
            <w:tcBorders>
              <w:top w:val="nil"/>
              <w:left w:val="nil"/>
              <w:bottom w:val="single" w:sz="4" w:space="0" w:color="auto"/>
              <w:right w:val="single" w:sz="4" w:space="0" w:color="auto"/>
            </w:tcBorders>
            <w:noWrap/>
            <w:vAlign w:val="center"/>
            <w:hideMark/>
          </w:tcPr>
          <w:p w14:paraId="7D629052" w14:textId="77777777" w:rsidR="00BF5B98" w:rsidRPr="002E4977" w:rsidRDefault="0003408B" w:rsidP="00694E5E">
            <w:pPr>
              <w:spacing w:after="0" w:line="240" w:lineRule="auto"/>
              <w:jc w:val="center"/>
              <w:rPr>
                <w:rFonts w:ascii="Segoe UI" w:hAnsi="Segoe UI" w:cs="Segoe UI"/>
                <w:b/>
                <w:bCs/>
                <w:sz w:val="20"/>
                <w:szCs w:val="20"/>
              </w:rPr>
            </w:pPr>
            <w:r w:rsidRPr="002E4977">
              <w:rPr>
                <w:rFonts w:ascii="Segoe UI" w:hAnsi="Segoe UI" w:cs="Segoe UI"/>
                <w:b/>
                <w:bCs/>
                <w:sz w:val="20"/>
                <w:szCs w:val="20"/>
              </w:rPr>
              <w:t>11,7</w:t>
            </w:r>
          </w:p>
        </w:tc>
      </w:tr>
    </w:tbl>
    <w:p w14:paraId="598FA6BE" w14:textId="77777777" w:rsidR="00BF5B98" w:rsidRPr="002E4977" w:rsidRDefault="00BF5B98" w:rsidP="00FB4AD9">
      <w:pPr>
        <w:spacing w:after="0" w:line="360" w:lineRule="auto"/>
        <w:rPr>
          <w:rFonts w:ascii="Segoe UI" w:hAnsi="Segoe UI" w:cs="Segoe UI"/>
          <w:bCs/>
          <w:iCs/>
          <w:sz w:val="20"/>
          <w:szCs w:val="24"/>
        </w:rPr>
      </w:pPr>
      <w:r w:rsidRPr="002E4977">
        <w:rPr>
          <w:rFonts w:ascii="Segoe UI" w:hAnsi="Segoe UI" w:cs="Segoe UI"/>
          <w:b/>
          <w:bCs/>
          <w:iCs/>
          <w:sz w:val="20"/>
          <w:szCs w:val="24"/>
          <w:u w:val="single"/>
        </w:rPr>
        <w:t>Source</w:t>
      </w:r>
      <w:r w:rsidRPr="002E4977">
        <w:rPr>
          <w:rFonts w:ascii="Segoe UI" w:hAnsi="Segoe UI" w:cs="Segoe UI"/>
          <w:bCs/>
          <w:iCs/>
          <w:sz w:val="20"/>
          <w:szCs w:val="24"/>
        </w:rPr>
        <w:t xml:space="preserve"> : MEF/DGTCP/DGB, </w:t>
      </w:r>
      <w:r w:rsidR="00EB3CF1" w:rsidRPr="002E4977">
        <w:rPr>
          <w:rFonts w:ascii="Segoe UI" w:hAnsi="Segoe UI" w:cs="Segoe UI"/>
          <w:bCs/>
          <w:iCs/>
          <w:sz w:val="20"/>
          <w:szCs w:val="24"/>
        </w:rPr>
        <w:t>avril</w:t>
      </w:r>
      <w:r w:rsidRPr="002E4977">
        <w:rPr>
          <w:rFonts w:ascii="Segoe UI" w:hAnsi="Segoe UI" w:cs="Segoe UI"/>
          <w:bCs/>
          <w:iCs/>
          <w:sz w:val="20"/>
          <w:szCs w:val="24"/>
        </w:rPr>
        <w:t xml:space="preserve"> 201</w:t>
      </w:r>
      <w:r w:rsidR="00EB3CF1" w:rsidRPr="002E4977">
        <w:rPr>
          <w:rFonts w:ascii="Segoe UI" w:hAnsi="Segoe UI" w:cs="Segoe UI"/>
          <w:bCs/>
          <w:iCs/>
          <w:sz w:val="20"/>
          <w:szCs w:val="24"/>
        </w:rPr>
        <w:t>7</w:t>
      </w:r>
    </w:p>
    <w:p w14:paraId="76FCAE46" w14:textId="77777777" w:rsidR="0098227A" w:rsidRPr="001541CB" w:rsidRDefault="0098227A" w:rsidP="0098227A">
      <w:pPr>
        <w:spacing w:after="0" w:line="360" w:lineRule="auto"/>
        <w:ind w:left="357"/>
        <w:rPr>
          <w:rFonts w:ascii="Segoe UI" w:hAnsi="Segoe UI" w:cs="Segoe UI"/>
          <w:sz w:val="24"/>
          <w:szCs w:val="24"/>
        </w:rPr>
      </w:pPr>
    </w:p>
    <w:p w14:paraId="36110DE6" w14:textId="77777777" w:rsidR="007C4DCE" w:rsidRPr="002C37AA" w:rsidRDefault="00493AE1" w:rsidP="002C37AA">
      <w:pPr>
        <w:pStyle w:val="Paragraphedeliste"/>
        <w:keepNext/>
        <w:numPr>
          <w:ilvl w:val="0"/>
          <w:numId w:val="21"/>
        </w:numPr>
        <w:spacing w:after="0" w:line="360" w:lineRule="auto"/>
        <w:ind w:right="68"/>
        <w:jc w:val="both"/>
        <w:outlineLvl w:val="2"/>
        <w:rPr>
          <w:rFonts w:ascii="Segoe UI" w:hAnsi="Segoe UI" w:cs="Segoe UI"/>
          <w:b/>
          <w:sz w:val="24"/>
          <w:szCs w:val="24"/>
        </w:rPr>
      </w:pPr>
      <w:bookmarkStart w:id="51" w:name="_Toc484105616"/>
      <w:bookmarkEnd w:id="45"/>
      <w:r w:rsidRPr="002C37AA">
        <w:rPr>
          <w:rFonts w:ascii="Segoe UI" w:hAnsi="Segoe UI" w:cs="Segoe UI"/>
          <w:b/>
          <w:sz w:val="24"/>
          <w:szCs w:val="24"/>
        </w:rPr>
        <w:t>L</w:t>
      </w:r>
      <w:r w:rsidR="0074747B" w:rsidRPr="002C37AA">
        <w:rPr>
          <w:rFonts w:ascii="Segoe UI" w:hAnsi="Segoe UI" w:cs="Segoe UI"/>
          <w:b/>
          <w:sz w:val="24"/>
          <w:szCs w:val="24"/>
        </w:rPr>
        <w:t>’exécution d</w:t>
      </w:r>
      <w:r w:rsidRPr="002C37AA">
        <w:rPr>
          <w:rFonts w:ascii="Segoe UI" w:hAnsi="Segoe UI" w:cs="Segoe UI"/>
          <w:b/>
          <w:sz w:val="24"/>
          <w:szCs w:val="24"/>
        </w:rPr>
        <w:t>es charges de Trésorerie</w:t>
      </w:r>
      <w:bookmarkEnd w:id="51"/>
    </w:p>
    <w:p w14:paraId="474EFC15" w14:textId="5265A179" w:rsidR="00C80ADF" w:rsidRPr="001541CB" w:rsidRDefault="00CA50FD" w:rsidP="000C178C">
      <w:pPr>
        <w:spacing w:after="0" w:line="360" w:lineRule="auto"/>
        <w:jc w:val="both"/>
        <w:rPr>
          <w:rFonts w:ascii="Segoe UI" w:hAnsi="Segoe UI" w:cs="Segoe UI"/>
          <w:sz w:val="24"/>
          <w:szCs w:val="24"/>
        </w:rPr>
      </w:pPr>
      <w:bookmarkStart w:id="52" w:name="_Toc427941534"/>
      <w:bookmarkStart w:id="53" w:name="_Toc435284868"/>
      <w:bookmarkStart w:id="54" w:name="_Toc435295634"/>
      <w:bookmarkStart w:id="55" w:name="_Toc442430624"/>
      <w:r w:rsidRPr="001541CB">
        <w:rPr>
          <w:rFonts w:ascii="Segoe UI" w:hAnsi="Segoe UI" w:cs="Segoe UI"/>
          <w:sz w:val="24"/>
          <w:szCs w:val="24"/>
        </w:rPr>
        <w:t>L</w:t>
      </w:r>
      <w:r w:rsidR="00493AE1" w:rsidRPr="001541CB">
        <w:rPr>
          <w:rFonts w:ascii="Segoe UI" w:hAnsi="Segoe UI" w:cs="Segoe UI"/>
          <w:sz w:val="24"/>
          <w:szCs w:val="24"/>
        </w:rPr>
        <w:t xml:space="preserve">es charges de trésorerie sont ressorties à </w:t>
      </w:r>
      <w:r w:rsidR="0008266A" w:rsidRPr="004E1239">
        <w:rPr>
          <w:rFonts w:ascii="Segoe UI" w:eastAsia="Times New Roman" w:hAnsi="Segoe UI" w:cs="Segoe UI"/>
          <w:bCs/>
          <w:color w:val="000000"/>
          <w:sz w:val="24"/>
          <w:szCs w:val="24"/>
        </w:rPr>
        <w:t>56 802,2</w:t>
      </w:r>
      <w:r w:rsidR="00DB6241" w:rsidRPr="001541CB">
        <w:rPr>
          <w:rFonts w:ascii="Segoe UI" w:hAnsi="Segoe UI" w:cs="Segoe UI"/>
          <w:sz w:val="24"/>
          <w:szCs w:val="24"/>
        </w:rPr>
        <w:t xml:space="preserve"> </w:t>
      </w:r>
      <w:r w:rsidR="00493AE1" w:rsidRPr="001541CB">
        <w:rPr>
          <w:rFonts w:ascii="Segoe UI" w:hAnsi="Segoe UI" w:cs="Segoe UI"/>
          <w:sz w:val="24"/>
          <w:szCs w:val="24"/>
        </w:rPr>
        <w:t xml:space="preserve">millions de FCFA sur une </w:t>
      </w:r>
      <w:r w:rsidR="008A7868" w:rsidRPr="001541CB">
        <w:rPr>
          <w:rFonts w:ascii="Segoe UI" w:hAnsi="Segoe UI" w:cs="Segoe UI"/>
          <w:sz w:val="24"/>
          <w:szCs w:val="24"/>
        </w:rPr>
        <w:t>prévis</w:t>
      </w:r>
      <w:r w:rsidR="00D43A6A" w:rsidRPr="001541CB">
        <w:rPr>
          <w:rFonts w:ascii="Segoe UI" w:hAnsi="Segoe UI" w:cs="Segoe UI"/>
          <w:sz w:val="24"/>
          <w:szCs w:val="24"/>
        </w:rPr>
        <w:t xml:space="preserve">ion annuelle de </w:t>
      </w:r>
      <w:r w:rsidR="00AE35D1" w:rsidRPr="001541CB">
        <w:rPr>
          <w:rFonts w:ascii="Segoe UI" w:hAnsi="Segoe UI" w:cs="Segoe UI"/>
          <w:sz w:val="24"/>
          <w:szCs w:val="24"/>
        </w:rPr>
        <w:t>312 600</w:t>
      </w:r>
      <w:r w:rsidR="00493AE1" w:rsidRPr="001541CB">
        <w:rPr>
          <w:rFonts w:ascii="Segoe UI" w:hAnsi="Segoe UI" w:cs="Segoe UI"/>
          <w:sz w:val="24"/>
          <w:szCs w:val="24"/>
        </w:rPr>
        <w:t xml:space="preserve"> millions de FCFA correspondant à un taux d’en</w:t>
      </w:r>
      <w:r w:rsidR="008A7868" w:rsidRPr="001541CB">
        <w:rPr>
          <w:rFonts w:ascii="Segoe UI" w:hAnsi="Segoe UI" w:cs="Segoe UI"/>
          <w:sz w:val="24"/>
          <w:szCs w:val="24"/>
        </w:rPr>
        <w:t>gagement</w:t>
      </w:r>
      <w:r w:rsidR="00493AE1" w:rsidRPr="001541CB">
        <w:rPr>
          <w:rFonts w:ascii="Segoe UI" w:hAnsi="Segoe UI" w:cs="Segoe UI"/>
          <w:sz w:val="24"/>
          <w:szCs w:val="24"/>
        </w:rPr>
        <w:t xml:space="preserve"> d</w:t>
      </w:r>
      <w:r w:rsidR="00A34929" w:rsidRPr="001541CB">
        <w:rPr>
          <w:rFonts w:ascii="Segoe UI" w:hAnsi="Segoe UI" w:cs="Segoe UI"/>
          <w:sz w:val="24"/>
          <w:szCs w:val="24"/>
        </w:rPr>
        <w:t xml:space="preserve">e </w:t>
      </w:r>
      <w:r w:rsidR="0008266A" w:rsidRPr="004E1239">
        <w:rPr>
          <w:rFonts w:ascii="Segoe UI" w:hAnsi="Segoe UI" w:cs="Segoe UI"/>
          <w:sz w:val="24"/>
          <w:szCs w:val="24"/>
        </w:rPr>
        <w:t>18,2</w:t>
      </w:r>
      <w:r w:rsidR="00493AE1" w:rsidRPr="001541CB">
        <w:rPr>
          <w:rFonts w:ascii="Segoe UI" w:hAnsi="Segoe UI" w:cs="Segoe UI"/>
          <w:sz w:val="24"/>
          <w:szCs w:val="24"/>
        </w:rPr>
        <w:t xml:space="preserve">%. Les charges </w:t>
      </w:r>
      <w:r w:rsidR="00C80ADF" w:rsidRPr="001541CB">
        <w:rPr>
          <w:rFonts w:ascii="Segoe UI" w:hAnsi="Segoe UI" w:cs="Segoe UI"/>
          <w:sz w:val="24"/>
          <w:szCs w:val="24"/>
        </w:rPr>
        <w:t xml:space="preserve">de trésorerie </w:t>
      </w:r>
      <w:r w:rsidR="00A34929" w:rsidRPr="001541CB">
        <w:rPr>
          <w:rFonts w:ascii="Segoe UI" w:hAnsi="Segoe UI" w:cs="Segoe UI"/>
          <w:sz w:val="24"/>
          <w:szCs w:val="24"/>
        </w:rPr>
        <w:t xml:space="preserve">assurées </w:t>
      </w:r>
      <w:r w:rsidR="00D43A6A" w:rsidRPr="001541CB">
        <w:rPr>
          <w:rFonts w:ascii="Segoe UI" w:hAnsi="Segoe UI" w:cs="Segoe UI"/>
          <w:sz w:val="24"/>
          <w:szCs w:val="24"/>
        </w:rPr>
        <w:t>au</w:t>
      </w:r>
      <w:r w:rsidR="00AE35D1" w:rsidRPr="001541CB">
        <w:rPr>
          <w:rFonts w:ascii="Segoe UI" w:hAnsi="Segoe UI" w:cs="Segoe UI"/>
          <w:sz w:val="24"/>
          <w:szCs w:val="24"/>
        </w:rPr>
        <w:t xml:space="preserve"> cours du premier trimestre 2017</w:t>
      </w:r>
      <w:r w:rsidR="00D43A6A" w:rsidRPr="001541CB">
        <w:rPr>
          <w:rFonts w:ascii="Segoe UI" w:hAnsi="Segoe UI" w:cs="Segoe UI"/>
          <w:sz w:val="24"/>
          <w:szCs w:val="24"/>
        </w:rPr>
        <w:t xml:space="preserve"> sont</w:t>
      </w:r>
      <w:r w:rsidR="00A34929" w:rsidRPr="001541CB">
        <w:rPr>
          <w:rFonts w:ascii="Segoe UI" w:hAnsi="Segoe UI" w:cs="Segoe UI"/>
          <w:sz w:val="24"/>
          <w:szCs w:val="24"/>
        </w:rPr>
        <w:t xml:space="preserve"> : </w:t>
      </w:r>
      <w:r w:rsidR="00355E6F" w:rsidRPr="001541CB">
        <w:rPr>
          <w:rFonts w:ascii="Segoe UI" w:hAnsi="Segoe UI" w:cs="Segoe UI"/>
          <w:sz w:val="24"/>
          <w:szCs w:val="24"/>
        </w:rPr>
        <w:t>(i) l’amortissement des tirages FMI au taux de 2</w:t>
      </w:r>
      <w:r w:rsidR="0019466D" w:rsidRPr="001541CB">
        <w:rPr>
          <w:rFonts w:ascii="Segoe UI" w:hAnsi="Segoe UI" w:cs="Segoe UI"/>
          <w:sz w:val="24"/>
          <w:szCs w:val="24"/>
        </w:rPr>
        <w:t>4,4</w:t>
      </w:r>
      <w:r w:rsidR="00355E6F" w:rsidRPr="001541CB">
        <w:rPr>
          <w:rFonts w:ascii="Segoe UI" w:hAnsi="Segoe UI" w:cs="Segoe UI"/>
          <w:sz w:val="24"/>
          <w:szCs w:val="24"/>
        </w:rPr>
        <w:t>%</w:t>
      </w:r>
      <w:r w:rsidR="00C80ADF" w:rsidRPr="001541CB">
        <w:rPr>
          <w:rFonts w:ascii="Segoe UI" w:hAnsi="Segoe UI" w:cs="Segoe UI"/>
          <w:sz w:val="24"/>
          <w:szCs w:val="24"/>
        </w:rPr>
        <w:t>,</w:t>
      </w:r>
      <w:r w:rsidR="00355E6F" w:rsidRPr="001541CB">
        <w:rPr>
          <w:rFonts w:ascii="Segoe UI" w:hAnsi="Segoe UI" w:cs="Segoe UI"/>
          <w:sz w:val="24"/>
          <w:szCs w:val="24"/>
        </w:rPr>
        <w:t xml:space="preserve"> (ii)</w:t>
      </w:r>
      <w:r w:rsidR="008A7868" w:rsidRPr="001541CB">
        <w:rPr>
          <w:rFonts w:ascii="Segoe UI" w:hAnsi="Segoe UI" w:cs="Segoe UI"/>
          <w:sz w:val="24"/>
          <w:szCs w:val="24"/>
        </w:rPr>
        <w:t xml:space="preserve"> l’amortissement des bons du T</w:t>
      </w:r>
      <w:r w:rsidR="00493AE1" w:rsidRPr="001541CB">
        <w:rPr>
          <w:rFonts w:ascii="Segoe UI" w:hAnsi="Segoe UI" w:cs="Segoe UI"/>
          <w:sz w:val="24"/>
          <w:szCs w:val="24"/>
        </w:rPr>
        <w:t xml:space="preserve">résor </w:t>
      </w:r>
      <w:r w:rsidR="008A7868" w:rsidRPr="001541CB">
        <w:rPr>
          <w:rFonts w:ascii="Segoe UI" w:hAnsi="Segoe UI" w:cs="Segoe UI"/>
          <w:sz w:val="24"/>
          <w:szCs w:val="24"/>
        </w:rPr>
        <w:t>à h</w:t>
      </w:r>
      <w:r w:rsidR="00493AE1" w:rsidRPr="001541CB">
        <w:rPr>
          <w:rFonts w:ascii="Segoe UI" w:hAnsi="Segoe UI" w:cs="Segoe UI"/>
          <w:sz w:val="24"/>
          <w:szCs w:val="24"/>
        </w:rPr>
        <w:t>au</w:t>
      </w:r>
      <w:r w:rsidR="00355E6F" w:rsidRPr="001541CB">
        <w:rPr>
          <w:rFonts w:ascii="Segoe UI" w:hAnsi="Segoe UI" w:cs="Segoe UI"/>
          <w:sz w:val="24"/>
          <w:szCs w:val="24"/>
        </w:rPr>
        <w:t>t</w:t>
      </w:r>
      <w:r w:rsidR="008A7868" w:rsidRPr="001541CB">
        <w:rPr>
          <w:rFonts w:ascii="Segoe UI" w:hAnsi="Segoe UI" w:cs="Segoe UI"/>
          <w:sz w:val="24"/>
          <w:szCs w:val="24"/>
        </w:rPr>
        <w:t>e</w:t>
      </w:r>
      <w:r w:rsidR="00355E6F" w:rsidRPr="001541CB">
        <w:rPr>
          <w:rFonts w:ascii="Segoe UI" w:hAnsi="Segoe UI" w:cs="Segoe UI"/>
          <w:sz w:val="24"/>
          <w:szCs w:val="24"/>
        </w:rPr>
        <w:t>u</w:t>
      </w:r>
      <w:r w:rsidR="008A7868" w:rsidRPr="001541CB">
        <w:rPr>
          <w:rFonts w:ascii="Segoe UI" w:hAnsi="Segoe UI" w:cs="Segoe UI"/>
          <w:sz w:val="24"/>
          <w:szCs w:val="24"/>
        </w:rPr>
        <w:t>r</w:t>
      </w:r>
      <w:r w:rsidR="00493AE1" w:rsidRPr="001541CB">
        <w:rPr>
          <w:rFonts w:ascii="Segoe UI" w:hAnsi="Segoe UI" w:cs="Segoe UI"/>
          <w:sz w:val="24"/>
          <w:szCs w:val="24"/>
        </w:rPr>
        <w:t xml:space="preserve"> de </w:t>
      </w:r>
      <w:r w:rsidR="002C2A9E">
        <w:rPr>
          <w:rFonts w:ascii="Segoe UI" w:hAnsi="Segoe UI" w:cs="Segoe UI"/>
          <w:sz w:val="24"/>
          <w:szCs w:val="24"/>
        </w:rPr>
        <w:t>17</w:t>
      </w:r>
      <w:r w:rsidR="00493AE1" w:rsidRPr="001541CB">
        <w:rPr>
          <w:rFonts w:ascii="Segoe UI" w:hAnsi="Segoe UI" w:cs="Segoe UI"/>
          <w:sz w:val="24"/>
          <w:szCs w:val="24"/>
        </w:rPr>
        <w:t>%</w:t>
      </w:r>
      <w:r w:rsidR="008A7868" w:rsidRPr="001541CB">
        <w:rPr>
          <w:rFonts w:ascii="Segoe UI" w:hAnsi="Segoe UI" w:cs="Segoe UI"/>
          <w:sz w:val="24"/>
          <w:szCs w:val="24"/>
        </w:rPr>
        <w:t xml:space="preserve"> et</w:t>
      </w:r>
      <w:r w:rsidR="008C32BD" w:rsidRPr="001541CB">
        <w:rPr>
          <w:rFonts w:ascii="Segoe UI" w:hAnsi="Segoe UI" w:cs="Segoe UI"/>
          <w:sz w:val="24"/>
          <w:szCs w:val="24"/>
        </w:rPr>
        <w:t xml:space="preserve"> </w:t>
      </w:r>
      <w:r w:rsidR="00C80ADF" w:rsidRPr="001541CB">
        <w:rPr>
          <w:rFonts w:ascii="Segoe UI" w:hAnsi="Segoe UI" w:cs="Segoe UI"/>
          <w:sz w:val="24"/>
          <w:szCs w:val="24"/>
        </w:rPr>
        <w:t xml:space="preserve">(iii) </w:t>
      </w:r>
      <w:r w:rsidR="00D43A6A" w:rsidRPr="001541CB">
        <w:rPr>
          <w:rFonts w:ascii="Segoe UI" w:hAnsi="Segoe UI" w:cs="Segoe UI"/>
          <w:sz w:val="24"/>
          <w:szCs w:val="24"/>
        </w:rPr>
        <w:t xml:space="preserve">les </w:t>
      </w:r>
      <w:r w:rsidR="008A7868" w:rsidRPr="001541CB">
        <w:rPr>
          <w:rFonts w:ascii="Segoe UI" w:hAnsi="Segoe UI" w:cs="Segoe UI"/>
          <w:sz w:val="24"/>
          <w:szCs w:val="24"/>
        </w:rPr>
        <w:t>retraits des correspondants du T</w:t>
      </w:r>
      <w:r w:rsidR="00D43A6A" w:rsidRPr="001541CB">
        <w:rPr>
          <w:rFonts w:ascii="Segoe UI" w:hAnsi="Segoe UI" w:cs="Segoe UI"/>
          <w:sz w:val="24"/>
          <w:szCs w:val="24"/>
        </w:rPr>
        <w:t>résor</w:t>
      </w:r>
      <w:r w:rsidR="00355E6F" w:rsidRPr="001541CB">
        <w:rPr>
          <w:rFonts w:ascii="Segoe UI" w:hAnsi="Segoe UI" w:cs="Segoe UI"/>
          <w:sz w:val="24"/>
          <w:szCs w:val="24"/>
        </w:rPr>
        <w:t xml:space="preserve"> exécuté</w:t>
      </w:r>
      <w:r w:rsidR="00681A1C" w:rsidRPr="001541CB">
        <w:rPr>
          <w:rFonts w:ascii="Segoe UI" w:hAnsi="Segoe UI" w:cs="Segoe UI"/>
          <w:sz w:val="24"/>
          <w:szCs w:val="24"/>
        </w:rPr>
        <w:t>s</w:t>
      </w:r>
      <w:r w:rsidR="00355E6F" w:rsidRPr="001541CB">
        <w:rPr>
          <w:rFonts w:ascii="Segoe UI" w:hAnsi="Segoe UI" w:cs="Segoe UI"/>
          <w:sz w:val="24"/>
          <w:szCs w:val="24"/>
        </w:rPr>
        <w:t xml:space="preserve"> à </w:t>
      </w:r>
      <w:r w:rsidR="006B7665" w:rsidRPr="003D7177">
        <w:rPr>
          <w:rFonts w:ascii="Segoe UI" w:hAnsi="Segoe UI" w:cs="Segoe UI"/>
          <w:sz w:val="24"/>
          <w:szCs w:val="24"/>
        </w:rPr>
        <w:t>19,7</w:t>
      </w:r>
      <w:r w:rsidR="00355E6F" w:rsidRPr="001541CB">
        <w:rPr>
          <w:rFonts w:ascii="Segoe UI" w:hAnsi="Segoe UI" w:cs="Segoe UI"/>
          <w:sz w:val="24"/>
          <w:szCs w:val="24"/>
        </w:rPr>
        <w:t>%</w:t>
      </w:r>
      <w:r w:rsidR="00C80ADF" w:rsidRPr="001541CB">
        <w:rPr>
          <w:rFonts w:ascii="Segoe UI" w:hAnsi="Segoe UI" w:cs="Segoe UI"/>
          <w:sz w:val="24"/>
          <w:szCs w:val="24"/>
        </w:rPr>
        <w:t>.</w:t>
      </w:r>
    </w:p>
    <w:p w14:paraId="3C298F11" w14:textId="77777777" w:rsidR="00355E6F" w:rsidRDefault="00681A1C" w:rsidP="00012586">
      <w:pPr>
        <w:rPr>
          <w:rFonts w:ascii="Segoe UI" w:hAnsi="Segoe UI" w:cs="Segoe UI"/>
          <w:sz w:val="24"/>
          <w:szCs w:val="24"/>
        </w:rPr>
      </w:pPr>
      <w:bookmarkStart w:id="56" w:name="_Toc451798289"/>
      <w:r w:rsidRPr="001541CB">
        <w:rPr>
          <w:rFonts w:ascii="Segoe UI" w:hAnsi="Segoe UI" w:cs="Segoe UI"/>
          <w:sz w:val="24"/>
          <w:szCs w:val="24"/>
        </w:rPr>
        <w:t>L</w:t>
      </w:r>
      <w:r w:rsidR="00C80ADF" w:rsidRPr="001541CB">
        <w:rPr>
          <w:rFonts w:ascii="Segoe UI" w:hAnsi="Segoe UI" w:cs="Segoe UI"/>
          <w:sz w:val="24"/>
          <w:szCs w:val="24"/>
        </w:rPr>
        <w:t>’exécution des</w:t>
      </w:r>
      <w:r w:rsidR="00DB6241" w:rsidRPr="001541CB">
        <w:rPr>
          <w:rFonts w:ascii="Segoe UI" w:hAnsi="Segoe UI" w:cs="Segoe UI"/>
          <w:sz w:val="24"/>
          <w:szCs w:val="24"/>
        </w:rPr>
        <w:t xml:space="preserve"> </w:t>
      </w:r>
      <w:r w:rsidR="00C80ADF" w:rsidRPr="001541CB">
        <w:rPr>
          <w:rFonts w:ascii="Segoe UI" w:hAnsi="Segoe UI" w:cs="Segoe UI"/>
          <w:sz w:val="24"/>
          <w:szCs w:val="24"/>
        </w:rPr>
        <w:t xml:space="preserve">charges de trésorerie se trouve </w:t>
      </w:r>
      <w:bookmarkEnd w:id="52"/>
      <w:r w:rsidR="00C80ADF" w:rsidRPr="001541CB">
        <w:rPr>
          <w:rFonts w:ascii="Segoe UI" w:hAnsi="Segoe UI" w:cs="Segoe UI"/>
          <w:sz w:val="24"/>
          <w:szCs w:val="24"/>
        </w:rPr>
        <w:t>récapitulé</w:t>
      </w:r>
      <w:r w:rsidRPr="001541CB">
        <w:rPr>
          <w:rFonts w:ascii="Segoe UI" w:hAnsi="Segoe UI" w:cs="Segoe UI"/>
          <w:sz w:val="24"/>
          <w:szCs w:val="24"/>
        </w:rPr>
        <w:t>e</w:t>
      </w:r>
      <w:r w:rsidR="00C80ADF" w:rsidRPr="001541CB">
        <w:rPr>
          <w:rFonts w:ascii="Segoe UI" w:hAnsi="Segoe UI" w:cs="Segoe UI"/>
          <w:sz w:val="24"/>
          <w:szCs w:val="24"/>
        </w:rPr>
        <w:t xml:space="preserve"> dans le</w:t>
      </w:r>
      <w:r w:rsidR="00355E6F" w:rsidRPr="001541CB">
        <w:rPr>
          <w:rFonts w:ascii="Segoe UI" w:hAnsi="Segoe UI" w:cs="Segoe UI"/>
          <w:sz w:val="24"/>
          <w:szCs w:val="24"/>
        </w:rPr>
        <w:t xml:space="preserve"> tableau n° </w:t>
      </w:r>
      <w:r w:rsidR="00C80ADF" w:rsidRPr="001541CB">
        <w:rPr>
          <w:rFonts w:ascii="Segoe UI" w:hAnsi="Segoe UI" w:cs="Segoe UI"/>
          <w:sz w:val="24"/>
          <w:szCs w:val="24"/>
        </w:rPr>
        <w:t>9</w:t>
      </w:r>
      <w:r w:rsidR="00355E6F" w:rsidRPr="001541CB">
        <w:rPr>
          <w:rFonts w:ascii="Segoe UI" w:hAnsi="Segoe UI" w:cs="Segoe UI"/>
          <w:sz w:val="24"/>
          <w:szCs w:val="24"/>
        </w:rPr>
        <w:t xml:space="preserve"> ci-après :</w:t>
      </w:r>
      <w:bookmarkEnd w:id="53"/>
      <w:bookmarkEnd w:id="54"/>
      <w:bookmarkEnd w:id="55"/>
      <w:bookmarkEnd w:id="56"/>
    </w:p>
    <w:p w14:paraId="630FAB72" w14:textId="77777777" w:rsidR="00CF62E7" w:rsidRDefault="00CF62E7" w:rsidP="00012586">
      <w:pPr>
        <w:rPr>
          <w:rFonts w:ascii="Segoe UI" w:hAnsi="Segoe UI" w:cs="Segoe UI"/>
          <w:sz w:val="24"/>
          <w:szCs w:val="24"/>
        </w:rPr>
      </w:pPr>
    </w:p>
    <w:p w14:paraId="33E51939" w14:textId="77777777" w:rsidR="00CF62E7" w:rsidRDefault="00CF62E7" w:rsidP="00012586">
      <w:pPr>
        <w:rPr>
          <w:rFonts w:ascii="Segoe UI" w:hAnsi="Segoe UI" w:cs="Segoe UI"/>
          <w:sz w:val="24"/>
          <w:szCs w:val="24"/>
        </w:rPr>
      </w:pPr>
    </w:p>
    <w:p w14:paraId="77056922" w14:textId="77777777" w:rsidR="00CF62E7" w:rsidRDefault="00CF62E7" w:rsidP="00012586">
      <w:pPr>
        <w:rPr>
          <w:rFonts w:ascii="Segoe UI" w:hAnsi="Segoe UI" w:cs="Segoe UI"/>
          <w:sz w:val="24"/>
          <w:szCs w:val="24"/>
        </w:rPr>
      </w:pPr>
    </w:p>
    <w:p w14:paraId="259F3DDB" w14:textId="77777777" w:rsidR="00CF62E7" w:rsidRDefault="00CF62E7" w:rsidP="00012586">
      <w:pPr>
        <w:rPr>
          <w:rFonts w:ascii="Segoe UI" w:hAnsi="Segoe UI" w:cs="Segoe UI"/>
          <w:sz w:val="24"/>
          <w:szCs w:val="24"/>
        </w:rPr>
      </w:pPr>
    </w:p>
    <w:p w14:paraId="6914C1D0" w14:textId="77777777" w:rsidR="00CF62E7" w:rsidRDefault="00CF62E7" w:rsidP="00012586">
      <w:pPr>
        <w:rPr>
          <w:rFonts w:ascii="Segoe UI" w:hAnsi="Segoe UI" w:cs="Segoe UI"/>
          <w:sz w:val="24"/>
          <w:szCs w:val="24"/>
        </w:rPr>
      </w:pPr>
    </w:p>
    <w:p w14:paraId="5C5C3ECC" w14:textId="77777777" w:rsidR="00CF62E7" w:rsidRDefault="00CF62E7" w:rsidP="00012586">
      <w:pPr>
        <w:rPr>
          <w:rFonts w:ascii="Segoe UI" w:hAnsi="Segoe UI" w:cs="Segoe UI"/>
          <w:sz w:val="24"/>
          <w:szCs w:val="24"/>
        </w:rPr>
      </w:pPr>
    </w:p>
    <w:p w14:paraId="2162460F" w14:textId="77777777" w:rsidR="00355E6F" w:rsidRDefault="00C37643" w:rsidP="00C21A4E">
      <w:pPr>
        <w:pStyle w:val="Listedestableaux"/>
        <w:spacing w:line="240" w:lineRule="auto"/>
        <w:rPr>
          <w:rFonts w:ascii="Segoe UI" w:hAnsi="Segoe UI" w:cs="Segoe UI"/>
          <w:sz w:val="24"/>
          <w:szCs w:val="24"/>
        </w:rPr>
      </w:pPr>
      <w:bookmarkStart w:id="57" w:name="_Toc435284869"/>
      <w:bookmarkStart w:id="58" w:name="_Toc435295635"/>
      <w:bookmarkStart w:id="59" w:name="_Toc481952119"/>
      <w:r w:rsidRPr="001541CB">
        <w:rPr>
          <w:rFonts w:ascii="Segoe UI" w:hAnsi="Segoe UI" w:cs="Segoe UI"/>
          <w:sz w:val="24"/>
          <w:szCs w:val="24"/>
          <w:u w:val="single"/>
        </w:rPr>
        <w:lastRenderedPageBreak/>
        <w:t xml:space="preserve">Tableau </w:t>
      </w:r>
      <w:r w:rsidR="001B1451" w:rsidRPr="001541CB">
        <w:rPr>
          <w:rFonts w:ascii="Segoe UI" w:hAnsi="Segoe UI" w:cs="Segoe UI"/>
          <w:sz w:val="24"/>
          <w:szCs w:val="24"/>
          <w:u w:val="single"/>
        </w:rPr>
        <w:t>9</w:t>
      </w:r>
      <w:r w:rsidR="00355E6F" w:rsidRPr="001541CB">
        <w:rPr>
          <w:rFonts w:ascii="Segoe UI" w:hAnsi="Segoe UI" w:cs="Segoe UI"/>
          <w:sz w:val="24"/>
          <w:szCs w:val="24"/>
        </w:rPr>
        <w:t xml:space="preserve">: Niveau d’exécution des </w:t>
      </w:r>
      <w:r w:rsidR="001B1451" w:rsidRPr="001541CB">
        <w:rPr>
          <w:rFonts w:ascii="Segoe UI" w:hAnsi="Segoe UI" w:cs="Segoe UI"/>
          <w:sz w:val="24"/>
          <w:szCs w:val="24"/>
        </w:rPr>
        <w:t>charg</w:t>
      </w:r>
      <w:r w:rsidR="00355E6F" w:rsidRPr="001541CB">
        <w:rPr>
          <w:rFonts w:ascii="Segoe UI" w:hAnsi="Segoe UI" w:cs="Segoe UI"/>
          <w:sz w:val="24"/>
          <w:szCs w:val="24"/>
        </w:rPr>
        <w:t xml:space="preserve">es de trésorerie par nature à fin </w:t>
      </w:r>
      <w:r w:rsidR="00792ACF" w:rsidRPr="001541CB">
        <w:rPr>
          <w:rFonts w:ascii="Segoe UI" w:hAnsi="Segoe UI" w:cs="Segoe UI"/>
          <w:sz w:val="24"/>
          <w:szCs w:val="24"/>
        </w:rPr>
        <w:t>mars</w:t>
      </w:r>
      <w:r w:rsidR="00355E6F" w:rsidRPr="001541CB">
        <w:rPr>
          <w:rFonts w:ascii="Segoe UI" w:hAnsi="Segoe UI" w:cs="Segoe UI"/>
          <w:sz w:val="24"/>
          <w:szCs w:val="24"/>
        </w:rPr>
        <w:t xml:space="preserve"> 201</w:t>
      </w:r>
      <w:bookmarkEnd w:id="57"/>
      <w:bookmarkEnd w:id="58"/>
      <w:r w:rsidR="00D3616E" w:rsidRPr="001541CB">
        <w:rPr>
          <w:rFonts w:ascii="Segoe UI" w:hAnsi="Segoe UI" w:cs="Segoe UI"/>
          <w:sz w:val="24"/>
          <w:szCs w:val="24"/>
        </w:rPr>
        <w:t>7</w:t>
      </w:r>
      <w:bookmarkEnd w:id="59"/>
    </w:p>
    <w:p w14:paraId="522680D8" w14:textId="77777777" w:rsidR="001E29CD" w:rsidRPr="001E29CD" w:rsidRDefault="001E29CD" w:rsidP="001E29CD">
      <w:pPr>
        <w:pStyle w:val="Listedestableaux"/>
        <w:spacing w:line="240" w:lineRule="auto"/>
        <w:rPr>
          <w:rFonts w:ascii="Segoe UI" w:hAnsi="Segoe UI" w:cs="Segoe UI"/>
          <w:b w:val="0"/>
          <w:sz w:val="24"/>
          <w:szCs w:val="24"/>
        </w:rPr>
      </w:pPr>
      <w:r w:rsidRPr="001E29CD">
        <w:rPr>
          <w:rFonts w:ascii="Segoe UI" w:hAnsi="Segoe UI" w:cs="Segoe UI"/>
          <w:sz w:val="24"/>
          <w:szCs w:val="24"/>
        </w:rPr>
        <w:t xml:space="preserve">                                                                                             </w:t>
      </w:r>
      <w:bookmarkStart w:id="60" w:name="_Toc481952120"/>
      <w:r w:rsidRPr="001E29CD">
        <w:rPr>
          <w:rFonts w:ascii="Segoe UI" w:eastAsia="Times New Roman" w:hAnsi="Segoe UI" w:cs="Segoe UI"/>
          <w:b w:val="0"/>
          <w:sz w:val="24"/>
          <w:szCs w:val="24"/>
        </w:rPr>
        <w:t>En millions de FCFA</w:t>
      </w:r>
      <w:bookmarkEnd w:id="60"/>
    </w:p>
    <w:tbl>
      <w:tblPr>
        <w:tblW w:w="9500" w:type="dxa"/>
        <w:tblInd w:w="55" w:type="dxa"/>
        <w:tblCellMar>
          <w:left w:w="70" w:type="dxa"/>
          <w:right w:w="70" w:type="dxa"/>
        </w:tblCellMar>
        <w:tblLook w:val="04A0" w:firstRow="1" w:lastRow="0" w:firstColumn="1" w:lastColumn="0" w:noHBand="0" w:noVBand="1"/>
      </w:tblPr>
      <w:tblGrid>
        <w:gridCol w:w="5380"/>
        <w:gridCol w:w="1336"/>
        <w:gridCol w:w="1584"/>
        <w:gridCol w:w="1200"/>
      </w:tblGrid>
      <w:tr w:rsidR="009F74A6" w:rsidRPr="00003D22" w14:paraId="22531290" w14:textId="77777777" w:rsidTr="009F74A6">
        <w:trPr>
          <w:trHeight w:val="315"/>
        </w:trPr>
        <w:tc>
          <w:tcPr>
            <w:tcW w:w="5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29BEAE" w14:textId="77777777" w:rsidR="009F74A6" w:rsidRPr="002E4977" w:rsidRDefault="009F74A6" w:rsidP="009F74A6">
            <w:pPr>
              <w:spacing w:after="0" w:line="240" w:lineRule="auto"/>
              <w:jc w:val="center"/>
              <w:rPr>
                <w:rFonts w:ascii="Segoe UI" w:eastAsia="Times New Roman" w:hAnsi="Segoe UI" w:cs="Segoe UI"/>
                <w:b/>
                <w:bCs/>
                <w:sz w:val="20"/>
                <w:szCs w:val="24"/>
              </w:rPr>
            </w:pPr>
            <w:r w:rsidRPr="002E4977">
              <w:rPr>
                <w:rFonts w:ascii="Segoe UI" w:eastAsia="Times New Roman" w:hAnsi="Segoe UI" w:cs="Segoe UI"/>
                <w:b/>
                <w:bCs/>
                <w:sz w:val="20"/>
                <w:szCs w:val="24"/>
              </w:rPr>
              <w:t>Nature</w:t>
            </w:r>
          </w:p>
        </w:tc>
        <w:tc>
          <w:tcPr>
            <w:tcW w:w="1336" w:type="dxa"/>
            <w:tcBorders>
              <w:top w:val="single" w:sz="4" w:space="0" w:color="auto"/>
              <w:left w:val="nil"/>
              <w:bottom w:val="single" w:sz="4" w:space="0" w:color="auto"/>
              <w:right w:val="single" w:sz="4" w:space="0" w:color="auto"/>
            </w:tcBorders>
            <w:shd w:val="clear" w:color="auto" w:fill="auto"/>
            <w:noWrap/>
            <w:vAlign w:val="center"/>
            <w:hideMark/>
          </w:tcPr>
          <w:p w14:paraId="1E84D561" w14:textId="77777777" w:rsidR="009F74A6" w:rsidRPr="002E4977" w:rsidRDefault="009F74A6" w:rsidP="009F74A6">
            <w:pPr>
              <w:spacing w:after="0" w:line="240" w:lineRule="auto"/>
              <w:jc w:val="right"/>
              <w:rPr>
                <w:rFonts w:ascii="Segoe UI" w:eastAsia="Times New Roman" w:hAnsi="Segoe UI" w:cs="Segoe UI"/>
                <w:b/>
                <w:bCs/>
                <w:sz w:val="20"/>
                <w:szCs w:val="24"/>
              </w:rPr>
            </w:pPr>
            <w:r w:rsidRPr="002E4977">
              <w:rPr>
                <w:rFonts w:ascii="Segoe UI" w:eastAsia="Times New Roman" w:hAnsi="Segoe UI" w:cs="Segoe UI"/>
                <w:b/>
                <w:bCs/>
                <w:sz w:val="20"/>
                <w:szCs w:val="24"/>
              </w:rPr>
              <w:t>Prévisions</w:t>
            </w:r>
          </w:p>
        </w:tc>
        <w:tc>
          <w:tcPr>
            <w:tcW w:w="1584" w:type="dxa"/>
            <w:tcBorders>
              <w:top w:val="single" w:sz="4" w:space="0" w:color="auto"/>
              <w:left w:val="nil"/>
              <w:bottom w:val="single" w:sz="4" w:space="0" w:color="auto"/>
              <w:right w:val="single" w:sz="4" w:space="0" w:color="auto"/>
            </w:tcBorders>
            <w:shd w:val="clear" w:color="auto" w:fill="auto"/>
            <w:noWrap/>
            <w:vAlign w:val="center"/>
            <w:hideMark/>
          </w:tcPr>
          <w:p w14:paraId="68FABE9B" w14:textId="77777777" w:rsidR="009F74A6" w:rsidRPr="002E4977" w:rsidRDefault="009F74A6" w:rsidP="009F74A6">
            <w:pPr>
              <w:spacing w:after="0" w:line="240" w:lineRule="auto"/>
              <w:jc w:val="right"/>
              <w:rPr>
                <w:rFonts w:ascii="Segoe UI" w:eastAsia="Times New Roman" w:hAnsi="Segoe UI" w:cs="Segoe UI"/>
                <w:b/>
                <w:bCs/>
                <w:sz w:val="20"/>
                <w:szCs w:val="24"/>
              </w:rPr>
            </w:pPr>
            <w:r w:rsidRPr="002E4977">
              <w:rPr>
                <w:rFonts w:ascii="Segoe UI" w:eastAsia="Times New Roman" w:hAnsi="Segoe UI" w:cs="Segoe UI"/>
                <w:b/>
                <w:bCs/>
                <w:sz w:val="20"/>
                <w:szCs w:val="24"/>
              </w:rPr>
              <w:t>Réalisations</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766F2E60" w14:textId="77777777" w:rsidR="009F74A6" w:rsidRPr="002E4977" w:rsidRDefault="009F74A6" w:rsidP="009F74A6">
            <w:pPr>
              <w:spacing w:after="0" w:line="240" w:lineRule="auto"/>
              <w:jc w:val="center"/>
              <w:rPr>
                <w:rFonts w:ascii="Segoe UI" w:eastAsia="Times New Roman" w:hAnsi="Segoe UI" w:cs="Segoe UI"/>
                <w:b/>
                <w:bCs/>
                <w:i/>
                <w:iCs/>
                <w:sz w:val="20"/>
                <w:szCs w:val="24"/>
              </w:rPr>
            </w:pPr>
            <w:r w:rsidRPr="002E4977">
              <w:rPr>
                <w:rFonts w:ascii="Segoe UI" w:eastAsia="Times New Roman" w:hAnsi="Segoe UI" w:cs="Segoe UI"/>
                <w:b/>
                <w:bCs/>
                <w:i/>
                <w:iCs/>
                <w:sz w:val="20"/>
                <w:szCs w:val="24"/>
              </w:rPr>
              <w:t>Taux (%)</w:t>
            </w:r>
          </w:p>
        </w:tc>
      </w:tr>
      <w:tr w:rsidR="009F74A6" w:rsidRPr="00003D22" w14:paraId="2F8C1FA9" w14:textId="77777777" w:rsidTr="003D7177">
        <w:trPr>
          <w:trHeight w:val="31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14:paraId="67FBD130" w14:textId="77777777" w:rsidR="009F74A6" w:rsidRPr="002E4977" w:rsidRDefault="009F74A6" w:rsidP="009F74A6">
            <w:pPr>
              <w:spacing w:after="0" w:line="240" w:lineRule="auto"/>
              <w:rPr>
                <w:rFonts w:ascii="Segoe UI" w:eastAsia="Times New Roman" w:hAnsi="Segoe UI" w:cs="Segoe UI"/>
                <w:sz w:val="20"/>
                <w:szCs w:val="24"/>
              </w:rPr>
            </w:pPr>
            <w:r w:rsidRPr="002E4977">
              <w:rPr>
                <w:rFonts w:ascii="Segoe UI" w:eastAsia="Times New Roman" w:hAnsi="Segoe UI" w:cs="Segoe UI"/>
                <w:sz w:val="20"/>
                <w:szCs w:val="24"/>
              </w:rPr>
              <w:t>Prêts et avances</w:t>
            </w:r>
          </w:p>
        </w:tc>
        <w:tc>
          <w:tcPr>
            <w:tcW w:w="1336" w:type="dxa"/>
            <w:tcBorders>
              <w:top w:val="nil"/>
              <w:left w:val="nil"/>
              <w:bottom w:val="single" w:sz="4" w:space="0" w:color="auto"/>
              <w:right w:val="single" w:sz="4" w:space="0" w:color="auto"/>
            </w:tcBorders>
            <w:shd w:val="clear" w:color="auto" w:fill="auto"/>
            <w:noWrap/>
            <w:vAlign w:val="center"/>
            <w:hideMark/>
          </w:tcPr>
          <w:p w14:paraId="42950517" w14:textId="77777777" w:rsidR="009F74A6" w:rsidRPr="002E4977" w:rsidRDefault="00497A9A" w:rsidP="00681A1C">
            <w:pPr>
              <w:spacing w:after="0" w:line="240" w:lineRule="auto"/>
              <w:jc w:val="right"/>
              <w:rPr>
                <w:rFonts w:ascii="Segoe UI" w:eastAsia="Times New Roman" w:hAnsi="Segoe UI" w:cs="Segoe UI"/>
                <w:sz w:val="20"/>
                <w:szCs w:val="24"/>
              </w:rPr>
            </w:pPr>
            <w:r w:rsidRPr="002E4977">
              <w:rPr>
                <w:rFonts w:ascii="Segoe UI" w:eastAsia="Times New Roman" w:hAnsi="Segoe UI" w:cs="Segoe UI"/>
                <w:sz w:val="20"/>
                <w:szCs w:val="24"/>
              </w:rPr>
              <w:t>3 200</w:t>
            </w:r>
          </w:p>
        </w:tc>
        <w:tc>
          <w:tcPr>
            <w:tcW w:w="1584" w:type="dxa"/>
            <w:tcBorders>
              <w:top w:val="nil"/>
              <w:left w:val="nil"/>
              <w:bottom w:val="single" w:sz="4" w:space="0" w:color="auto"/>
              <w:right w:val="single" w:sz="4" w:space="0" w:color="auto"/>
            </w:tcBorders>
            <w:shd w:val="clear" w:color="auto" w:fill="auto"/>
            <w:noWrap/>
            <w:vAlign w:val="center"/>
            <w:hideMark/>
          </w:tcPr>
          <w:p w14:paraId="69F11759" w14:textId="77777777" w:rsidR="009F74A6" w:rsidRPr="002E4977" w:rsidRDefault="00467E06" w:rsidP="009F74A6">
            <w:pPr>
              <w:spacing w:after="0" w:line="240" w:lineRule="auto"/>
              <w:jc w:val="right"/>
              <w:rPr>
                <w:rFonts w:ascii="Segoe UI" w:eastAsia="Times New Roman" w:hAnsi="Segoe UI" w:cs="Segoe UI"/>
                <w:sz w:val="20"/>
                <w:szCs w:val="24"/>
              </w:rPr>
            </w:pPr>
            <w:r w:rsidRPr="002E4977">
              <w:rPr>
                <w:rFonts w:ascii="Segoe UI" w:eastAsia="Times New Roman" w:hAnsi="Segoe UI" w:cs="Segoe UI"/>
                <w:sz w:val="20"/>
                <w:szCs w:val="24"/>
              </w:rPr>
              <w:t>0,0</w:t>
            </w:r>
          </w:p>
        </w:tc>
        <w:tc>
          <w:tcPr>
            <w:tcW w:w="1200" w:type="dxa"/>
            <w:tcBorders>
              <w:top w:val="nil"/>
              <w:left w:val="nil"/>
              <w:bottom w:val="single" w:sz="4" w:space="0" w:color="auto"/>
              <w:right w:val="single" w:sz="4" w:space="0" w:color="auto"/>
            </w:tcBorders>
            <w:shd w:val="clear" w:color="auto" w:fill="auto"/>
            <w:noWrap/>
            <w:vAlign w:val="center"/>
            <w:hideMark/>
          </w:tcPr>
          <w:p w14:paraId="6119A2EC" w14:textId="77777777" w:rsidR="009F74A6" w:rsidRPr="002E4977" w:rsidRDefault="009F74A6" w:rsidP="009F74A6">
            <w:pPr>
              <w:spacing w:after="0" w:line="240" w:lineRule="auto"/>
              <w:jc w:val="center"/>
              <w:rPr>
                <w:rFonts w:ascii="Segoe UI" w:eastAsia="Times New Roman" w:hAnsi="Segoe UI" w:cs="Segoe UI"/>
                <w:sz w:val="20"/>
                <w:szCs w:val="24"/>
              </w:rPr>
            </w:pPr>
            <w:r w:rsidRPr="002E4977">
              <w:rPr>
                <w:rFonts w:ascii="Segoe UI" w:eastAsia="Times New Roman" w:hAnsi="Segoe UI" w:cs="Segoe UI"/>
                <w:sz w:val="20"/>
                <w:szCs w:val="24"/>
              </w:rPr>
              <w:t>0,0</w:t>
            </w:r>
          </w:p>
        </w:tc>
      </w:tr>
      <w:tr w:rsidR="009F74A6" w:rsidRPr="00003D22" w14:paraId="2EF35095" w14:textId="77777777" w:rsidTr="003D7177">
        <w:trPr>
          <w:trHeight w:val="31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14:paraId="2DA76DC3" w14:textId="77777777" w:rsidR="009F74A6" w:rsidRPr="002E4977" w:rsidRDefault="009F74A6" w:rsidP="009F74A6">
            <w:pPr>
              <w:spacing w:after="0" w:line="240" w:lineRule="auto"/>
              <w:rPr>
                <w:rFonts w:ascii="Segoe UI" w:eastAsia="Times New Roman" w:hAnsi="Segoe UI" w:cs="Segoe UI"/>
                <w:sz w:val="20"/>
                <w:szCs w:val="24"/>
              </w:rPr>
            </w:pPr>
            <w:r w:rsidRPr="002E4977">
              <w:rPr>
                <w:rFonts w:ascii="Segoe UI" w:eastAsia="Times New Roman" w:hAnsi="Segoe UI" w:cs="Segoe UI"/>
                <w:sz w:val="20"/>
                <w:szCs w:val="24"/>
              </w:rPr>
              <w:t>Amortissement emprunts obligataires</w:t>
            </w:r>
          </w:p>
        </w:tc>
        <w:tc>
          <w:tcPr>
            <w:tcW w:w="1336" w:type="dxa"/>
            <w:tcBorders>
              <w:top w:val="nil"/>
              <w:left w:val="nil"/>
              <w:bottom w:val="single" w:sz="4" w:space="0" w:color="auto"/>
              <w:right w:val="single" w:sz="4" w:space="0" w:color="auto"/>
            </w:tcBorders>
            <w:shd w:val="clear" w:color="auto" w:fill="auto"/>
            <w:noWrap/>
            <w:vAlign w:val="center"/>
            <w:hideMark/>
          </w:tcPr>
          <w:p w14:paraId="0B2AA3BD" w14:textId="77777777" w:rsidR="009F74A6" w:rsidRPr="002E4977" w:rsidRDefault="00497A9A" w:rsidP="00681A1C">
            <w:pPr>
              <w:spacing w:after="0" w:line="240" w:lineRule="auto"/>
              <w:jc w:val="right"/>
              <w:rPr>
                <w:rFonts w:ascii="Segoe UI" w:eastAsia="Times New Roman" w:hAnsi="Segoe UI" w:cs="Segoe UI"/>
                <w:sz w:val="20"/>
                <w:szCs w:val="24"/>
              </w:rPr>
            </w:pPr>
            <w:r w:rsidRPr="002E4977">
              <w:rPr>
                <w:rFonts w:ascii="Segoe UI" w:eastAsia="Times New Roman" w:hAnsi="Segoe UI" w:cs="Segoe UI"/>
                <w:sz w:val="20"/>
                <w:szCs w:val="24"/>
              </w:rPr>
              <w:t>48 600</w:t>
            </w:r>
          </w:p>
        </w:tc>
        <w:tc>
          <w:tcPr>
            <w:tcW w:w="1584" w:type="dxa"/>
            <w:tcBorders>
              <w:top w:val="nil"/>
              <w:left w:val="nil"/>
              <w:bottom w:val="single" w:sz="4" w:space="0" w:color="auto"/>
              <w:right w:val="single" w:sz="4" w:space="0" w:color="auto"/>
            </w:tcBorders>
            <w:shd w:val="clear" w:color="auto" w:fill="auto"/>
            <w:noWrap/>
            <w:vAlign w:val="center"/>
            <w:hideMark/>
          </w:tcPr>
          <w:p w14:paraId="7DD85196" w14:textId="77777777" w:rsidR="009F74A6" w:rsidRPr="002E4977" w:rsidRDefault="00277602" w:rsidP="00681A1C">
            <w:pPr>
              <w:spacing w:after="0" w:line="240" w:lineRule="auto"/>
              <w:jc w:val="right"/>
              <w:rPr>
                <w:rFonts w:ascii="Segoe UI" w:eastAsia="Times New Roman" w:hAnsi="Segoe UI" w:cs="Segoe UI"/>
                <w:sz w:val="20"/>
                <w:szCs w:val="24"/>
              </w:rPr>
            </w:pPr>
            <w:r w:rsidRPr="002E4977">
              <w:rPr>
                <w:rFonts w:ascii="Segoe UI" w:eastAsia="Times New Roman" w:hAnsi="Segoe UI" w:cs="Segoe UI"/>
                <w:sz w:val="20"/>
                <w:szCs w:val="24"/>
              </w:rPr>
              <w:t>0,0</w:t>
            </w:r>
          </w:p>
        </w:tc>
        <w:tc>
          <w:tcPr>
            <w:tcW w:w="1200" w:type="dxa"/>
            <w:tcBorders>
              <w:top w:val="nil"/>
              <w:left w:val="nil"/>
              <w:bottom w:val="single" w:sz="4" w:space="0" w:color="auto"/>
              <w:right w:val="single" w:sz="4" w:space="0" w:color="auto"/>
            </w:tcBorders>
            <w:shd w:val="clear" w:color="auto" w:fill="auto"/>
            <w:noWrap/>
            <w:vAlign w:val="center"/>
            <w:hideMark/>
          </w:tcPr>
          <w:p w14:paraId="6EBEF614" w14:textId="77777777" w:rsidR="009F74A6" w:rsidRPr="002E4977" w:rsidRDefault="0082098B" w:rsidP="00681A1C">
            <w:pPr>
              <w:spacing w:after="0" w:line="240" w:lineRule="auto"/>
              <w:jc w:val="center"/>
              <w:rPr>
                <w:rFonts w:ascii="Segoe UI" w:eastAsia="Times New Roman" w:hAnsi="Segoe UI" w:cs="Segoe UI"/>
                <w:sz w:val="20"/>
                <w:szCs w:val="24"/>
              </w:rPr>
            </w:pPr>
            <w:r w:rsidRPr="002E4977">
              <w:rPr>
                <w:rFonts w:ascii="Segoe UI" w:eastAsia="Times New Roman" w:hAnsi="Segoe UI" w:cs="Segoe UI"/>
                <w:sz w:val="20"/>
                <w:szCs w:val="24"/>
              </w:rPr>
              <w:t>-</w:t>
            </w:r>
          </w:p>
        </w:tc>
      </w:tr>
      <w:tr w:rsidR="00467E06" w:rsidRPr="00003D22" w14:paraId="6EC9808F" w14:textId="77777777" w:rsidTr="003D7177">
        <w:trPr>
          <w:trHeight w:val="31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14:paraId="47672C96" w14:textId="77777777" w:rsidR="00467E06" w:rsidRPr="002E4977" w:rsidRDefault="00467E06" w:rsidP="009F74A6">
            <w:pPr>
              <w:spacing w:after="0" w:line="240" w:lineRule="auto"/>
              <w:rPr>
                <w:rFonts w:ascii="Segoe UI" w:eastAsia="Times New Roman" w:hAnsi="Segoe UI" w:cs="Segoe UI"/>
                <w:sz w:val="20"/>
                <w:szCs w:val="24"/>
              </w:rPr>
            </w:pPr>
            <w:r w:rsidRPr="002E4977">
              <w:rPr>
                <w:rFonts w:ascii="Segoe UI" w:eastAsia="Times New Roman" w:hAnsi="Segoe UI" w:cs="Segoe UI"/>
                <w:sz w:val="20"/>
                <w:szCs w:val="24"/>
              </w:rPr>
              <w:t>Amortissement tirages FMI</w:t>
            </w:r>
          </w:p>
        </w:tc>
        <w:tc>
          <w:tcPr>
            <w:tcW w:w="1336" w:type="dxa"/>
            <w:tcBorders>
              <w:top w:val="nil"/>
              <w:left w:val="nil"/>
              <w:bottom w:val="single" w:sz="4" w:space="0" w:color="auto"/>
              <w:right w:val="single" w:sz="4" w:space="0" w:color="auto"/>
            </w:tcBorders>
            <w:shd w:val="clear" w:color="auto" w:fill="auto"/>
            <w:noWrap/>
            <w:vAlign w:val="center"/>
            <w:hideMark/>
          </w:tcPr>
          <w:p w14:paraId="5C2642C5" w14:textId="77777777" w:rsidR="00467E06" w:rsidRPr="002E4977" w:rsidRDefault="00467E06" w:rsidP="00681A1C">
            <w:pPr>
              <w:spacing w:after="0" w:line="240" w:lineRule="auto"/>
              <w:jc w:val="right"/>
              <w:rPr>
                <w:rFonts w:ascii="Segoe UI" w:eastAsia="Times New Roman" w:hAnsi="Segoe UI" w:cs="Segoe UI"/>
                <w:sz w:val="20"/>
                <w:szCs w:val="24"/>
              </w:rPr>
            </w:pPr>
            <w:r w:rsidRPr="002E4977">
              <w:rPr>
                <w:rFonts w:ascii="Segoe UI" w:eastAsia="Times New Roman" w:hAnsi="Segoe UI" w:cs="Segoe UI"/>
                <w:sz w:val="20"/>
                <w:szCs w:val="24"/>
              </w:rPr>
              <w:t>9 600</w:t>
            </w:r>
          </w:p>
        </w:tc>
        <w:tc>
          <w:tcPr>
            <w:tcW w:w="1584" w:type="dxa"/>
            <w:tcBorders>
              <w:top w:val="nil"/>
              <w:left w:val="nil"/>
              <w:bottom w:val="single" w:sz="4" w:space="0" w:color="auto"/>
              <w:right w:val="single" w:sz="4" w:space="0" w:color="auto"/>
            </w:tcBorders>
            <w:shd w:val="clear" w:color="auto" w:fill="auto"/>
            <w:noWrap/>
            <w:vAlign w:val="center"/>
            <w:hideMark/>
          </w:tcPr>
          <w:p w14:paraId="42DC55F5" w14:textId="77777777" w:rsidR="00467E06" w:rsidRPr="002E4977" w:rsidRDefault="00467E06" w:rsidP="00815662">
            <w:pPr>
              <w:spacing w:after="0" w:line="240" w:lineRule="auto"/>
              <w:jc w:val="right"/>
              <w:rPr>
                <w:rFonts w:ascii="Segoe UI" w:eastAsia="Times New Roman" w:hAnsi="Segoe UI" w:cs="Segoe UI"/>
                <w:sz w:val="20"/>
                <w:szCs w:val="24"/>
              </w:rPr>
            </w:pPr>
            <w:r w:rsidRPr="002E4977">
              <w:rPr>
                <w:rFonts w:ascii="Segoe UI" w:eastAsia="Times New Roman" w:hAnsi="Segoe UI" w:cs="Segoe UI"/>
                <w:sz w:val="20"/>
                <w:szCs w:val="24"/>
              </w:rPr>
              <w:t>2 337,7 </w:t>
            </w:r>
          </w:p>
        </w:tc>
        <w:tc>
          <w:tcPr>
            <w:tcW w:w="1200" w:type="dxa"/>
            <w:tcBorders>
              <w:top w:val="nil"/>
              <w:left w:val="nil"/>
              <w:bottom w:val="single" w:sz="4" w:space="0" w:color="auto"/>
              <w:right w:val="single" w:sz="4" w:space="0" w:color="auto"/>
            </w:tcBorders>
            <w:shd w:val="clear" w:color="auto" w:fill="auto"/>
            <w:noWrap/>
            <w:vAlign w:val="center"/>
            <w:hideMark/>
          </w:tcPr>
          <w:p w14:paraId="19DA8268" w14:textId="77777777" w:rsidR="00467E06" w:rsidRPr="002E4977" w:rsidRDefault="00467E06" w:rsidP="00816D3B">
            <w:pPr>
              <w:spacing w:after="0" w:line="240" w:lineRule="auto"/>
              <w:jc w:val="center"/>
              <w:rPr>
                <w:rFonts w:ascii="Segoe UI" w:eastAsia="Times New Roman" w:hAnsi="Segoe UI" w:cs="Segoe UI"/>
                <w:sz w:val="20"/>
                <w:szCs w:val="24"/>
              </w:rPr>
            </w:pPr>
            <w:r w:rsidRPr="002E4977">
              <w:rPr>
                <w:rFonts w:ascii="Segoe UI" w:eastAsia="Times New Roman" w:hAnsi="Segoe UI" w:cs="Segoe UI"/>
                <w:sz w:val="20"/>
                <w:szCs w:val="24"/>
              </w:rPr>
              <w:t>24,4</w:t>
            </w:r>
          </w:p>
        </w:tc>
      </w:tr>
      <w:tr w:rsidR="00467E06" w:rsidRPr="00003D22" w14:paraId="3B6228E1" w14:textId="77777777" w:rsidTr="003D7177">
        <w:trPr>
          <w:trHeight w:val="31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14:paraId="4355D14E" w14:textId="77777777" w:rsidR="00467E06" w:rsidRPr="002E4977" w:rsidRDefault="00467E06" w:rsidP="009F74A6">
            <w:pPr>
              <w:spacing w:after="0" w:line="240" w:lineRule="auto"/>
              <w:rPr>
                <w:rFonts w:ascii="Segoe UI" w:eastAsia="Times New Roman" w:hAnsi="Segoe UI" w:cs="Segoe UI"/>
                <w:sz w:val="20"/>
                <w:szCs w:val="24"/>
              </w:rPr>
            </w:pPr>
            <w:r w:rsidRPr="002E4977">
              <w:rPr>
                <w:rFonts w:ascii="Segoe UI" w:eastAsia="Times New Roman" w:hAnsi="Segoe UI" w:cs="Segoe UI"/>
                <w:sz w:val="20"/>
                <w:szCs w:val="24"/>
              </w:rPr>
              <w:t>Amortissement emprunts extérieurs</w:t>
            </w:r>
          </w:p>
        </w:tc>
        <w:tc>
          <w:tcPr>
            <w:tcW w:w="1336" w:type="dxa"/>
            <w:tcBorders>
              <w:top w:val="nil"/>
              <w:left w:val="nil"/>
              <w:bottom w:val="single" w:sz="4" w:space="0" w:color="auto"/>
              <w:right w:val="single" w:sz="4" w:space="0" w:color="auto"/>
            </w:tcBorders>
            <w:shd w:val="clear" w:color="auto" w:fill="auto"/>
            <w:noWrap/>
            <w:vAlign w:val="center"/>
            <w:hideMark/>
          </w:tcPr>
          <w:p w14:paraId="4E4B71C8" w14:textId="77777777" w:rsidR="00467E06" w:rsidRPr="002E4977" w:rsidRDefault="00467E06" w:rsidP="00681A1C">
            <w:pPr>
              <w:spacing w:after="0" w:line="240" w:lineRule="auto"/>
              <w:jc w:val="right"/>
              <w:rPr>
                <w:rFonts w:ascii="Segoe UI" w:eastAsia="Times New Roman" w:hAnsi="Segoe UI" w:cs="Segoe UI"/>
                <w:sz w:val="20"/>
                <w:szCs w:val="24"/>
              </w:rPr>
            </w:pPr>
            <w:r w:rsidRPr="002E4977">
              <w:rPr>
                <w:rFonts w:ascii="Segoe UI" w:eastAsia="Times New Roman" w:hAnsi="Segoe UI" w:cs="Segoe UI"/>
                <w:sz w:val="20"/>
                <w:szCs w:val="24"/>
              </w:rPr>
              <w:t xml:space="preserve">31 600  </w:t>
            </w:r>
          </w:p>
        </w:tc>
        <w:tc>
          <w:tcPr>
            <w:tcW w:w="1584" w:type="dxa"/>
            <w:tcBorders>
              <w:top w:val="nil"/>
              <w:left w:val="nil"/>
              <w:bottom w:val="single" w:sz="4" w:space="0" w:color="auto"/>
              <w:right w:val="single" w:sz="4" w:space="0" w:color="auto"/>
            </w:tcBorders>
            <w:shd w:val="clear" w:color="auto" w:fill="auto"/>
            <w:noWrap/>
            <w:vAlign w:val="center"/>
            <w:hideMark/>
          </w:tcPr>
          <w:p w14:paraId="3F58D455" w14:textId="77777777" w:rsidR="00467E06" w:rsidRPr="002E4977" w:rsidRDefault="003D7177" w:rsidP="009F74A6">
            <w:pPr>
              <w:spacing w:after="0" w:line="240" w:lineRule="auto"/>
              <w:jc w:val="right"/>
              <w:rPr>
                <w:rFonts w:ascii="Segoe UI" w:eastAsia="Times New Roman" w:hAnsi="Segoe UI" w:cs="Segoe UI"/>
                <w:sz w:val="20"/>
                <w:szCs w:val="24"/>
              </w:rPr>
            </w:pPr>
            <w:r w:rsidRPr="002E4977">
              <w:rPr>
                <w:rFonts w:ascii="Segoe UI" w:eastAsia="Times New Roman" w:hAnsi="Segoe UI" w:cs="Segoe UI"/>
                <w:sz w:val="20"/>
                <w:szCs w:val="24"/>
              </w:rPr>
              <w:t>21 378,8</w:t>
            </w:r>
            <w:r w:rsidR="00467E06" w:rsidRPr="002E4977">
              <w:rPr>
                <w:rFonts w:ascii="Segoe UI" w:eastAsia="Times New Roman" w:hAnsi="Segoe UI" w:cs="Segoe UI"/>
                <w:sz w:val="20"/>
                <w:szCs w:val="24"/>
              </w:rPr>
              <w:t> </w:t>
            </w:r>
          </w:p>
        </w:tc>
        <w:tc>
          <w:tcPr>
            <w:tcW w:w="1200" w:type="dxa"/>
            <w:tcBorders>
              <w:top w:val="nil"/>
              <w:left w:val="nil"/>
              <w:bottom w:val="single" w:sz="4" w:space="0" w:color="auto"/>
              <w:right w:val="single" w:sz="4" w:space="0" w:color="auto"/>
            </w:tcBorders>
            <w:shd w:val="clear" w:color="auto" w:fill="auto"/>
            <w:noWrap/>
            <w:vAlign w:val="center"/>
            <w:hideMark/>
          </w:tcPr>
          <w:p w14:paraId="4DD69014" w14:textId="77777777" w:rsidR="00467E06" w:rsidRPr="002E4977" w:rsidRDefault="003D7177" w:rsidP="009F74A6">
            <w:pPr>
              <w:spacing w:after="0" w:line="240" w:lineRule="auto"/>
              <w:jc w:val="center"/>
              <w:rPr>
                <w:rFonts w:ascii="Segoe UI" w:eastAsia="Times New Roman" w:hAnsi="Segoe UI" w:cs="Segoe UI"/>
                <w:sz w:val="20"/>
                <w:szCs w:val="24"/>
              </w:rPr>
            </w:pPr>
            <w:r w:rsidRPr="002E4977">
              <w:rPr>
                <w:rFonts w:ascii="Segoe UI" w:eastAsia="Times New Roman" w:hAnsi="Segoe UI" w:cs="Segoe UI"/>
                <w:sz w:val="20"/>
                <w:szCs w:val="24"/>
              </w:rPr>
              <w:t>67,7</w:t>
            </w:r>
          </w:p>
        </w:tc>
      </w:tr>
      <w:tr w:rsidR="00467E06" w:rsidRPr="00003D22" w14:paraId="5F930E48" w14:textId="77777777" w:rsidTr="003D7177">
        <w:trPr>
          <w:trHeight w:val="31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14:paraId="3FC722DE" w14:textId="77777777" w:rsidR="00467E06" w:rsidRPr="002E4977" w:rsidRDefault="00467E06" w:rsidP="009F74A6">
            <w:pPr>
              <w:spacing w:after="0" w:line="240" w:lineRule="auto"/>
              <w:rPr>
                <w:rFonts w:ascii="Segoe UI" w:eastAsia="Times New Roman" w:hAnsi="Segoe UI" w:cs="Segoe UI"/>
                <w:sz w:val="20"/>
                <w:szCs w:val="24"/>
              </w:rPr>
            </w:pPr>
            <w:r w:rsidRPr="002E4977">
              <w:rPr>
                <w:rFonts w:ascii="Segoe UI" w:eastAsia="Times New Roman" w:hAnsi="Segoe UI" w:cs="Segoe UI"/>
                <w:sz w:val="20"/>
                <w:szCs w:val="24"/>
              </w:rPr>
              <w:t>Amortissement Bons du Trésor</w:t>
            </w:r>
          </w:p>
        </w:tc>
        <w:tc>
          <w:tcPr>
            <w:tcW w:w="1336" w:type="dxa"/>
            <w:tcBorders>
              <w:top w:val="nil"/>
              <w:left w:val="nil"/>
              <w:bottom w:val="single" w:sz="4" w:space="0" w:color="auto"/>
              <w:right w:val="single" w:sz="4" w:space="0" w:color="auto"/>
            </w:tcBorders>
            <w:shd w:val="clear" w:color="auto" w:fill="auto"/>
            <w:noWrap/>
            <w:vAlign w:val="center"/>
            <w:hideMark/>
          </w:tcPr>
          <w:p w14:paraId="55918466" w14:textId="77777777" w:rsidR="00467E06" w:rsidRPr="002E4977" w:rsidRDefault="00467E06" w:rsidP="00681A1C">
            <w:pPr>
              <w:spacing w:after="0" w:line="240" w:lineRule="auto"/>
              <w:jc w:val="right"/>
              <w:rPr>
                <w:rFonts w:ascii="Segoe UI" w:eastAsia="Times New Roman" w:hAnsi="Segoe UI" w:cs="Segoe UI"/>
                <w:sz w:val="20"/>
                <w:szCs w:val="24"/>
              </w:rPr>
            </w:pPr>
            <w:r w:rsidRPr="002E4977">
              <w:rPr>
                <w:rFonts w:ascii="Segoe UI" w:eastAsia="Times New Roman" w:hAnsi="Segoe UI" w:cs="Segoe UI"/>
                <w:sz w:val="20"/>
                <w:szCs w:val="24"/>
              </w:rPr>
              <w:t>162 000</w:t>
            </w:r>
          </w:p>
        </w:tc>
        <w:tc>
          <w:tcPr>
            <w:tcW w:w="1584" w:type="dxa"/>
            <w:tcBorders>
              <w:top w:val="nil"/>
              <w:left w:val="nil"/>
              <w:bottom w:val="single" w:sz="4" w:space="0" w:color="auto"/>
              <w:right w:val="single" w:sz="4" w:space="0" w:color="auto"/>
            </w:tcBorders>
            <w:shd w:val="clear" w:color="auto" w:fill="auto"/>
            <w:noWrap/>
            <w:vAlign w:val="center"/>
            <w:hideMark/>
          </w:tcPr>
          <w:p w14:paraId="4A913085" w14:textId="77777777" w:rsidR="00467E06" w:rsidRPr="002E4977" w:rsidRDefault="00FE4A7A" w:rsidP="00815662">
            <w:pPr>
              <w:spacing w:after="0" w:line="240" w:lineRule="auto"/>
              <w:jc w:val="right"/>
              <w:rPr>
                <w:rFonts w:ascii="Segoe UI" w:eastAsia="Times New Roman" w:hAnsi="Segoe UI" w:cs="Segoe UI"/>
                <w:sz w:val="20"/>
                <w:szCs w:val="24"/>
              </w:rPr>
            </w:pPr>
            <w:r w:rsidRPr="002E4977">
              <w:rPr>
                <w:rFonts w:ascii="Segoe UI" w:eastAsia="Times New Roman" w:hAnsi="Segoe UI" w:cs="Segoe UI"/>
                <w:sz w:val="20"/>
                <w:szCs w:val="24"/>
              </w:rPr>
              <w:t>27 500,0</w:t>
            </w:r>
          </w:p>
        </w:tc>
        <w:tc>
          <w:tcPr>
            <w:tcW w:w="1200" w:type="dxa"/>
            <w:tcBorders>
              <w:top w:val="nil"/>
              <w:left w:val="nil"/>
              <w:bottom w:val="single" w:sz="4" w:space="0" w:color="auto"/>
              <w:right w:val="single" w:sz="4" w:space="0" w:color="auto"/>
            </w:tcBorders>
            <w:shd w:val="clear" w:color="auto" w:fill="auto"/>
            <w:noWrap/>
            <w:vAlign w:val="center"/>
            <w:hideMark/>
          </w:tcPr>
          <w:p w14:paraId="3EFF34A2" w14:textId="77777777" w:rsidR="00467E06" w:rsidRPr="002E4977" w:rsidRDefault="00D966B2" w:rsidP="00681A1C">
            <w:pPr>
              <w:spacing w:after="0" w:line="240" w:lineRule="auto"/>
              <w:jc w:val="center"/>
              <w:rPr>
                <w:rFonts w:ascii="Segoe UI" w:eastAsia="Times New Roman" w:hAnsi="Segoe UI" w:cs="Segoe UI"/>
                <w:sz w:val="20"/>
                <w:szCs w:val="24"/>
              </w:rPr>
            </w:pPr>
            <w:r w:rsidRPr="002E4977">
              <w:rPr>
                <w:rFonts w:ascii="Segoe UI" w:eastAsia="Times New Roman" w:hAnsi="Segoe UI" w:cs="Segoe UI"/>
                <w:sz w:val="20"/>
                <w:szCs w:val="24"/>
              </w:rPr>
              <w:t>17,0</w:t>
            </w:r>
          </w:p>
        </w:tc>
      </w:tr>
      <w:tr w:rsidR="00467E06" w:rsidRPr="00003D22" w14:paraId="2458D3E6" w14:textId="77777777" w:rsidTr="003D7177">
        <w:trPr>
          <w:trHeight w:val="370"/>
        </w:trPr>
        <w:tc>
          <w:tcPr>
            <w:tcW w:w="5380" w:type="dxa"/>
            <w:tcBorders>
              <w:top w:val="nil"/>
              <w:left w:val="single" w:sz="4" w:space="0" w:color="auto"/>
              <w:bottom w:val="single" w:sz="4" w:space="0" w:color="auto"/>
              <w:right w:val="single" w:sz="4" w:space="0" w:color="auto"/>
            </w:tcBorders>
            <w:shd w:val="clear" w:color="auto" w:fill="auto"/>
            <w:noWrap/>
            <w:vAlign w:val="center"/>
          </w:tcPr>
          <w:p w14:paraId="2797BB6C" w14:textId="77777777" w:rsidR="00467E06" w:rsidRPr="002E4977" w:rsidRDefault="00467E06" w:rsidP="00681A1C">
            <w:pPr>
              <w:spacing w:after="0" w:line="240" w:lineRule="auto"/>
              <w:rPr>
                <w:rFonts w:ascii="Segoe UI" w:eastAsia="Times New Roman" w:hAnsi="Segoe UI" w:cs="Segoe UI"/>
                <w:bCs/>
                <w:sz w:val="20"/>
                <w:szCs w:val="24"/>
              </w:rPr>
            </w:pPr>
            <w:r w:rsidRPr="002E4977">
              <w:rPr>
                <w:rFonts w:ascii="Segoe UI" w:eastAsia="Times New Roman" w:hAnsi="Segoe UI" w:cs="Segoe UI"/>
                <w:bCs/>
                <w:sz w:val="20"/>
                <w:szCs w:val="24"/>
              </w:rPr>
              <w:t>Retraits des correspondants du trésor</w:t>
            </w:r>
          </w:p>
        </w:tc>
        <w:tc>
          <w:tcPr>
            <w:tcW w:w="1336" w:type="dxa"/>
            <w:tcBorders>
              <w:top w:val="nil"/>
              <w:left w:val="nil"/>
              <w:bottom w:val="single" w:sz="4" w:space="0" w:color="auto"/>
              <w:right w:val="single" w:sz="4" w:space="0" w:color="auto"/>
            </w:tcBorders>
            <w:shd w:val="clear" w:color="auto" w:fill="auto"/>
            <w:noWrap/>
            <w:vAlign w:val="center"/>
          </w:tcPr>
          <w:p w14:paraId="02FDDADB" w14:textId="77777777" w:rsidR="00467E06" w:rsidRPr="002E4977" w:rsidRDefault="00467E06" w:rsidP="00681A1C">
            <w:pPr>
              <w:spacing w:after="0" w:line="240" w:lineRule="auto"/>
              <w:jc w:val="right"/>
              <w:rPr>
                <w:rFonts w:ascii="Segoe UI" w:eastAsia="Times New Roman" w:hAnsi="Segoe UI" w:cs="Segoe UI"/>
                <w:bCs/>
                <w:sz w:val="20"/>
                <w:szCs w:val="24"/>
              </w:rPr>
            </w:pPr>
            <w:r w:rsidRPr="002E4977">
              <w:rPr>
                <w:rFonts w:ascii="Segoe UI" w:eastAsia="Times New Roman" w:hAnsi="Segoe UI" w:cs="Segoe UI"/>
                <w:bCs/>
                <w:sz w:val="20"/>
                <w:szCs w:val="24"/>
              </w:rPr>
              <w:t>10 000</w:t>
            </w:r>
          </w:p>
        </w:tc>
        <w:tc>
          <w:tcPr>
            <w:tcW w:w="1584" w:type="dxa"/>
            <w:tcBorders>
              <w:top w:val="nil"/>
              <w:left w:val="nil"/>
              <w:bottom w:val="single" w:sz="4" w:space="0" w:color="auto"/>
              <w:right w:val="single" w:sz="4" w:space="0" w:color="auto"/>
            </w:tcBorders>
            <w:shd w:val="clear" w:color="auto" w:fill="auto"/>
            <w:noWrap/>
            <w:vAlign w:val="center"/>
          </w:tcPr>
          <w:p w14:paraId="5FC1B502" w14:textId="77777777" w:rsidR="00467E06" w:rsidRPr="002E4977" w:rsidRDefault="00467E06" w:rsidP="00681A1C">
            <w:pPr>
              <w:spacing w:after="0" w:line="240" w:lineRule="auto"/>
              <w:jc w:val="right"/>
              <w:rPr>
                <w:rFonts w:ascii="Segoe UI" w:eastAsia="Times New Roman" w:hAnsi="Segoe UI" w:cs="Segoe UI"/>
                <w:bCs/>
                <w:sz w:val="20"/>
                <w:szCs w:val="24"/>
              </w:rPr>
            </w:pPr>
            <w:r w:rsidRPr="002E4977">
              <w:rPr>
                <w:rFonts w:ascii="Segoe UI" w:eastAsia="Times New Roman" w:hAnsi="Segoe UI" w:cs="Segoe UI"/>
                <w:bCs/>
                <w:sz w:val="20"/>
                <w:szCs w:val="24"/>
              </w:rPr>
              <w:t>1 969,6</w:t>
            </w:r>
          </w:p>
        </w:tc>
        <w:tc>
          <w:tcPr>
            <w:tcW w:w="1200" w:type="dxa"/>
            <w:tcBorders>
              <w:top w:val="nil"/>
              <w:left w:val="nil"/>
              <w:bottom w:val="single" w:sz="4" w:space="0" w:color="auto"/>
              <w:right w:val="single" w:sz="4" w:space="0" w:color="auto"/>
            </w:tcBorders>
            <w:shd w:val="clear" w:color="auto" w:fill="auto"/>
            <w:noWrap/>
            <w:vAlign w:val="center"/>
          </w:tcPr>
          <w:p w14:paraId="254A0970" w14:textId="77777777" w:rsidR="00467E06" w:rsidRPr="002E4977" w:rsidRDefault="00467E06" w:rsidP="00681A1C">
            <w:pPr>
              <w:spacing w:after="0" w:line="240" w:lineRule="auto"/>
              <w:jc w:val="center"/>
              <w:rPr>
                <w:rFonts w:ascii="Segoe UI" w:eastAsia="Times New Roman" w:hAnsi="Segoe UI" w:cs="Segoe UI"/>
                <w:bCs/>
                <w:sz w:val="20"/>
                <w:szCs w:val="24"/>
              </w:rPr>
            </w:pPr>
            <w:r w:rsidRPr="002E4977">
              <w:rPr>
                <w:rFonts w:ascii="Segoe UI" w:eastAsia="Times New Roman" w:hAnsi="Segoe UI" w:cs="Segoe UI"/>
                <w:bCs/>
                <w:sz w:val="20"/>
                <w:szCs w:val="24"/>
              </w:rPr>
              <w:t>19,7</w:t>
            </w:r>
          </w:p>
        </w:tc>
      </w:tr>
      <w:tr w:rsidR="00467E06" w:rsidRPr="00003D22" w14:paraId="48116163" w14:textId="77777777" w:rsidTr="003D7177">
        <w:trPr>
          <w:trHeight w:val="370"/>
        </w:trPr>
        <w:tc>
          <w:tcPr>
            <w:tcW w:w="5380" w:type="dxa"/>
            <w:tcBorders>
              <w:top w:val="nil"/>
              <w:left w:val="single" w:sz="4" w:space="0" w:color="auto"/>
              <w:bottom w:val="single" w:sz="4" w:space="0" w:color="auto"/>
              <w:right w:val="single" w:sz="4" w:space="0" w:color="auto"/>
            </w:tcBorders>
            <w:shd w:val="clear" w:color="auto" w:fill="auto"/>
            <w:noWrap/>
            <w:vAlign w:val="center"/>
          </w:tcPr>
          <w:p w14:paraId="7EC5D998" w14:textId="77777777" w:rsidR="00467E06" w:rsidRPr="002E4977" w:rsidRDefault="00467E06" w:rsidP="00681A1C">
            <w:pPr>
              <w:spacing w:after="0" w:line="240" w:lineRule="auto"/>
              <w:rPr>
                <w:rFonts w:ascii="Segoe UI" w:eastAsia="Times New Roman" w:hAnsi="Segoe UI" w:cs="Segoe UI"/>
                <w:bCs/>
                <w:sz w:val="20"/>
                <w:szCs w:val="24"/>
              </w:rPr>
            </w:pPr>
            <w:r w:rsidRPr="002E4977">
              <w:rPr>
                <w:rFonts w:ascii="Segoe UI" w:eastAsia="Times New Roman" w:hAnsi="Segoe UI" w:cs="Segoe UI"/>
                <w:bCs/>
                <w:sz w:val="20"/>
                <w:szCs w:val="24"/>
              </w:rPr>
              <w:t>Indemnités de vacation des enseignants</w:t>
            </w:r>
          </w:p>
        </w:tc>
        <w:tc>
          <w:tcPr>
            <w:tcW w:w="1336" w:type="dxa"/>
            <w:tcBorders>
              <w:top w:val="nil"/>
              <w:left w:val="nil"/>
              <w:bottom w:val="single" w:sz="4" w:space="0" w:color="auto"/>
              <w:right w:val="single" w:sz="4" w:space="0" w:color="auto"/>
            </w:tcBorders>
            <w:shd w:val="clear" w:color="auto" w:fill="auto"/>
            <w:noWrap/>
            <w:vAlign w:val="center"/>
          </w:tcPr>
          <w:p w14:paraId="0739A185" w14:textId="77777777" w:rsidR="00467E06" w:rsidRPr="002E4977" w:rsidRDefault="00467E06" w:rsidP="00681A1C">
            <w:pPr>
              <w:spacing w:after="0" w:line="240" w:lineRule="auto"/>
              <w:jc w:val="right"/>
              <w:rPr>
                <w:rFonts w:ascii="Segoe UI" w:eastAsia="Times New Roman" w:hAnsi="Segoe UI" w:cs="Segoe UI"/>
                <w:bCs/>
                <w:sz w:val="20"/>
                <w:szCs w:val="24"/>
              </w:rPr>
            </w:pPr>
            <w:r w:rsidRPr="002E4977">
              <w:rPr>
                <w:rFonts w:ascii="Segoe UI" w:eastAsia="Times New Roman" w:hAnsi="Segoe UI" w:cs="Segoe UI"/>
                <w:bCs/>
                <w:sz w:val="20"/>
                <w:szCs w:val="24"/>
              </w:rPr>
              <w:t>8 000</w:t>
            </w:r>
          </w:p>
        </w:tc>
        <w:tc>
          <w:tcPr>
            <w:tcW w:w="1584" w:type="dxa"/>
            <w:tcBorders>
              <w:top w:val="nil"/>
              <w:left w:val="nil"/>
              <w:bottom w:val="single" w:sz="4" w:space="0" w:color="auto"/>
              <w:right w:val="single" w:sz="4" w:space="0" w:color="auto"/>
            </w:tcBorders>
            <w:shd w:val="clear" w:color="auto" w:fill="auto"/>
            <w:noWrap/>
            <w:vAlign w:val="center"/>
          </w:tcPr>
          <w:p w14:paraId="48F62430" w14:textId="77777777" w:rsidR="00467E06" w:rsidRPr="002E4977" w:rsidRDefault="00467E06" w:rsidP="00681A1C">
            <w:pPr>
              <w:spacing w:after="0" w:line="240" w:lineRule="auto"/>
              <w:jc w:val="right"/>
              <w:rPr>
                <w:rFonts w:ascii="Segoe UI" w:eastAsia="Times New Roman" w:hAnsi="Segoe UI" w:cs="Segoe UI"/>
                <w:bCs/>
                <w:sz w:val="20"/>
                <w:szCs w:val="24"/>
              </w:rPr>
            </w:pPr>
            <w:r w:rsidRPr="002E4977">
              <w:rPr>
                <w:rFonts w:ascii="Segoe UI" w:eastAsia="Times New Roman" w:hAnsi="Segoe UI" w:cs="Segoe UI"/>
                <w:bCs/>
                <w:sz w:val="20"/>
                <w:szCs w:val="24"/>
              </w:rPr>
              <w:t>1 678,5</w:t>
            </w:r>
          </w:p>
        </w:tc>
        <w:tc>
          <w:tcPr>
            <w:tcW w:w="1200" w:type="dxa"/>
            <w:tcBorders>
              <w:top w:val="nil"/>
              <w:left w:val="nil"/>
              <w:bottom w:val="single" w:sz="4" w:space="0" w:color="auto"/>
              <w:right w:val="single" w:sz="4" w:space="0" w:color="auto"/>
            </w:tcBorders>
            <w:shd w:val="clear" w:color="auto" w:fill="auto"/>
            <w:noWrap/>
            <w:vAlign w:val="center"/>
          </w:tcPr>
          <w:p w14:paraId="25D71A1C" w14:textId="77777777" w:rsidR="00467E06" w:rsidRPr="002E4977" w:rsidRDefault="00541549" w:rsidP="00681A1C">
            <w:pPr>
              <w:spacing w:after="0" w:line="240" w:lineRule="auto"/>
              <w:jc w:val="center"/>
              <w:rPr>
                <w:rFonts w:ascii="Segoe UI" w:eastAsia="Times New Roman" w:hAnsi="Segoe UI" w:cs="Segoe UI"/>
                <w:bCs/>
                <w:sz w:val="20"/>
                <w:szCs w:val="24"/>
              </w:rPr>
            </w:pPr>
            <w:r w:rsidRPr="002E4977">
              <w:rPr>
                <w:rFonts w:ascii="Segoe UI" w:eastAsia="Times New Roman" w:hAnsi="Segoe UI" w:cs="Segoe UI"/>
                <w:bCs/>
                <w:sz w:val="20"/>
                <w:szCs w:val="24"/>
              </w:rPr>
              <w:t>21,0</w:t>
            </w:r>
          </w:p>
        </w:tc>
      </w:tr>
      <w:tr w:rsidR="00467E06" w:rsidRPr="00003D22" w14:paraId="4E89FB99" w14:textId="77777777" w:rsidTr="003D7177">
        <w:trPr>
          <w:trHeight w:val="370"/>
        </w:trPr>
        <w:tc>
          <w:tcPr>
            <w:tcW w:w="5380" w:type="dxa"/>
            <w:tcBorders>
              <w:top w:val="nil"/>
              <w:left w:val="single" w:sz="4" w:space="0" w:color="auto"/>
              <w:bottom w:val="single" w:sz="4" w:space="0" w:color="auto"/>
              <w:right w:val="single" w:sz="4" w:space="0" w:color="auto"/>
            </w:tcBorders>
            <w:shd w:val="clear" w:color="auto" w:fill="auto"/>
            <w:noWrap/>
            <w:vAlign w:val="center"/>
          </w:tcPr>
          <w:p w14:paraId="5DD1FC2A" w14:textId="77777777" w:rsidR="00467E06" w:rsidRPr="002E4977" w:rsidRDefault="00467E06" w:rsidP="00681A1C">
            <w:pPr>
              <w:spacing w:after="0" w:line="240" w:lineRule="auto"/>
              <w:rPr>
                <w:rFonts w:ascii="Segoe UI" w:eastAsia="Times New Roman" w:hAnsi="Segoe UI" w:cs="Segoe UI"/>
                <w:bCs/>
                <w:sz w:val="20"/>
                <w:szCs w:val="24"/>
              </w:rPr>
            </w:pPr>
            <w:r w:rsidRPr="002E4977">
              <w:rPr>
                <w:rFonts w:ascii="Segoe UI" w:eastAsia="Times New Roman" w:hAnsi="Segoe UI" w:cs="Segoe UI"/>
                <w:bCs/>
                <w:sz w:val="20"/>
                <w:szCs w:val="24"/>
              </w:rPr>
              <w:t>Amortissement dettes banques locales</w:t>
            </w:r>
          </w:p>
        </w:tc>
        <w:tc>
          <w:tcPr>
            <w:tcW w:w="1336" w:type="dxa"/>
            <w:tcBorders>
              <w:top w:val="nil"/>
              <w:left w:val="nil"/>
              <w:bottom w:val="single" w:sz="4" w:space="0" w:color="auto"/>
              <w:right w:val="single" w:sz="4" w:space="0" w:color="auto"/>
            </w:tcBorders>
            <w:shd w:val="clear" w:color="auto" w:fill="auto"/>
            <w:noWrap/>
            <w:vAlign w:val="center"/>
          </w:tcPr>
          <w:p w14:paraId="5BC3B1FF" w14:textId="77777777" w:rsidR="00467E06" w:rsidRPr="002E4977" w:rsidRDefault="00467E06" w:rsidP="00681A1C">
            <w:pPr>
              <w:spacing w:after="0" w:line="240" w:lineRule="auto"/>
              <w:jc w:val="right"/>
              <w:rPr>
                <w:rFonts w:ascii="Segoe UI" w:eastAsia="Times New Roman" w:hAnsi="Segoe UI" w:cs="Segoe UI"/>
                <w:bCs/>
                <w:sz w:val="20"/>
                <w:szCs w:val="24"/>
              </w:rPr>
            </w:pPr>
            <w:r w:rsidRPr="002E4977">
              <w:rPr>
                <w:rFonts w:ascii="Segoe UI" w:eastAsia="Times New Roman" w:hAnsi="Segoe UI" w:cs="Segoe UI"/>
                <w:bCs/>
                <w:sz w:val="20"/>
                <w:szCs w:val="24"/>
              </w:rPr>
              <w:t>39 600</w:t>
            </w:r>
          </w:p>
        </w:tc>
        <w:tc>
          <w:tcPr>
            <w:tcW w:w="1584" w:type="dxa"/>
            <w:tcBorders>
              <w:top w:val="nil"/>
              <w:left w:val="nil"/>
              <w:bottom w:val="single" w:sz="4" w:space="0" w:color="auto"/>
              <w:right w:val="single" w:sz="4" w:space="0" w:color="auto"/>
            </w:tcBorders>
            <w:shd w:val="clear" w:color="auto" w:fill="auto"/>
            <w:noWrap/>
            <w:vAlign w:val="center"/>
          </w:tcPr>
          <w:p w14:paraId="7D905C33" w14:textId="77777777" w:rsidR="00467E06" w:rsidRPr="002E4977" w:rsidRDefault="001A4C67" w:rsidP="00681A1C">
            <w:pPr>
              <w:spacing w:after="0" w:line="240" w:lineRule="auto"/>
              <w:jc w:val="right"/>
              <w:rPr>
                <w:rFonts w:ascii="Segoe UI" w:eastAsia="Times New Roman" w:hAnsi="Segoe UI" w:cs="Segoe UI"/>
                <w:bCs/>
                <w:color w:val="F2F2F2" w:themeColor="background1" w:themeShade="F2"/>
                <w:sz w:val="20"/>
                <w:szCs w:val="24"/>
              </w:rPr>
            </w:pPr>
            <w:r w:rsidRPr="002E4977">
              <w:rPr>
                <w:rFonts w:ascii="Segoe UI" w:eastAsia="Times New Roman" w:hAnsi="Segoe UI" w:cs="Segoe UI"/>
                <w:bCs/>
                <w:sz w:val="20"/>
                <w:szCs w:val="24"/>
              </w:rPr>
              <w:t>1 937,6</w:t>
            </w:r>
          </w:p>
        </w:tc>
        <w:tc>
          <w:tcPr>
            <w:tcW w:w="1200" w:type="dxa"/>
            <w:tcBorders>
              <w:top w:val="nil"/>
              <w:left w:val="nil"/>
              <w:bottom w:val="single" w:sz="4" w:space="0" w:color="auto"/>
              <w:right w:val="single" w:sz="4" w:space="0" w:color="auto"/>
            </w:tcBorders>
            <w:shd w:val="clear" w:color="auto" w:fill="auto"/>
            <w:noWrap/>
            <w:vAlign w:val="center"/>
          </w:tcPr>
          <w:p w14:paraId="262E0531" w14:textId="77777777" w:rsidR="00467E06" w:rsidRPr="002E4977" w:rsidRDefault="001A4C67" w:rsidP="00681A1C">
            <w:pPr>
              <w:spacing w:after="0" w:line="240" w:lineRule="auto"/>
              <w:jc w:val="center"/>
              <w:rPr>
                <w:rFonts w:ascii="Segoe UI" w:eastAsia="Times New Roman" w:hAnsi="Segoe UI" w:cs="Segoe UI"/>
                <w:bCs/>
                <w:sz w:val="20"/>
                <w:szCs w:val="24"/>
              </w:rPr>
            </w:pPr>
            <w:r w:rsidRPr="002E4977">
              <w:rPr>
                <w:rFonts w:ascii="Segoe UI" w:eastAsia="Times New Roman" w:hAnsi="Segoe UI" w:cs="Segoe UI"/>
                <w:bCs/>
                <w:sz w:val="20"/>
                <w:szCs w:val="24"/>
              </w:rPr>
              <w:t>4,9</w:t>
            </w:r>
          </w:p>
        </w:tc>
      </w:tr>
      <w:tr w:rsidR="00467E06" w:rsidRPr="00003D22" w14:paraId="46FC45A1" w14:textId="77777777" w:rsidTr="003B629E">
        <w:trPr>
          <w:trHeight w:val="370"/>
        </w:trPr>
        <w:tc>
          <w:tcPr>
            <w:tcW w:w="5380" w:type="dxa"/>
            <w:tcBorders>
              <w:top w:val="nil"/>
              <w:left w:val="single" w:sz="4" w:space="0" w:color="auto"/>
              <w:bottom w:val="single" w:sz="4" w:space="0" w:color="auto"/>
              <w:right w:val="single" w:sz="4" w:space="0" w:color="auto"/>
            </w:tcBorders>
            <w:shd w:val="clear" w:color="auto" w:fill="auto"/>
            <w:noWrap/>
            <w:vAlign w:val="center"/>
            <w:hideMark/>
          </w:tcPr>
          <w:p w14:paraId="1E85EB69" w14:textId="77777777" w:rsidR="00467E06" w:rsidRPr="002E4977" w:rsidRDefault="00467E06" w:rsidP="00A34929">
            <w:pPr>
              <w:spacing w:after="0" w:line="240" w:lineRule="auto"/>
              <w:jc w:val="center"/>
              <w:rPr>
                <w:rFonts w:ascii="Segoe UI" w:eastAsia="Times New Roman" w:hAnsi="Segoe UI" w:cs="Segoe UI"/>
                <w:b/>
                <w:bCs/>
                <w:sz w:val="20"/>
                <w:szCs w:val="24"/>
              </w:rPr>
            </w:pPr>
            <w:r w:rsidRPr="002E4977">
              <w:rPr>
                <w:rFonts w:ascii="Segoe UI" w:eastAsia="Times New Roman" w:hAnsi="Segoe UI" w:cs="Segoe UI"/>
                <w:b/>
                <w:bCs/>
                <w:sz w:val="20"/>
                <w:szCs w:val="24"/>
              </w:rPr>
              <w:t>Total</w:t>
            </w:r>
          </w:p>
        </w:tc>
        <w:tc>
          <w:tcPr>
            <w:tcW w:w="1336" w:type="dxa"/>
            <w:tcBorders>
              <w:top w:val="nil"/>
              <w:left w:val="nil"/>
              <w:bottom w:val="single" w:sz="4" w:space="0" w:color="auto"/>
              <w:right w:val="single" w:sz="4" w:space="0" w:color="auto"/>
            </w:tcBorders>
            <w:shd w:val="clear" w:color="auto" w:fill="auto"/>
            <w:noWrap/>
            <w:vAlign w:val="center"/>
            <w:hideMark/>
          </w:tcPr>
          <w:p w14:paraId="12A4D1EC" w14:textId="77777777" w:rsidR="00467E06" w:rsidRPr="002E4977" w:rsidRDefault="00467E06" w:rsidP="00681A1C">
            <w:pPr>
              <w:spacing w:after="0" w:line="240" w:lineRule="auto"/>
              <w:jc w:val="center"/>
              <w:rPr>
                <w:rFonts w:ascii="Segoe UI" w:eastAsia="Times New Roman" w:hAnsi="Segoe UI" w:cs="Segoe UI"/>
                <w:b/>
                <w:bCs/>
                <w:sz w:val="20"/>
                <w:szCs w:val="24"/>
              </w:rPr>
            </w:pPr>
            <w:r w:rsidRPr="002E4977">
              <w:rPr>
                <w:rFonts w:ascii="Segoe UI" w:eastAsia="Times New Roman" w:hAnsi="Segoe UI" w:cs="Segoe UI"/>
                <w:b/>
                <w:bCs/>
                <w:sz w:val="20"/>
                <w:szCs w:val="24"/>
              </w:rPr>
              <w:t>312 600</w:t>
            </w:r>
          </w:p>
        </w:tc>
        <w:tc>
          <w:tcPr>
            <w:tcW w:w="1584" w:type="dxa"/>
            <w:tcBorders>
              <w:top w:val="nil"/>
              <w:left w:val="nil"/>
              <w:bottom w:val="single" w:sz="4" w:space="0" w:color="auto"/>
              <w:right w:val="single" w:sz="4" w:space="0" w:color="auto"/>
            </w:tcBorders>
            <w:shd w:val="clear" w:color="auto" w:fill="auto"/>
            <w:noWrap/>
            <w:vAlign w:val="center"/>
            <w:hideMark/>
          </w:tcPr>
          <w:p w14:paraId="5815F5BE" w14:textId="77777777" w:rsidR="00467E06" w:rsidRPr="002E4977" w:rsidRDefault="001C5258" w:rsidP="00E41D46">
            <w:pPr>
              <w:spacing w:after="0" w:line="240" w:lineRule="auto"/>
              <w:jc w:val="right"/>
              <w:rPr>
                <w:rFonts w:ascii="Segoe UI" w:eastAsia="Times New Roman" w:hAnsi="Segoe UI" w:cs="Segoe UI"/>
                <w:b/>
                <w:bCs/>
                <w:sz w:val="20"/>
                <w:szCs w:val="24"/>
              </w:rPr>
            </w:pPr>
            <w:r w:rsidRPr="002E4977">
              <w:rPr>
                <w:rFonts w:ascii="Segoe UI" w:eastAsia="Times New Roman" w:hAnsi="Segoe UI" w:cs="Segoe UI"/>
                <w:b/>
                <w:bCs/>
                <w:sz w:val="20"/>
                <w:szCs w:val="24"/>
              </w:rPr>
              <w:t>56 802,2</w:t>
            </w:r>
          </w:p>
        </w:tc>
        <w:tc>
          <w:tcPr>
            <w:tcW w:w="1200" w:type="dxa"/>
            <w:tcBorders>
              <w:top w:val="nil"/>
              <w:left w:val="nil"/>
              <w:bottom w:val="single" w:sz="4" w:space="0" w:color="auto"/>
              <w:right w:val="single" w:sz="4" w:space="0" w:color="auto"/>
            </w:tcBorders>
            <w:shd w:val="clear" w:color="auto" w:fill="auto"/>
            <w:noWrap/>
            <w:vAlign w:val="center"/>
            <w:hideMark/>
          </w:tcPr>
          <w:p w14:paraId="5D815DE7" w14:textId="77777777" w:rsidR="00467E06" w:rsidRPr="002E4977" w:rsidRDefault="00775A7A" w:rsidP="00E41D46">
            <w:pPr>
              <w:spacing w:after="0" w:line="240" w:lineRule="auto"/>
              <w:jc w:val="center"/>
              <w:rPr>
                <w:rFonts w:ascii="Segoe UI" w:eastAsia="Times New Roman" w:hAnsi="Segoe UI" w:cs="Segoe UI"/>
                <w:b/>
                <w:bCs/>
                <w:sz w:val="20"/>
                <w:szCs w:val="24"/>
              </w:rPr>
            </w:pPr>
            <w:r w:rsidRPr="002E4977">
              <w:rPr>
                <w:rFonts w:ascii="Segoe UI" w:eastAsia="Times New Roman" w:hAnsi="Segoe UI" w:cs="Segoe UI"/>
                <w:b/>
                <w:bCs/>
                <w:sz w:val="20"/>
                <w:szCs w:val="24"/>
              </w:rPr>
              <w:t>18,2</w:t>
            </w:r>
          </w:p>
        </w:tc>
      </w:tr>
    </w:tbl>
    <w:p w14:paraId="5707FBBE" w14:textId="77777777" w:rsidR="00355E6F" w:rsidRPr="002E4977" w:rsidRDefault="00355E6F" w:rsidP="0052395E">
      <w:pPr>
        <w:spacing w:after="0" w:line="240" w:lineRule="auto"/>
        <w:rPr>
          <w:rFonts w:ascii="Segoe UI" w:hAnsi="Segoe UI" w:cs="Segoe UI"/>
          <w:bCs/>
          <w:iCs/>
          <w:sz w:val="20"/>
          <w:szCs w:val="24"/>
        </w:rPr>
      </w:pPr>
      <w:r w:rsidRPr="002E4977">
        <w:rPr>
          <w:rFonts w:ascii="Segoe UI" w:hAnsi="Segoe UI" w:cs="Segoe UI"/>
          <w:b/>
          <w:bCs/>
          <w:iCs/>
          <w:sz w:val="20"/>
          <w:szCs w:val="24"/>
          <w:u w:val="single"/>
        </w:rPr>
        <w:t>Source</w:t>
      </w:r>
      <w:r w:rsidRPr="002E4977">
        <w:rPr>
          <w:rFonts w:ascii="Segoe UI" w:hAnsi="Segoe UI" w:cs="Segoe UI"/>
          <w:bCs/>
          <w:iCs/>
          <w:sz w:val="20"/>
          <w:szCs w:val="24"/>
        </w:rPr>
        <w:t xml:space="preserve"> : MEF/DGTCP/DGB, </w:t>
      </w:r>
      <w:r w:rsidR="00681A1C" w:rsidRPr="002E4977">
        <w:rPr>
          <w:rFonts w:ascii="Segoe UI" w:hAnsi="Segoe UI" w:cs="Segoe UI"/>
          <w:bCs/>
          <w:iCs/>
          <w:sz w:val="20"/>
          <w:szCs w:val="24"/>
        </w:rPr>
        <w:t>avril</w:t>
      </w:r>
      <w:r w:rsidRPr="002E4977">
        <w:rPr>
          <w:rFonts w:ascii="Segoe UI" w:hAnsi="Segoe UI" w:cs="Segoe UI"/>
          <w:bCs/>
          <w:iCs/>
          <w:sz w:val="20"/>
          <w:szCs w:val="24"/>
        </w:rPr>
        <w:t xml:space="preserve"> 201</w:t>
      </w:r>
      <w:r w:rsidR="00A358DE" w:rsidRPr="002E4977">
        <w:rPr>
          <w:rFonts w:ascii="Segoe UI" w:hAnsi="Segoe UI" w:cs="Segoe UI"/>
          <w:bCs/>
          <w:iCs/>
          <w:sz w:val="20"/>
          <w:szCs w:val="24"/>
        </w:rPr>
        <w:t>7</w:t>
      </w:r>
    </w:p>
    <w:p w14:paraId="68518216" w14:textId="77777777" w:rsidR="00355E6F" w:rsidRPr="001541CB" w:rsidRDefault="00355E6F" w:rsidP="00EE794D">
      <w:pPr>
        <w:spacing w:after="0"/>
        <w:rPr>
          <w:rFonts w:ascii="Segoe UI" w:hAnsi="Segoe UI" w:cs="Segoe UI"/>
          <w:b/>
          <w:sz w:val="24"/>
          <w:szCs w:val="24"/>
        </w:rPr>
      </w:pPr>
    </w:p>
    <w:p w14:paraId="7C455D86" w14:textId="1E3A9D11" w:rsidR="00FF0D71" w:rsidRDefault="00355E6F" w:rsidP="00FF0D71">
      <w:pPr>
        <w:spacing w:line="360" w:lineRule="auto"/>
        <w:jc w:val="both"/>
        <w:rPr>
          <w:rFonts w:ascii="Segoe UI" w:hAnsi="Segoe UI" w:cs="Segoe UI"/>
          <w:sz w:val="24"/>
          <w:szCs w:val="24"/>
        </w:rPr>
      </w:pPr>
      <w:bookmarkStart w:id="61" w:name="_Toc427941535"/>
      <w:r w:rsidRPr="001541CB">
        <w:rPr>
          <w:rFonts w:ascii="Segoe UI" w:hAnsi="Segoe UI" w:cs="Segoe UI"/>
          <w:sz w:val="24"/>
          <w:szCs w:val="24"/>
        </w:rPr>
        <w:t xml:space="preserve">Au total, la gestion de la trésorerie fait ressortir un solde de financement </w:t>
      </w:r>
      <w:r w:rsidR="00CC02C9" w:rsidRPr="001541CB">
        <w:rPr>
          <w:rFonts w:ascii="Segoe UI" w:hAnsi="Segoe UI" w:cs="Segoe UI"/>
          <w:sz w:val="24"/>
          <w:szCs w:val="24"/>
        </w:rPr>
        <w:t>excéden</w:t>
      </w:r>
      <w:r w:rsidRPr="001541CB">
        <w:rPr>
          <w:rFonts w:ascii="Segoe UI" w:hAnsi="Segoe UI" w:cs="Segoe UI"/>
          <w:sz w:val="24"/>
          <w:szCs w:val="24"/>
        </w:rPr>
        <w:t xml:space="preserve">taire d’un montant de </w:t>
      </w:r>
      <w:r w:rsidR="00956335">
        <w:rPr>
          <w:rFonts w:ascii="Segoe UI" w:hAnsi="Segoe UI" w:cs="Segoe UI"/>
          <w:sz w:val="24"/>
          <w:szCs w:val="24"/>
        </w:rPr>
        <w:t xml:space="preserve"> </w:t>
      </w:r>
      <w:r w:rsidR="00956335" w:rsidRPr="00835F64">
        <w:rPr>
          <w:rFonts w:ascii="Segoe UI" w:hAnsi="Segoe UI" w:cs="Segoe UI"/>
          <w:sz w:val="24"/>
          <w:szCs w:val="24"/>
        </w:rPr>
        <w:t>60 132,8</w:t>
      </w:r>
      <w:r w:rsidR="00DB6241" w:rsidRPr="001541CB">
        <w:rPr>
          <w:rFonts w:ascii="Segoe UI" w:hAnsi="Segoe UI" w:cs="Segoe UI"/>
          <w:sz w:val="24"/>
          <w:szCs w:val="24"/>
        </w:rPr>
        <w:t xml:space="preserve"> </w:t>
      </w:r>
      <w:r w:rsidRPr="001541CB">
        <w:rPr>
          <w:rFonts w:ascii="Segoe UI" w:hAnsi="Segoe UI" w:cs="Segoe UI"/>
          <w:sz w:val="24"/>
          <w:szCs w:val="24"/>
        </w:rPr>
        <w:t>millions de FCFA.</w:t>
      </w:r>
      <w:bookmarkEnd w:id="61"/>
      <w:r w:rsidR="00885D9F" w:rsidRPr="001541CB">
        <w:rPr>
          <w:rFonts w:ascii="Segoe UI" w:hAnsi="Segoe UI" w:cs="Segoe UI"/>
          <w:sz w:val="24"/>
          <w:szCs w:val="24"/>
        </w:rPr>
        <w:t xml:space="preserve"> </w:t>
      </w:r>
      <w:r w:rsidR="0044793C" w:rsidRPr="001541CB">
        <w:rPr>
          <w:rFonts w:ascii="Segoe UI" w:hAnsi="Segoe UI" w:cs="Segoe UI"/>
          <w:sz w:val="24"/>
          <w:szCs w:val="24"/>
        </w:rPr>
        <w:t xml:space="preserve"> Cet excédent de t</w:t>
      </w:r>
      <w:r w:rsidR="00BE55ED" w:rsidRPr="001541CB">
        <w:rPr>
          <w:rFonts w:ascii="Segoe UI" w:hAnsi="Segoe UI" w:cs="Segoe UI"/>
          <w:sz w:val="24"/>
          <w:szCs w:val="24"/>
        </w:rPr>
        <w:t xml:space="preserve">résorerie a couvert  </w:t>
      </w:r>
      <w:r w:rsidR="009D236C" w:rsidRPr="001541CB">
        <w:rPr>
          <w:rFonts w:ascii="Segoe UI" w:hAnsi="Segoe UI" w:cs="Segoe UI"/>
          <w:sz w:val="24"/>
          <w:szCs w:val="24"/>
        </w:rPr>
        <w:t>le</w:t>
      </w:r>
      <w:r w:rsidR="0044793C" w:rsidRPr="001541CB">
        <w:rPr>
          <w:rFonts w:ascii="Segoe UI" w:hAnsi="Segoe UI" w:cs="Segoe UI"/>
          <w:sz w:val="24"/>
          <w:szCs w:val="24"/>
        </w:rPr>
        <w:t>s opérations budgétaires qui ressortaient déficitaire</w:t>
      </w:r>
      <w:r w:rsidR="000A179A" w:rsidRPr="001541CB">
        <w:rPr>
          <w:rFonts w:ascii="Segoe UI" w:hAnsi="Segoe UI" w:cs="Segoe UI"/>
          <w:sz w:val="24"/>
          <w:szCs w:val="24"/>
        </w:rPr>
        <w:t>s</w:t>
      </w:r>
      <w:r w:rsidR="0044793C" w:rsidRPr="001541CB">
        <w:rPr>
          <w:rFonts w:ascii="Segoe UI" w:hAnsi="Segoe UI" w:cs="Segoe UI"/>
          <w:sz w:val="24"/>
          <w:szCs w:val="24"/>
        </w:rPr>
        <w:t xml:space="preserve"> à fin mars à </w:t>
      </w:r>
      <w:r w:rsidR="00946860">
        <w:rPr>
          <w:rFonts w:ascii="Segoe UI" w:hAnsi="Segoe UI" w:cs="Segoe UI"/>
          <w:sz w:val="24"/>
          <w:szCs w:val="24"/>
        </w:rPr>
        <w:t xml:space="preserve">8 375,7 </w:t>
      </w:r>
      <w:r w:rsidR="0044793C" w:rsidRPr="001541CB">
        <w:rPr>
          <w:rFonts w:ascii="Segoe UI" w:hAnsi="Segoe UI" w:cs="Segoe UI"/>
          <w:sz w:val="24"/>
          <w:szCs w:val="24"/>
        </w:rPr>
        <w:t>millions de FCFA (base ordonnancement), comme l’indique le tableau ci-dessous.</w:t>
      </w:r>
    </w:p>
    <w:p w14:paraId="5848CC8C" w14:textId="77777777" w:rsidR="003C5995" w:rsidRDefault="003C5995" w:rsidP="00FF0D71">
      <w:pPr>
        <w:spacing w:line="360" w:lineRule="auto"/>
        <w:jc w:val="both"/>
        <w:rPr>
          <w:rFonts w:ascii="Segoe UI" w:hAnsi="Segoe UI" w:cs="Segoe UI"/>
          <w:sz w:val="24"/>
          <w:szCs w:val="24"/>
        </w:rPr>
      </w:pPr>
    </w:p>
    <w:p w14:paraId="7BDBEE39" w14:textId="77777777" w:rsidR="003C5995" w:rsidRDefault="003C5995" w:rsidP="00FF0D71">
      <w:pPr>
        <w:spacing w:line="360" w:lineRule="auto"/>
        <w:jc w:val="both"/>
        <w:rPr>
          <w:rFonts w:ascii="Segoe UI" w:hAnsi="Segoe UI" w:cs="Segoe UI"/>
          <w:sz w:val="24"/>
          <w:szCs w:val="24"/>
        </w:rPr>
      </w:pPr>
    </w:p>
    <w:p w14:paraId="3F4EF8F8" w14:textId="77777777" w:rsidR="003C5995" w:rsidRDefault="003C5995" w:rsidP="00FF0D71">
      <w:pPr>
        <w:spacing w:line="360" w:lineRule="auto"/>
        <w:jc w:val="both"/>
        <w:rPr>
          <w:rFonts w:ascii="Segoe UI" w:hAnsi="Segoe UI" w:cs="Segoe UI"/>
          <w:sz w:val="24"/>
          <w:szCs w:val="24"/>
        </w:rPr>
      </w:pPr>
    </w:p>
    <w:p w14:paraId="53B20A19" w14:textId="77777777" w:rsidR="003C5995" w:rsidRDefault="003C5995" w:rsidP="00FF0D71">
      <w:pPr>
        <w:spacing w:line="360" w:lineRule="auto"/>
        <w:jc w:val="both"/>
        <w:rPr>
          <w:rFonts w:ascii="Segoe UI" w:hAnsi="Segoe UI" w:cs="Segoe UI"/>
          <w:sz w:val="24"/>
          <w:szCs w:val="24"/>
        </w:rPr>
      </w:pPr>
    </w:p>
    <w:p w14:paraId="703A5046" w14:textId="77777777" w:rsidR="003C5995" w:rsidRDefault="003C5995" w:rsidP="00FF0D71">
      <w:pPr>
        <w:spacing w:line="360" w:lineRule="auto"/>
        <w:jc w:val="both"/>
        <w:rPr>
          <w:rFonts w:ascii="Segoe UI" w:hAnsi="Segoe UI" w:cs="Segoe UI"/>
          <w:sz w:val="24"/>
          <w:szCs w:val="24"/>
        </w:rPr>
      </w:pPr>
    </w:p>
    <w:p w14:paraId="08267C8D" w14:textId="77777777" w:rsidR="003C5995" w:rsidRDefault="003C5995" w:rsidP="00FF0D71">
      <w:pPr>
        <w:spacing w:line="360" w:lineRule="auto"/>
        <w:jc w:val="both"/>
        <w:rPr>
          <w:rFonts w:ascii="Segoe UI" w:hAnsi="Segoe UI" w:cs="Segoe UI"/>
          <w:sz w:val="24"/>
          <w:szCs w:val="24"/>
        </w:rPr>
      </w:pPr>
    </w:p>
    <w:p w14:paraId="4784EF16" w14:textId="77777777" w:rsidR="003C5995" w:rsidRDefault="003C5995" w:rsidP="00FF0D71">
      <w:pPr>
        <w:spacing w:line="360" w:lineRule="auto"/>
        <w:jc w:val="both"/>
        <w:rPr>
          <w:rFonts w:ascii="Segoe UI" w:hAnsi="Segoe UI" w:cs="Segoe UI"/>
          <w:sz w:val="24"/>
          <w:szCs w:val="24"/>
        </w:rPr>
      </w:pPr>
    </w:p>
    <w:p w14:paraId="73285440" w14:textId="77777777" w:rsidR="00B31988" w:rsidRDefault="00B31988" w:rsidP="00FF0D71">
      <w:pPr>
        <w:spacing w:line="360" w:lineRule="auto"/>
        <w:jc w:val="both"/>
        <w:rPr>
          <w:rFonts w:ascii="Segoe UI" w:hAnsi="Segoe UI" w:cs="Segoe UI"/>
          <w:sz w:val="24"/>
          <w:szCs w:val="24"/>
        </w:rPr>
      </w:pPr>
    </w:p>
    <w:p w14:paraId="6D350BCA" w14:textId="77777777" w:rsidR="00B31988" w:rsidRDefault="00B31988" w:rsidP="00FF0D71">
      <w:pPr>
        <w:spacing w:line="360" w:lineRule="auto"/>
        <w:jc w:val="both"/>
        <w:rPr>
          <w:rFonts w:ascii="Segoe UI" w:hAnsi="Segoe UI" w:cs="Segoe UI"/>
          <w:sz w:val="24"/>
          <w:szCs w:val="24"/>
        </w:rPr>
      </w:pPr>
    </w:p>
    <w:p w14:paraId="27123DFE" w14:textId="77777777" w:rsidR="00B31988" w:rsidRDefault="00B31988" w:rsidP="00FF0D71">
      <w:pPr>
        <w:spacing w:line="360" w:lineRule="auto"/>
        <w:jc w:val="both"/>
        <w:rPr>
          <w:rFonts w:ascii="Segoe UI" w:hAnsi="Segoe UI" w:cs="Segoe UI"/>
          <w:sz w:val="24"/>
          <w:szCs w:val="24"/>
        </w:rPr>
      </w:pPr>
    </w:p>
    <w:p w14:paraId="07643A37" w14:textId="77777777" w:rsidR="00815662" w:rsidRDefault="0034545C" w:rsidP="00A31281">
      <w:pPr>
        <w:pStyle w:val="Listedestableaux"/>
        <w:ind w:left="0"/>
        <w:rPr>
          <w:rFonts w:ascii="Segoe UI" w:hAnsi="Segoe UI" w:cs="Segoe UI"/>
          <w:sz w:val="24"/>
          <w:szCs w:val="24"/>
        </w:rPr>
      </w:pPr>
      <w:bookmarkStart w:id="62" w:name="_Toc481952121"/>
      <w:r w:rsidRPr="001541CB">
        <w:rPr>
          <w:rFonts w:ascii="Segoe UI" w:hAnsi="Segoe UI" w:cs="Segoe UI"/>
          <w:sz w:val="24"/>
          <w:szCs w:val="24"/>
          <w:u w:val="single"/>
        </w:rPr>
        <w:lastRenderedPageBreak/>
        <w:t xml:space="preserve">Tableau  </w:t>
      </w:r>
      <w:r w:rsidR="00885D9F" w:rsidRPr="001541CB">
        <w:rPr>
          <w:rFonts w:ascii="Segoe UI" w:hAnsi="Segoe UI" w:cs="Segoe UI"/>
          <w:sz w:val="24"/>
          <w:szCs w:val="24"/>
          <w:u w:val="single"/>
        </w:rPr>
        <w:t>10</w:t>
      </w:r>
      <w:r w:rsidRPr="001541CB">
        <w:rPr>
          <w:rFonts w:ascii="Segoe UI" w:hAnsi="Segoe UI" w:cs="Segoe UI"/>
          <w:sz w:val="24"/>
          <w:szCs w:val="24"/>
        </w:rPr>
        <w:t xml:space="preserve">: </w:t>
      </w:r>
      <w:r w:rsidR="00885D9F" w:rsidRPr="001541CB">
        <w:rPr>
          <w:rFonts w:ascii="Segoe UI" w:hAnsi="Segoe UI" w:cs="Segoe UI"/>
          <w:sz w:val="24"/>
          <w:szCs w:val="24"/>
        </w:rPr>
        <w:t>Tableau de financement d’exécution de la loi de finance pour la gestion 201</w:t>
      </w:r>
      <w:r w:rsidR="00DC2871" w:rsidRPr="001541CB">
        <w:rPr>
          <w:rFonts w:ascii="Segoe UI" w:hAnsi="Segoe UI" w:cs="Segoe UI"/>
          <w:sz w:val="24"/>
          <w:szCs w:val="24"/>
        </w:rPr>
        <w:t>7</w:t>
      </w:r>
      <w:r w:rsidR="00885D9F" w:rsidRPr="001541CB">
        <w:rPr>
          <w:rFonts w:ascii="Segoe UI" w:hAnsi="Segoe UI" w:cs="Segoe UI"/>
          <w:sz w:val="24"/>
          <w:szCs w:val="24"/>
        </w:rPr>
        <w:t xml:space="preserve"> </w:t>
      </w:r>
      <w:r w:rsidRPr="001541CB">
        <w:rPr>
          <w:rFonts w:ascii="Segoe UI" w:hAnsi="Segoe UI" w:cs="Segoe UI"/>
          <w:sz w:val="24"/>
          <w:szCs w:val="24"/>
        </w:rPr>
        <w:t>à fin mars</w:t>
      </w:r>
      <w:bookmarkEnd w:id="62"/>
    </w:p>
    <w:p w14:paraId="2B1A09C0" w14:textId="51D4EBDE" w:rsidR="00815662" w:rsidRPr="00815662" w:rsidRDefault="00815662" w:rsidP="00A31281">
      <w:pPr>
        <w:pStyle w:val="Listedestableaux"/>
        <w:ind w:left="0"/>
        <w:rPr>
          <w:rFonts w:ascii="Segoe UI" w:hAnsi="Segoe UI" w:cs="Segoe UI"/>
          <w:sz w:val="24"/>
          <w:szCs w:val="24"/>
        </w:rPr>
      </w:pPr>
      <w:r>
        <w:rPr>
          <w:rFonts w:ascii="Segoe UI" w:hAnsi="Segoe UI" w:cs="Segoe UI"/>
          <w:sz w:val="24"/>
          <w:szCs w:val="24"/>
        </w:rPr>
        <w:t xml:space="preserve">                                            </w:t>
      </w:r>
    </w:p>
    <w:tbl>
      <w:tblPr>
        <w:tblW w:w="9375" w:type="dxa"/>
        <w:tblInd w:w="55" w:type="dxa"/>
        <w:tblCellMar>
          <w:left w:w="70" w:type="dxa"/>
          <w:right w:w="70" w:type="dxa"/>
        </w:tblCellMar>
        <w:tblLook w:val="04A0" w:firstRow="1" w:lastRow="0" w:firstColumn="1" w:lastColumn="0" w:noHBand="0" w:noVBand="1"/>
      </w:tblPr>
      <w:tblGrid>
        <w:gridCol w:w="5642"/>
        <w:gridCol w:w="3733"/>
      </w:tblGrid>
      <w:tr w:rsidR="00885D9F" w:rsidRPr="003236CC" w14:paraId="6ADC05EA" w14:textId="77777777" w:rsidTr="00D41D6D">
        <w:trPr>
          <w:trHeight w:val="330"/>
        </w:trPr>
        <w:tc>
          <w:tcPr>
            <w:tcW w:w="56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F4E651" w14:textId="77777777" w:rsidR="00885D9F" w:rsidRPr="002E4977" w:rsidRDefault="00885D9F" w:rsidP="00885D9F">
            <w:pPr>
              <w:spacing w:after="0" w:line="240" w:lineRule="auto"/>
              <w:jc w:val="center"/>
              <w:rPr>
                <w:rFonts w:ascii="Segoe UI" w:eastAsia="Times New Roman" w:hAnsi="Segoe UI" w:cs="Segoe UI"/>
                <w:b/>
                <w:bCs/>
                <w:color w:val="000000"/>
                <w:sz w:val="20"/>
                <w:szCs w:val="20"/>
              </w:rPr>
            </w:pPr>
            <w:r w:rsidRPr="002E4977">
              <w:rPr>
                <w:rFonts w:ascii="Segoe UI" w:eastAsia="Times New Roman" w:hAnsi="Segoe UI" w:cs="Segoe UI"/>
                <w:b/>
                <w:bCs/>
                <w:color w:val="000000"/>
                <w:sz w:val="20"/>
                <w:szCs w:val="20"/>
              </w:rPr>
              <w:t>Eléments</w:t>
            </w:r>
          </w:p>
        </w:tc>
        <w:tc>
          <w:tcPr>
            <w:tcW w:w="37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34638D" w14:textId="77777777" w:rsidR="00885D9F" w:rsidRPr="002E4977" w:rsidRDefault="00885D9F" w:rsidP="00885D9F">
            <w:pPr>
              <w:spacing w:after="0" w:line="240" w:lineRule="auto"/>
              <w:rPr>
                <w:rFonts w:ascii="Segoe UI" w:eastAsia="Times New Roman" w:hAnsi="Segoe UI" w:cs="Segoe UI"/>
                <w:color w:val="000000"/>
                <w:sz w:val="20"/>
                <w:szCs w:val="20"/>
              </w:rPr>
            </w:pPr>
            <w:r w:rsidRPr="002E4977">
              <w:rPr>
                <w:rFonts w:ascii="Segoe UI" w:eastAsia="Times New Roman" w:hAnsi="Segoe UI" w:cs="Segoe UI"/>
                <w:b/>
                <w:color w:val="000000"/>
                <w:sz w:val="20"/>
                <w:szCs w:val="20"/>
              </w:rPr>
              <w:t>Montant (en millions de FCFA</w:t>
            </w:r>
            <w:r w:rsidRPr="002E4977">
              <w:rPr>
                <w:rFonts w:ascii="Segoe UI" w:eastAsia="Times New Roman" w:hAnsi="Segoe UI" w:cs="Segoe UI"/>
                <w:color w:val="000000"/>
                <w:sz w:val="20"/>
                <w:szCs w:val="20"/>
              </w:rPr>
              <w:t>)</w:t>
            </w:r>
          </w:p>
        </w:tc>
      </w:tr>
      <w:tr w:rsidR="00885D9F" w:rsidRPr="003236CC" w14:paraId="6EC75B84" w14:textId="77777777" w:rsidTr="00D41D6D">
        <w:trPr>
          <w:trHeight w:val="375"/>
        </w:trPr>
        <w:tc>
          <w:tcPr>
            <w:tcW w:w="5642" w:type="dxa"/>
            <w:tcBorders>
              <w:top w:val="nil"/>
              <w:left w:val="single" w:sz="8" w:space="0" w:color="auto"/>
              <w:bottom w:val="single" w:sz="4" w:space="0" w:color="auto"/>
              <w:right w:val="nil"/>
            </w:tcBorders>
            <w:shd w:val="clear" w:color="auto" w:fill="auto"/>
            <w:noWrap/>
            <w:vAlign w:val="bottom"/>
            <w:hideMark/>
          </w:tcPr>
          <w:p w14:paraId="15DBDF37" w14:textId="77777777" w:rsidR="00885D9F" w:rsidRPr="002E4977" w:rsidRDefault="00885D9F" w:rsidP="00885D9F">
            <w:pPr>
              <w:spacing w:after="0" w:line="240" w:lineRule="auto"/>
              <w:rPr>
                <w:rFonts w:ascii="Segoe UI" w:eastAsia="Times New Roman" w:hAnsi="Segoe UI" w:cs="Segoe UI"/>
                <w:b/>
                <w:bCs/>
                <w:color w:val="000000"/>
                <w:sz w:val="20"/>
                <w:szCs w:val="20"/>
              </w:rPr>
            </w:pPr>
            <w:r w:rsidRPr="002E4977">
              <w:rPr>
                <w:rFonts w:ascii="Segoe UI" w:eastAsia="Times New Roman" w:hAnsi="Segoe UI" w:cs="Segoe UI"/>
                <w:b/>
                <w:bCs/>
                <w:color w:val="000000"/>
                <w:sz w:val="20"/>
                <w:szCs w:val="20"/>
              </w:rPr>
              <w:t>Besoin de financement</w:t>
            </w:r>
          </w:p>
        </w:tc>
        <w:tc>
          <w:tcPr>
            <w:tcW w:w="3733" w:type="dxa"/>
            <w:tcBorders>
              <w:top w:val="nil"/>
              <w:left w:val="single" w:sz="4" w:space="0" w:color="auto"/>
              <w:bottom w:val="single" w:sz="4" w:space="0" w:color="auto"/>
              <w:right w:val="single" w:sz="8" w:space="0" w:color="auto"/>
            </w:tcBorders>
            <w:shd w:val="clear" w:color="auto" w:fill="auto"/>
            <w:noWrap/>
            <w:vAlign w:val="bottom"/>
            <w:hideMark/>
          </w:tcPr>
          <w:p w14:paraId="2F0F088A" w14:textId="77777777" w:rsidR="00885D9F" w:rsidRPr="002E4977" w:rsidRDefault="00956335" w:rsidP="00734E54">
            <w:pPr>
              <w:spacing w:after="0" w:line="240" w:lineRule="auto"/>
              <w:jc w:val="right"/>
              <w:rPr>
                <w:rFonts w:ascii="Segoe UI" w:eastAsia="Times New Roman" w:hAnsi="Segoe UI" w:cs="Segoe UI"/>
                <w:b/>
                <w:bCs/>
                <w:color w:val="000000"/>
                <w:sz w:val="20"/>
                <w:szCs w:val="20"/>
              </w:rPr>
            </w:pPr>
            <w:r w:rsidRPr="002E4977">
              <w:rPr>
                <w:rFonts w:ascii="Segoe UI" w:eastAsia="Times New Roman" w:hAnsi="Segoe UI" w:cs="Segoe UI"/>
                <w:b/>
                <w:bCs/>
                <w:color w:val="000000"/>
                <w:sz w:val="20"/>
                <w:szCs w:val="20"/>
              </w:rPr>
              <w:t>56 802,2</w:t>
            </w:r>
          </w:p>
        </w:tc>
      </w:tr>
      <w:tr w:rsidR="00D41D6D" w:rsidRPr="003236CC" w14:paraId="41694C0E" w14:textId="77777777" w:rsidTr="00D41D6D">
        <w:trPr>
          <w:trHeight w:val="330"/>
        </w:trPr>
        <w:tc>
          <w:tcPr>
            <w:tcW w:w="5642" w:type="dxa"/>
            <w:tcBorders>
              <w:top w:val="nil"/>
              <w:left w:val="single" w:sz="8" w:space="0" w:color="auto"/>
              <w:bottom w:val="single" w:sz="4" w:space="0" w:color="auto"/>
              <w:right w:val="single" w:sz="4" w:space="0" w:color="auto"/>
            </w:tcBorders>
            <w:shd w:val="clear" w:color="auto" w:fill="auto"/>
            <w:noWrap/>
            <w:vAlign w:val="bottom"/>
            <w:hideMark/>
          </w:tcPr>
          <w:p w14:paraId="710EB86F" w14:textId="0AAF48EF" w:rsidR="00D41D6D" w:rsidRPr="002E4977" w:rsidRDefault="00D41D6D" w:rsidP="002E4977">
            <w:pPr>
              <w:pStyle w:val="Paragraphedeliste"/>
              <w:numPr>
                <w:ilvl w:val="0"/>
                <w:numId w:val="31"/>
              </w:numPr>
              <w:spacing w:after="0" w:line="240" w:lineRule="auto"/>
              <w:rPr>
                <w:rFonts w:ascii="Segoe UI" w:eastAsia="Times New Roman" w:hAnsi="Segoe UI" w:cs="Segoe UI"/>
                <w:sz w:val="20"/>
                <w:szCs w:val="20"/>
              </w:rPr>
            </w:pPr>
            <w:r w:rsidRPr="002E4977">
              <w:rPr>
                <w:rFonts w:ascii="Segoe UI" w:eastAsia="Times New Roman" w:hAnsi="Segoe UI" w:cs="Segoe UI"/>
                <w:sz w:val="20"/>
                <w:szCs w:val="20"/>
              </w:rPr>
              <w:t>Amortissement emprunts obligataires</w:t>
            </w:r>
          </w:p>
        </w:tc>
        <w:tc>
          <w:tcPr>
            <w:tcW w:w="3733" w:type="dxa"/>
            <w:tcBorders>
              <w:top w:val="nil"/>
              <w:left w:val="nil"/>
              <w:bottom w:val="single" w:sz="4" w:space="0" w:color="auto"/>
              <w:right w:val="single" w:sz="8" w:space="0" w:color="auto"/>
            </w:tcBorders>
            <w:shd w:val="clear" w:color="auto" w:fill="auto"/>
            <w:noWrap/>
            <w:vAlign w:val="bottom"/>
            <w:hideMark/>
          </w:tcPr>
          <w:p w14:paraId="5CC6604D" w14:textId="77777777" w:rsidR="00D41D6D" w:rsidRPr="002E4977" w:rsidRDefault="006B3DD8" w:rsidP="00843307">
            <w:pPr>
              <w:spacing w:after="0" w:line="240" w:lineRule="auto"/>
              <w:jc w:val="right"/>
              <w:rPr>
                <w:rFonts w:ascii="Segoe UI" w:eastAsia="Times New Roman" w:hAnsi="Segoe UI" w:cs="Segoe UI"/>
                <w:color w:val="000000"/>
                <w:sz w:val="20"/>
                <w:szCs w:val="20"/>
              </w:rPr>
            </w:pPr>
            <w:r w:rsidRPr="002E4977">
              <w:rPr>
                <w:rFonts w:ascii="Segoe UI" w:eastAsia="Times New Roman" w:hAnsi="Segoe UI" w:cs="Segoe UI"/>
                <w:color w:val="000000"/>
                <w:sz w:val="20"/>
                <w:szCs w:val="20"/>
              </w:rPr>
              <w:t>0,0</w:t>
            </w:r>
          </w:p>
        </w:tc>
      </w:tr>
      <w:tr w:rsidR="00D41D6D" w:rsidRPr="003236CC" w14:paraId="6970850A" w14:textId="77777777" w:rsidTr="00D41D6D">
        <w:trPr>
          <w:trHeight w:val="345"/>
        </w:trPr>
        <w:tc>
          <w:tcPr>
            <w:tcW w:w="5642" w:type="dxa"/>
            <w:tcBorders>
              <w:top w:val="nil"/>
              <w:left w:val="single" w:sz="8" w:space="0" w:color="auto"/>
              <w:bottom w:val="single" w:sz="4" w:space="0" w:color="auto"/>
              <w:right w:val="single" w:sz="4" w:space="0" w:color="auto"/>
            </w:tcBorders>
            <w:shd w:val="clear" w:color="auto" w:fill="auto"/>
            <w:noWrap/>
            <w:vAlign w:val="bottom"/>
            <w:hideMark/>
          </w:tcPr>
          <w:p w14:paraId="7F978601" w14:textId="0AEA124B" w:rsidR="00D41D6D" w:rsidRPr="002E4977" w:rsidRDefault="00D41D6D" w:rsidP="002E4977">
            <w:pPr>
              <w:pStyle w:val="Paragraphedeliste"/>
              <w:numPr>
                <w:ilvl w:val="0"/>
                <w:numId w:val="31"/>
              </w:numPr>
              <w:spacing w:after="0" w:line="240" w:lineRule="auto"/>
              <w:rPr>
                <w:rFonts w:ascii="Segoe UI" w:eastAsia="Times New Roman" w:hAnsi="Segoe UI" w:cs="Segoe UI"/>
                <w:sz w:val="20"/>
                <w:szCs w:val="20"/>
              </w:rPr>
            </w:pPr>
            <w:r w:rsidRPr="002E4977">
              <w:rPr>
                <w:rFonts w:ascii="Segoe UI" w:eastAsia="Times New Roman" w:hAnsi="Segoe UI" w:cs="Segoe UI"/>
                <w:sz w:val="20"/>
                <w:szCs w:val="20"/>
              </w:rPr>
              <w:t>Amortissement tirages FMI</w:t>
            </w:r>
          </w:p>
        </w:tc>
        <w:tc>
          <w:tcPr>
            <w:tcW w:w="3733" w:type="dxa"/>
            <w:tcBorders>
              <w:top w:val="nil"/>
              <w:left w:val="nil"/>
              <w:bottom w:val="single" w:sz="4" w:space="0" w:color="auto"/>
              <w:right w:val="single" w:sz="8" w:space="0" w:color="auto"/>
            </w:tcBorders>
            <w:shd w:val="clear" w:color="auto" w:fill="auto"/>
            <w:noWrap/>
            <w:vAlign w:val="bottom"/>
            <w:hideMark/>
          </w:tcPr>
          <w:p w14:paraId="72FCDB28" w14:textId="77777777" w:rsidR="00D41D6D" w:rsidRPr="002E4977" w:rsidRDefault="00D41D6D" w:rsidP="00843307">
            <w:pPr>
              <w:spacing w:after="0" w:line="240" w:lineRule="auto"/>
              <w:jc w:val="right"/>
              <w:rPr>
                <w:rFonts w:ascii="Segoe UI" w:eastAsia="Times New Roman" w:hAnsi="Segoe UI" w:cs="Segoe UI"/>
                <w:color w:val="000000"/>
                <w:sz w:val="20"/>
                <w:szCs w:val="20"/>
              </w:rPr>
            </w:pPr>
            <w:r w:rsidRPr="002E4977">
              <w:rPr>
                <w:rFonts w:ascii="Segoe UI" w:eastAsia="Times New Roman" w:hAnsi="Segoe UI" w:cs="Segoe UI"/>
                <w:sz w:val="20"/>
                <w:szCs w:val="20"/>
              </w:rPr>
              <w:t>2 337,7</w:t>
            </w:r>
          </w:p>
        </w:tc>
      </w:tr>
      <w:tr w:rsidR="00CC0C79" w:rsidRPr="003236CC" w14:paraId="65C0F2A4" w14:textId="77777777" w:rsidTr="00D41D6D">
        <w:trPr>
          <w:trHeight w:val="345"/>
        </w:trPr>
        <w:tc>
          <w:tcPr>
            <w:tcW w:w="5642" w:type="dxa"/>
            <w:tcBorders>
              <w:top w:val="nil"/>
              <w:left w:val="single" w:sz="8" w:space="0" w:color="auto"/>
              <w:bottom w:val="single" w:sz="4" w:space="0" w:color="auto"/>
              <w:right w:val="single" w:sz="4" w:space="0" w:color="auto"/>
            </w:tcBorders>
            <w:shd w:val="clear" w:color="auto" w:fill="auto"/>
            <w:noWrap/>
            <w:vAlign w:val="bottom"/>
            <w:hideMark/>
          </w:tcPr>
          <w:p w14:paraId="1CACC60C" w14:textId="61F3C04E" w:rsidR="00CC0C79" w:rsidRPr="002E4977" w:rsidRDefault="00CC0C79" w:rsidP="002E4977">
            <w:pPr>
              <w:pStyle w:val="Paragraphedeliste"/>
              <w:numPr>
                <w:ilvl w:val="0"/>
                <w:numId w:val="31"/>
              </w:numPr>
              <w:spacing w:after="0" w:line="240" w:lineRule="auto"/>
              <w:rPr>
                <w:rFonts w:ascii="Segoe UI" w:eastAsia="Times New Roman" w:hAnsi="Segoe UI" w:cs="Segoe UI"/>
                <w:sz w:val="20"/>
                <w:szCs w:val="20"/>
              </w:rPr>
            </w:pPr>
            <w:r w:rsidRPr="002E4977">
              <w:rPr>
                <w:rFonts w:ascii="Segoe UI" w:eastAsia="Times New Roman" w:hAnsi="Segoe UI" w:cs="Segoe UI"/>
                <w:sz w:val="20"/>
                <w:szCs w:val="20"/>
              </w:rPr>
              <w:t>Amortissement bon du trésor</w:t>
            </w:r>
          </w:p>
        </w:tc>
        <w:tc>
          <w:tcPr>
            <w:tcW w:w="3733" w:type="dxa"/>
            <w:tcBorders>
              <w:top w:val="nil"/>
              <w:left w:val="nil"/>
              <w:bottom w:val="single" w:sz="4" w:space="0" w:color="auto"/>
              <w:right w:val="single" w:sz="8" w:space="0" w:color="auto"/>
            </w:tcBorders>
            <w:shd w:val="clear" w:color="auto" w:fill="auto"/>
            <w:noWrap/>
            <w:vAlign w:val="bottom"/>
            <w:hideMark/>
          </w:tcPr>
          <w:p w14:paraId="2B36860A" w14:textId="77777777" w:rsidR="00CC0C79" w:rsidRPr="002E4977" w:rsidRDefault="00CC0C79" w:rsidP="00843307">
            <w:pPr>
              <w:spacing w:after="0" w:line="240" w:lineRule="auto"/>
              <w:jc w:val="right"/>
              <w:rPr>
                <w:rFonts w:ascii="Segoe UI" w:eastAsia="Times New Roman" w:hAnsi="Segoe UI" w:cs="Segoe UI"/>
                <w:color w:val="000000"/>
                <w:sz w:val="20"/>
                <w:szCs w:val="20"/>
              </w:rPr>
            </w:pPr>
            <w:r w:rsidRPr="002E4977">
              <w:rPr>
                <w:rFonts w:ascii="Segoe UI" w:eastAsia="Times New Roman" w:hAnsi="Segoe UI" w:cs="Segoe UI"/>
                <w:sz w:val="20"/>
                <w:szCs w:val="20"/>
              </w:rPr>
              <w:t>27 500,0</w:t>
            </w:r>
          </w:p>
        </w:tc>
      </w:tr>
      <w:tr w:rsidR="0007072D" w:rsidRPr="003236CC" w14:paraId="60A4D098" w14:textId="77777777" w:rsidTr="00D41D6D">
        <w:trPr>
          <w:trHeight w:val="345"/>
        </w:trPr>
        <w:tc>
          <w:tcPr>
            <w:tcW w:w="5642" w:type="dxa"/>
            <w:tcBorders>
              <w:top w:val="nil"/>
              <w:left w:val="single" w:sz="8" w:space="0" w:color="auto"/>
              <w:bottom w:val="single" w:sz="4" w:space="0" w:color="auto"/>
              <w:right w:val="single" w:sz="4" w:space="0" w:color="auto"/>
            </w:tcBorders>
            <w:shd w:val="clear" w:color="auto" w:fill="auto"/>
            <w:noWrap/>
            <w:vAlign w:val="bottom"/>
            <w:hideMark/>
          </w:tcPr>
          <w:p w14:paraId="36296295" w14:textId="4B4F580E" w:rsidR="0007072D" w:rsidRPr="002E4977" w:rsidRDefault="0007072D" w:rsidP="002E4977">
            <w:pPr>
              <w:pStyle w:val="Paragraphedeliste"/>
              <w:numPr>
                <w:ilvl w:val="0"/>
                <w:numId w:val="31"/>
              </w:numPr>
              <w:spacing w:after="0" w:line="240" w:lineRule="auto"/>
              <w:rPr>
                <w:rFonts w:ascii="Segoe UI" w:eastAsia="Times New Roman" w:hAnsi="Segoe UI" w:cs="Segoe UI"/>
                <w:sz w:val="20"/>
                <w:szCs w:val="20"/>
              </w:rPr>
            </w:pPr>
            <w:r w:rsidRPr="002E4977">
              <w:rPr>
                <w:rFonts w:ascii="Segoe UI" w:eastAsia="Times New Roman" w:hAnsi="Segoe UI" w:cs="Segoe UI"/>
                <w:sz w:val="20"/>
                <w:szCs w:val="20"/>
              </w:rPr>
              <w:t>Amortissement emprunt</w:t>
            </w:r>
            <w:r w:rsidR="006028C1" w:rsidRPr="002E4977">
              <w:rPr>
                <w:rFonts w:ascii="Segoe UI" w:eastAsia="Times New Roman" w:hAnsi="Segoe UI" w:cs="Segoe UI"/>
                <w:sz w:val="20"/>
                <w:szCs w:val="20"/>
              </w:rPr>
              <w:t>s</w:t>
            </w:r>
            <w:r w:rsidRPr="002E4977">
              <w:rPr>
                <w:rFonts w:ascii="Segoe UI" w:eastAsia="Times New Roman" w:hAnsi="Segoe UI" w:cs="Segoe UI"/>
                <w:sz w:val="20"/>
                <w:szCs w:val="20"/>
              </w:rPr>
              <w:t xml:space="preserve"> extérieur</w:t>
            </w:r>
            <w:r w:rsidR="006028C1" w:rsidRPr="002E4977">
              <w:rPr>
                <w:rFonts w:ascii="Segoe UI" w:eastAsia="Times New Roman" w:hAnsi="Segoe UI" w:cs="Segoe UI"/>
                <w:sz w:val="20"/>
                <w:szCs w:val="20"/>
              </w:rPr>
              <w:t>s</w:t>
            </w:r>
          </w:p>
        </w:tc>
        <w:tc>
          <w:tcPr>
            <w:tcW w:w="3733" w:type="dxa"/>
            <w:tcBorders>
              <w:top w:val="nil"/>
              <w:left w:val="nil"/>
              <w:bottom w:val="single" w:sz="4" w:space="0" w:color="auto"/>
              <w:right w:val="single" w:sz="8" w:space="0" w:color="auto"/>
            </w:tcBorders>
            <w:shd w:val="clear" w:color="auto" w:fill="auto"/>
            <w:noWrap/>
            <w:vAlign w:val="bottom"/>
            <w:hideMark/>
          </w:tcPr>
          <w:p w14:paraId="6CB7C245" w14:textId="77777777" w:rsidR="0007072D" w:rsidRPr="002E4977" w:rsidRDefault="0007072D" w:rsidP="00843307">
            <w:pPr>
              <w:spacing w:after="0" w:line="240" w:lineRule="auto"/>
              <w:jc w:val="right"/>
              <w:rPr>
                <w:rFonts w:ascii="Segoe UI" w:eastAsia="Times New Roman" w:hAnsi="Segoe UI" w:cs="Segoe UI"/>
                <w:sz w:val="20"/>
                <w:szCs w:val="20"/>
              </w:rPr>
            </w:pPr>
            <w:r w:rsidRPr="002E4977">
              <w:rPr>
                <w:rFonts w:ascii="Segoe UI" w:eastAsia="Times New Roman" w:hAnsi="Segoe UI" w:cs="Segoe UI"/>
                <w:sz w:val="20"/>
                <w:szCs w:val="20"/>
              </w:rPr>
              <w:t>21 378,8</w:t>
            </w:r>
          </w:p>
        </w:tc>
      </w:tr>
      <w:tr w:rsidR="00CC0C79" w:rsidRPr="003236CC" w14:paraId="73A03BE7" w14:textId="77777777" w:rsidTr="00D41D6D">
        <w:trPr>
          <w:trHeight w:val="345"/>
        </w:trPr>
        <w:tc>
          <w:tcPr>
            <w:tcW w:w="5642" w:type="dxa"/>
            <w:tcBorders>
              <w:top w:val="nil"/>
              <w:left w:val="single" w:sz="8" w:space="0" w:color="auto"/>
              <w:bottom w:val="single" w:sz="4" w:space="0" w:color="auto"/>
              <w:right w:val="single" w:sz="4" w:space="0" w:color="auto"/>
            </w:tcBorders>
            <w:shd w:val="clear" w:color="auto" w:fill="auto"/>
            <w:noWrap/>
            <w:vAlign w:val="bottom"/>
            <w:hideMark/>
          </w:tcPr>
          <w:p w14:paraId="2DE3370E" w14:textId="4D89F866" w:rsidR="00CC0C79" w:rsidRPr="002E4977" w:rsidRDefault="00D54628" w:rsidP="002E4977">
            <w:pPr>
              <w:pStyle w:val="Paragraphedeliste"/>
              <w:numPr>
                <w:ilvl w:val="0"/>
                <w:numId w:val="31"/>
              </w:numPr>
              <w:spacing w:after="0" w:line="240" w:lineRule="auto"/>
              <w:rPr>
                <w:rFonts w:ascii="Segoe UI" w:eastAsia="Times New Roman" w:hAnsi="Segoe UI" w:cs="Segoe UI"/>
                <w:sz w:val="20"/>
                <w:szCs w:val="20"/>
              </w:rPr>
            </w:pPr>
            <w:r w:rsidRPr="002E4977">
              <w:rPr>
                <w:rFonts w:ascii="Segoe UI" w:eastAsia="Times New Roman" w:hAnsi="Segoe UI" w:cs="Segoe UI"/>
                <w:sz w:val="20"/>
                <w:szCs w:val="20"/>
              </w:rPr>
              <w:t>Retraits des correspondants du trésor</w:t>
            </w:r>
          </w:p>
        </w:tc>
        <w:tc>
          <w:tcPr>
            <w:tcW w:w="3733" w:type="dxa"/>
            <w:tcBorders>
              <w:top w:val="nil"/>
              <w:left w:val="nil"/>
              <w:bottom w:val="single" w:sz="4" w:space="0" w:color="auto"/>
              <w:right w:val="single" w:sz="8" w:space="0" w:color="auto"/>
            </w:tcBorders>
            <w:shd w:val="clear" w:color="auto" w:fill="auto"/>
            <w:noWrap/>
            <w:vAlign w:val="bottom"/>
            <w:hideMark/>
          </w:tcPr>
          <w:p w14:paraId="00C3D3C7" w14:textId="77777777" w:rsidR="00CC0C79" w:rsidRPr="002E4977" w:rsidRDefault="00CC0C79" w:rsidP="00885D9F">
            <w:pPr>
              <w:spacing w:after="0" w:line="240" w:lineRule="auto"/>
              <w:jc w:val="right"/>
              <w:rPr>
                <w:rFonts w:ascii="Segoe UI" w:eastAsia="Times New Roman" w:hAnsi="Segoe UI" w:cs="Segoe UI"/>
                <w:color w:val="000000"/>
                <w:sz w:val="20"/>
                <w:szCs w:val="20"/>
              </w:rPr>
            </w:pPr>
            <w:r w:rsidRPr="002E4977">
              <w:rPr>
                <w:rFonts w:ascii="Segoe UI" w:eastAsia="Times New Roman" w:hAnsi="Segoe UI" w:cs="Segoe UI"/>
                <w:bCs/>
                <w:sz w:val="20"/>
                <w:szCs w:val="20"/>
              </w:rPr>
              <w:t>1 969,6</w:t>
            </w:r>
          </w:p>
        </w:tc>
      </w:tr>
      <w:tr w:rsidR="00CC0C79" w:rsidRPr="003236CC" w14:paraId="7998F87D" w14:textId="77777777" w:rsidTr="00D41D6D">
        <w:trPr>
          <w:trHeight w:val="345"/>
        </w:trPr>
        <w:tc>
          <w:tcPr>
            <w:tcW w:w="5642" w:type="dxa"/>
            <w:tcBorders>
              <w:top w:val="nil"/>
              <w:left w:val="single" w:sz="8" w:space="0" w:color="auto"/>
              <w:bottom w:val="single" w:sz="4" w:space="0" w:color="auto"/>
              <w:right w:val="single" w:sz="4" w:space="0" w:color="auto"/>
            </w:tcBorders>
            <w:shd w:val="clear" w:color="auto" w:fill="auto"/>
            <w:noWrap/>
            <w:vAlign w:val="bottom"/>
            <w:hideMark/>
          </w:tcPr>
          <w:p w14:paraId="6526F91D" w14:textId="4A46F3FF" w:rsidR="00CC0C79" w:rsidRPr="002E4977" w:rsidRDefault="00CC0C79" w:rsidP="002E4977">
            <w:pPr>
              <w:pStyle w:val="Paragraphedeliste"/>
              <w:numPr>
                <w:ilvl w:val="0"/>
                <w:numId w:val="31"/>
              </w:numPr>
              <w:spacing w:after="0" w:line="240" w:lineRule="auto"/>
              <w:rPr>
                <w:rFonts w:ascii="Segoe UI" w:eastAsia="Times New Roman" w:hAnsi="Segoe UI" w:cs="Segoe UI"/>
                <w:sz w:val="20"/>
                <w:szCs w:val="20"/>
              </w:rPr>
            </w:pPr>
            <w:r w:rsidRPr="002E4977">
              <w:rPr>
                <w:rFonts w:ascii="Segoe UI" w:eastAsia="Times New Roman" w:hAnsi="Segoe UI" w:cs="Segoe UI"/>
                <w:bCs/>
                <w:sz w:val="20"/>
                <w:szCs w:val="20"/>
              </w:rPr>
              <w:t>Indemnités de vacation des enseignants</w:t>
            </w:r>
          </w:p>
        </w:tc>
        <w:tc>
          <w:tcPr>
            <w:tcW w:w="3733" w:type="dxa"/>
            <w:tcBorders>
              <w:top w:val="nil"/>
              <w:left w:val="nil"/>
              <w:bottom w:val="single" w:sz="4" w:space="0" w:color="auto"/>
              <w:right w:val="single" w:sz="8" w:space="0" w:color="auto"/>
            </w:tcBorders>
            <w:shd w:val="clear" w:color="auto" w:fill="auto"/>
            <w:noWrap/>
            <w:vAlign w:val="bottom"/>
            <w:hideMark/>
          </w:tcPr>
          <w:p w14:paraId="232FBE01" w14:textId="77777777" w:rsidR="00CC0C79" w:rsidRPr="002E4977" w:rsidRDefault="00CC0C79" w:rsidP="00885D9F">
            <w:pPr>
              <w:spacing w:after="0" w:line="240" w:lineRule="auto"/>
              <w:jc w:val="right"/>
              <w:rPr>
                <w:rFonts w:ascii="Segoe UI" w:eastAsia="Times New Roman" w:hAnsi="Segoe UI" w:cs="Segoe UI"/>
                <w:color w:val="000000"/>
                <w:sz w:val="20"/>
                <w:szCs w:val="20"/>
              </w:rPr>
            </w:pPr>
            <w:r w:rsidRPr="002E4977">
              <w:rPr>
                <w:rFonts w:ascii="Segoe UI" w:eastAsia="Times New Roman" w:hAnsi="Segoe UI" w:cs="Segoe UI"/>
                <w:bCs/>
                <w:sz w:val="20"/>
                <w:szCs w:val="20"/>
              </w:rPr>
              <w:t>1 678,5</w:t>
            </w:r>
          </w:p>
        </w:tc>
      </w:tr>
      <w:tr w:rsidR="00CC0C79" w:rsidRPr="003236CC" w14:paraId="74548574" w14:textId="77777777" w:rsidTr="00D41D6D">
        <w:trPr>
          <w:trHeight w:val="345"/>
        </w:trPr>
        <w:tc>
          <w:tcPr>
            <w:tcW w:w="5642" w:type="dxa"/>
            <w:tcBorders>
              <w:top w:val="nil"/>
              <w:left w:val="single" w:sz="8" w:space="0" w:color="auto"/>
              <w:bottom w:val="single" w:sz="4" w:space="0" w:color="auto"/>
              <w:right w:val="single" w:sz="4" w:space="0" w:color="auto"/>
            </w:tcBorders>
            <w:shd w:val="clear" w:color="auto" w:fill="auto"/>
            <w:noWrap/>
            <w:vAlign w:val="bottom"/>
            <w:hideMark/>
          </w:tcPr>
          <w:p w14:paraId="7C81C23A" w14:textId="24342D8F" w:rsidR="00CC0C79" w:rsidRPr="002E4977" w:rsidRDefault="005E68DE" w:rsidP="002E4977">
            <w:pPr>
              <w:pStyle w:val="Paragraphedeliste"/>
              <w:numPr>
                <w:ilvl w:val="0"/>
                <w:numId w:val="31"/>
              </w:numPr>
              <w:spacing w:after="0" w:line="240" w:lineRule="auto"/>
              <w:rPr>
                <w:rFonts w:ascii="Segoe UI" w:eastAsia="Times New Roman" w:hAnsi="Segoe UI" w:cs="Segoe UI"/>
                <w:sz w:val="20"/>
                <w:szCs w:val="20"/>
              </w:rPr>
            </w:pPr>
            <w:r w:rsidRPr="002E4977">
              <w:rPr>
                <w:rFonts w:ascii="Segoe UI" w:eastAsia="Times New Roman" w:hAnsi="Segoe UI" w:cs="Segoe UI"/>
                <w:sz w:val="20"/>
                <w:szCs w:val="20"/>
              </w:rPr>
              <w:t xml:space="preserve">Amortissement banques dettes locales </w:t>
            </w:r>
          </w:p>
        </w:tc>
        <w:tc>
          <w:tcPr>
            <w:tcW w:w="3733" w:type="dxa"/>
            <w:tcBorders>
              <w:top w:val="nil"/>
              <w:left w:val="nil"/>
              <w:bottom w:val="single" w:sz="4" w:space="0" w:color="auto"/>
              <w:right w:val="single" w:sz="8" w:space="0" w:color="auto"/>
            </w:tcBorders>
            <w:shd w:val="clear" w:color="auto" w:fill="auto"/>
            <w:noWrap/>
            <w:vAlign w:val="bottom"/>
            <w:hideMark/>
          </w:tcPr>
          <w:p w14:paraId="19051DCA" w14:textId="77777777" w:rsidR="00CC0C79" w:rsidRPr="002E4977" w:rsidRDefault="00420F4C" w:rsidP="00CB5043">
            <w:pPr>
              <w:spacing w:after="0" w:line="240" w:lineRule="auto"/>
              <w:jc w:val="right"/>
              <w:rPr>
                <w:rFonts w:ascii="Segoe UI" w:eastAsia="Times New Roman" w:hAnsi="Segoe UI" w:cs="Segoe UI"/>
                <w:i/>
                <w:iCs/>
                <w:color w:val="000000"/>
                <w:sz w:val="20"/>
                <w:szCs w:val="20"/>
              </w:rPr>
            </w:pPr>
            <w:r w:rsidRPr="002E4977">
              <w:rPr>
                <w:rFonts w:ascii="Segoe UI" w:eastAsia="Times New Roman" w:hAnsi="Segoe UI" w:cs="Segoe UI"/>
                <w:i/>
                <w:iCs/>
                <w:color w:val="000000"/>
                <w:sz w:val="20"/>
                <w:szCs w:val="20"/>
              </w:rPr>
              <w:t>1 937,6</w:t>
            </w:r>
          </w:p>
        </w:tc>
      </w:tr>
      <w:tr w:rsidR="005E68DE" w:rsidRPr="003236CC" w14:paraId="17F06E60" w14:textId="77777777" w:rsidTr="00D41D6D">
        <w:trPr>
          <w:trHeight w:val="345"/>
        </w:trPr>
        <w:tc>
          <w:tcPr>
            <w:tcW w:w="5642" w:type="dxa"/>
            <w:tcBorders>
              <w:top w:val="nil"/>
              <w:left w:val="single" w:sz="8" w:space="0" w:color="auto"/>
              <w:bottom w:val="single" w:sz="4" w:space="0" w:color="auto"/>
              <w:right w:val="single" w:sz="4" w:space="0" w:color="auto"/>
            </w:tcBorders>
            <w:shd w:val="clear" w:color="auto" w:fill="auto"/>
            <w:noWrap/>
            <w:vAlign w:val="bottom"/>
            <w:hideMark/>
          </w:tcPr>
          <w:p w14:paraId="6990A062" w14:textId="70A3E3EF" w:rsidR="005E68DE" w:rsidRPr="002E4977" w:rsidRDefault="005E68DE" w:rsidP="00F10A86">
            <w:pPr>
              <w:spacing w:after="0" w:line="240" w:lineRule="auto"/>
              <w:rPr>
                <w:rFonts w:ascii="Segoe UI" w:eastAsia="Times New Roman" w:hAnsi="Segoe UI" w:cs="Segoe UI"/>
                <w:b/>
                <w:sz w:val="20"/>
                <w:szCs w:val="20"/>
              </w:rPr>
            </w:pPr>
            <w:r w:rsidRPr="002E4977">
              <w:rPr>
                <w:rFonts w:ascii="Segoe UI" w:eastAsia="Times New Roman" w:hAnsi="Segoe UI" w:cs="Segoe UI"/>
                <w:b/>
                <w:sz w:val="20"/>
                <w:szCs w:val="20"/>
              </w:rPr>
              <w:t xml:space="preserve">Solde budgétaire </w:t>
            </w:r>
            <w:r w:rsidR="000C43FD">
              <w:rPr>
                <w:rFonts w:ascii="Segoe UI" w:eastAsia="Times New Roman" w:hAnsi="Segoe UI" w:cs="Segoe UI"/>
                <w:b/>
                <w:sz w:val="20"/>
                <w:szCs w:val="20"/>
              </w:rPr>
              <w:t xml:space="preserve">déficitaire </w:t>
            </w:r>
            <w:r w:rsidRPr="002E4977">
              <w:rPr>
                <w:rFonts w:ascii="Segoe UI" w:eastAsia="Times New Roman" w:hAnsi="Segoe UI" w:cs="Segoe UI"/>
                <w:b/>
                <w:sz w:val="20"/>
                <w:szCs w:val="20"/>
              </w:rPr>
              <w:t>(base ordonnancement)</w:t>
            </w:r>
          </w:p>
        </w:tc>
        <w:tc>
          <w:tcPr>
            <w:tcW w:w="3733" w:type="dxa"/>
            <w:tcBorders>
              <w:top w:val="nil"/>
              <w:left w:val="nil"/>
              <w:bottom w:val="single" w:sz="4" w:space="0" w:color="auto"/>
              <w:right w:val="single" w:sz="8" w:space="0" w:color="auto"/>
            </w:tcBorders>
            <w:shd w:val="clear" w:color="auto" w:fill="auto"/>
            <w:noWrap/>
            <w:vAlign w:val="bottom"/>
            <w:hideMark/>
          </w:tcPr>
          <w:p w14:paraId="6C65C982" w14:textId="1103AB66" w:rsidR="005E68DE" w:rsidRPr="002E4977" w:rsidRDefault="00946860" w:rsidP="00F10A86">
            <w:pPr>
              <w:spacing w:after="0" w:line="240" w:lineRule="auto"/>
              <w:jc w:val="right"/>
              <w:rPr>
                <w:rFonts w:ascii="Segoe UI" w:eastAsia="Times New Roman" w:hAnsi="Segoe UI" w:cs="Segoe UI"/>
                <w:b/>
                <w:i/>
                <w:iCs/>
                <w:color w:val="000000"/>
                <w:sz w:val="20"/>
                <w:szCs w:val="20"/>
              </w:rPr>
            </w:pPr>
            <w:r>
              <w:rPr>
                <w:rFonts w:ascii="Segoe UI" w:eastAsia="Times New Roman" w:hAnsi="Segoe UI" w:cs="Segoe UI"/>
                <w:b/>
                <w:i/>
                <w:iCs/>
                <w:color w:val="000000"/>
                <w:sz w:val="20"/>
                <w:szCs w:val="20"/>
              </w:rPr>
              <w:t>8 375,7</w:t>
            </w:r>
          </w:p>
        </w:tc>
      </w:tr>
      <w:tr w:rsidR="005E68DE" w:rsidRPr="003236CC" w14:paraId="5848A955" w14:textId="77777777" w:rsidTr="00D41D6D">
        <w:trPr>
          <w:trHeight w:val="60"/>
        </w:trPr>
        <w:tc>
          <w:tcPr>
            <w:tcW w:w="9375"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DC70CF2" w14:textId="77777777" w:rsidR="005E68DE" w:rsidRPr="002E4977" w:rsidRDefault="005E68DE" w:rsidP="00885D9F">
            <w:pPr>
              <w:spacing w:after="0" w:line="240" w:lineRule="auto"/>
              <w:jc w:val="center"/>
              <w:rPr>
                <w:rFonts w:ascii="Segoe UI" w:eastAsia="Times New Roman" w:hAnsi="Segoe UI" w:cs="Segoe UI"/>
                <w:color w:val="000000"/>
                <w:sz w:val="20"/>
                <w:szCs w:val="20"/>
              </w:rPr>
            </w:pPr>
            <w:r w:rsidRPr="002E4977">
              <w:rPr>
                <w:rFonts w:ascii="Segoe UI" w:eastAsia="Times New Roman" w:hAnsi="Segoe UI" w:cs="Segoe UI"/>
                <w:color w:val="000000"/>
                <w:sz w:val="20"/>
                <w:szCs w:val="20"/>
              </w:rPr>
              <w:t> </w:t>
            </w:r>
          </w:p>
        </w:tc>
      </w:tr>
      <w:tr w:rsidR="005E68DE" w:rsidRPr="003236CC" w14:paraId="1FA1290F" w14:textId="77777777" w:rsidTr="00D41D6D">
        <w:trPr>
          <w:trHeight w:val="330"/>
        </w:trPr>
        <w:tc>
          <w:tcPr>
            <w:tcW w:w="5642" w:type="dxa"/>
            <w:tcBorders>
              <w:top w:val="nil"/>
              <w:left w:val="single" w:sz="8" w:space="0" w:color="auto"/>
              <w:bottom w:val="single" w:sz="4" w:space="0" w:color="auto"/>
              <w:right w:val="nil"/>
            </w:tcBorders>
            <w:shd w:val="clear" w:color="auto" w:fill="auto"/>
            <w:noWrap/>
            <w:vAlign w:val="bottom"/>
            <w:hideMark/>
          </w:tcPr>
          <w:p w14:paraId="769500CF" w14:textId="77777777" w:rsidR="005E68DE" w:rsidRPr="002E4977" w:rsidRDefault="005E68DE" w:rsidP="00885D9F">
            <w:pPr>
              <w:spacing w:after="0" w:line="240" w:lineRule="auto"/>
              <w:rPr>
                <w:rFonts w:ascii="Segoe UI" w:eastAsia="Times New Roman" w:hAnsi="Segoe UI" w:cs="Segoe UI"/>
                <w:b/>
                <w:bCs/>
                <w:color w:val="000000"/>
                <w:sz w:val="20"/>
                <w:szCs w:val="20"/>
              </w:rPr>
            </w:pPr>
            <w:r w:rsidRPr="002E4977">
              <w:rPr>
                <w:rFonts w:ascii="Segoe UI" w:eastAsia="Times New Roman" w:hAnsi="Segoe UI" w:cs="Segoe UI"/>
                <w:b/>
                <w:bCs/>
                <w:color w:val="000000"/>
                <w:sz w:val="20"/>
                <w:szCs w:val="20"/>
              </w:rPr>
              <w:t>Ressources de financement</w:t>
            </w:r>
          </w:p>
        </w:tc>
        <w:tc>
          <w:tcPr>
            <w:tcW w:w="3733" w:type="dxa"/>
            <w:tcBorders>
              <w:top w:val="nil"/>
              <w:left w:val="single" w:sz="4" w:space="0" w:color="auto"/>
              <w:bottom w:val="single" w:sz="4" w:space="0" w:color="auto"/>
              <w:right w:val="single" w:sz="8" w:space="0" w:color="auto"/>
            </w:tcBorders>
            <w:shd w:val="clear" w:color="auto" w:fill="auto"/>
            <w:noWrap/>
            <w:vAlign w:val="bottom"/>
            <w:hideMark/>
          </w:tcPr>
          <w:p w14:paraId="4D4D0AB9" w14:textId="77777777" w:rsidR="005E68DE" w:rsidRPr="002E4977" w:rsidRDefault="005E68DE" w:rsidP="00885D9F">
            <w:pPr>
              <w:spacing w:after="0" w:line="240" w:lineRule="auto"/>
              <w:jc w:val="right"/>
              <w:rPr>
                <w:rFonts w:ascii="Segoe UI" w:eastAsia="Times New Roman" w:hAnsi="Segoe UI" w:cs="Segoe UI"/>
                <w:b/>
                <w:bCs/>
                <w:color w:val="000000"/>
                <w:sz w:val="20"/>
                <w:szCs w:val="20"/>
              </w:rPr>
            </w:pPr>
            <w:r w:rsidRPr="002E4977">
              <w:rPr>
                <w:rFonts w:ascii="Segoe UI" w:hAnsi="Segoe UI" w:cs="Segoe UI"/>
                <w:b/>
                <w:bCs/>
                <w:sz w:val="20"/>
                <w:szCs w:val="20"/>
              </w:rPr>
              <w:t>116 935</w:t>
            </w:r>
          </w:p>
        </w:tc>
      </w:tr>
      <w:tr w:rsidR="005E68DE" w:rsidRPr="003236CC" w14:paraId="1EF68465" w14:textId="77777777" w:rsidTr="00D41D6D">
        <w:trPr>
          <w:trHeight w:val="345"/>
        </w:trPr>
        <w:tc>
          <w:tcPr>
            <w:tcW w:w="5642" w:type="dxa"/>
            <w:tcBorders>
              <w:top w:val="nil"/>
              <w:left w:val="single" w:sz="8" w:space="0" w:color="auto"/>
              <w:bottom w:val="single" w:sz="4" w:space="0" w:color="auto"/>
              <w:right w:val="single" w:sz="4" w:space="0" w:color="auto"/>
            </w:tcBorders>
            <w:shd w:val="clear" w:color="auto" w:fill="auto"/>
            <w:noWrap/>
            <w:vAlign w:val="bottom"/>
            <w:hideMark/>
          </w:tcPr>
          <w:p w14:paraId="04B0F3BA" w14:textId="3FF4FEBD" w:rsidR="005E68DE" w:rsidRPr="002E4977" w:rsidRDefault="005E68DE" w:rsidP="002E4977">
            <w:pPr>
              <w:pStyle w:val="Paragraphedeliste"/>
              <w:numPr>
                <w:ilvl w:val="0"/>
                <w:numId w:val="32"/>
              </w:numPr>
              <w:spacing w:after="0" w:line="240" w:lineRule="auto"/>
              <w:rPr>
                <w:rFonts w:ascii="Segoe UI" w:eastAsia="Times New Roman" w:hAnsi="Segoe UI" w:cs="Segoe UI"/>
                <w:sz w:val="20"/>
                <w:szCs w:val="20"/>
              </w:rPr>
            </w:pPr>
            <w:r w:rsidRPr="002E4977">
              <w:rPr>
                <w:rFonts w:ascii="Segoe UI" w:eastAsia="Times New Roman" w:hAnsi="Segoe UI" w:cs="Segoe UI"/>
                <w:sz w:val="20"/>
                <w:szCs w:val="20"/>
              </w:rPr>
              <w:t>Remboursement prêts et avances</w:t>
            </w:r>
          </w:p>
        </w:tc>
        <w:tc>
          <w:tcPr>
            <w:tcW w:w="3733" w:type="dxa"/>
            <w:tcBorders>
              <w:top w:val="nil"/>
              <w:left w:val="nil"/>
              <w:bottom w:val="single" w:sz="4" w:space="0" w:color="auto"/>
              <w:right w:val="single" w:sz="8" w:space="0" w:color="auto"/>
            </w:tcBorders>
            <w:shd w:val="clear" w:color="auto" w:fill="auto"/>
            <w:noWrap/>
            <w:vAlign w:val="bottom"/>
            <w:hideMark/>
          </w:tcPr>
          <w:p w14:paraId="1382E0CB" w14:textId="77777777" w:rsidR="005E68DE" w:rsidRPr="002E4977" w:rsidRDefault="005E68DE" w:rsidP="00182352">
            <w:pPr>
              <w:spacing w:after="0" w:line="240" w:lineRule="auto"/>
              <w:jc w:val="right"/>
              <w:rPr>
                <w:rFonts w:ascii="Segoe UI" w:eastAsia="Times New Roman" w:hAnsi="Segoe UI" w:cs="Segoe UI"/>
                <w:color w:val="000000"/>
                <w:sz w:val="20"/>
                <w:szCs w:val="20"/>
              </w:rPr>
            </w:pPr>
            <w:r w:rsidRPr="002E4977">
              <w:rPr>
                <w:rFonts w:ascii="Segoe UI" w:eastAsia="Times New Roman" w:hAnsi="Segoe UI" w:cs="Segoe UI"/>
                <w:color w:val="000000"/>
                <w:sz w:val="20"/>
                <w:szCs w:val="20"/>
              </w:rPr>
              <w:t>4,5</w:t>
            </w:r>
          </w:p>
        </w:tc>
      </w:tr>
      <w:tr w:rsidR="005E68DE" w:rsidRPr="003236CC" w14:paraId="6FEEDDDA" w14:textId="77777777" w:rsidTr="00D41D6D">
        <w:trPr>
          <w:trHeight w:val="345"/>
        </w:trPr>
        <w:tc>
          <w:tcPr>
            <w:tcW w:w="5642" w:type="dxa"/>
            <w:tcBorders>
              <w:top w:val="nil"/>
              <w:left w:val="single" w:sz="8" w:space="0" w:color="auto"/>
              <w:bottom w:val="single" w:sz="4" w:space="0" w:color="auto"/>
              <w:right w:val="single" w:sz="4" w:space="0" w:color="auto"/>
            </w:tcBorders>
            <w:shd w:val="clear" w:color="auto" w:fill="auto"/>
            <w:noWrap/>
            <w:vAlign w:val="bottom"/>
            <w:hideMark/>
          </w:tcPr>
          <w:p w14:paraId="7241D674" w14:textId="23E4CBE7" w:rsidR="005E68DE" w:rsidRPr="002E4977" w:rsidRDefault="005E68DE" w:rsidP="002E4977">
            <w:pPr>
              <w:pStyle w:val="Paragraphedeliste"/>
              <w:numPr>
                <w:ilvl w:val="0"/>
                <w:numId w:val="32"/>
              </w:numPr>
              <w:spacing w:after="0" w:line="240" w:lineRule="auto"/>
              <w:rPr>
                <w:rFonts w:ascii="Segoe UI" w:eastAsia="Times New Roman" w:hAnsi="Segoe UI" w:cs="Segoe UI"/>
                <w:sz w:val="20"/>
                <w:szCs w:val="20"/>
              </w:rPr>
            </w:pPr>
            <w:r w:rsidRPr="002E4977">
              <w:rPr>
                <w:rFonts w:ascii="Segoe UI" w:eastAsia="Times New Roman" w:hAnsi="Segoe UI" w:cs="Segoe UI"/>
                <w:sz w:val="20"/>
                <w:szCs w:val="20"/>
              </w:rPr>
              <w:t xml:space="preserve">Emissions de dettes à </w:t>
            </w:r>
            <w:proofErr w:type="spellStart"/>
            <w:r w:rsidRPr="002E4977">
              <w:rPr>
                <w:rFonts w:ascii="Segoe UI" w:eastAsia="Times New Roman" w:hAnsi="Segoe UI" w:cs="Segoe UI"/>
                <w:sz w:val="20"/>
                <w:szCs w:val="20"/>
              </w:rPr>
              <w:t>moy</w:t>
            </w:r>
            <w:proofErr w:type="spellEnd"/>
            <w:r w:rsidRPr="002E4977">
              <w:rPr>
                <w:rFonts w:ascii="Segoe UI" w:eastAsia="Times New Roman" w:hAnsi="Segoe UI" w:cs="Segoe UI"/>
                <w:sz w:val="20"/>
                <w:szCs w:val="20"/>
              </w:rPr>
              <w:t>. et long termes</w:t>
            </w:r>
          </w:p>
        </w:tc>
        <w:tc>
          <w:tcPr>
            <w:tcW w:w="3733" w:type="dxa"/>
            <w:tcBorders>
              <w:top w:val="nil"/>
              <w:left w:val="nil"/>
              <w:bottom w:val="single" w:sz="4" w:space="0" w:color="auto"/>
              <w:right w:val="single" w:sz="8" w:space="0" w:color="auto"/>
            </w:tcBorders>
            <w:shd w:val="clear" w:color="auto" w:fill="auto"/>
            <w:noWrap/>
            <w:vAlign w:val="center"/>
            <w:hideMark/>
          </w:tcPr>
          <w:p w14:paraId="62CD1015" w14:textId="77777777" w:rsidR="005E68DE" w:rsidRPr="002E4977" w:rsidRDefault="005E68DE" w:rsidP="002B0A5C">
            <w:pPr>
              <w:spacing w:after="0" w:line="240" w:lineRule="auto"/>
              <w:jc w:val="right"/>
              <w:rPr>
                <w:rFonts w:ascii="Segoe UI" w:hAnsi="Segoe UI" w:cs="Segoe UI"/>
                <w:sz w:val="20"/>
                <w:szCs w:val="20"/>
              </w:rPr>
            </w:pPr>
            <w:r w:rsidRPr="002E4977">
              <w:rPr>
                <w:rFonts w:ascii="Segoe UI" w:hAnsi="Segoe UI" w:cs="Segoe UI"/>
                <w:sz w:val="20"/>
                <w:szCs w:val="20"/>
              </w:rPr>
              <w:t>37 268,5</w:t>
            </w:r>
          </w:p>
        </w:tc>
      </w:tr>
      <w:tr w:rsidR="005E68DE" w:rsidRPr="003236CC" w14:paraId="3116EF9E" w14:textId="77777777" w:rsidTr="00D41D6D">
        <w:trPr>
          <w:trHeight w:val="330"/>
        </w:trPr>
        <w:tc>
          <w:tcPr>
            <w:tcW w:w="5642" w:type="dxa"/>
            <w:tcBorders>
              <w:top w:val="nil"/>
              <w:left w:val="single" w:sz="8" w:space="0" w:color="auto"/>
              <w:bottom w:val="single" w:sz="4" w:space="0" w:color="auto"/>
              <w:right w:val="single" w:sz="4" w:space="0" w:color="auto"/>
            </w:tcBorders>
            <w:shd w:val="clear" w:color="auto" w:fill="auto"/>
            <w:noWrap/>
            <w:vAlign w:val="bottom"/>
            <w:hideMark/>
          </w:tcPr>
          <w:p w14:paraId="39C1E770" w14:textId="255DC0F7" w:rsidR="005E68DE" w:rsidRPr="002E4977" w:rsidRDefault="005E68DE" w:rsidP="00983F41">
            <w:pPr>
              <w:spacing w:after="0" w:line="240" w:lineRule="auto"/>
              <w:rPr>
                <w:rFonts w:ascii="Segoe UI" w:eastAsia="Times New Roman" w:hAnsi="Segoe UI" w:cs="Segoe UI"/>
                <w:i/>
                <w:iCs/>
                <w:color w:val="000000"/>
                <w:sz w:val="20"/>
                <w:szCs w:val="20"/>
              </w:rPr>
            </w:pPr>
            <w:r w:rsidRPr="002E4977">
              <w:rPr>
                <w:rFonts w:ascii="Segoe UI" w:eastAsia="Times New Roman" w:hAnsi="Segoe UI" w:cs="Segoe UI"/>
                <w:i/>
                <w:iCs/>
                <w:color w:val="000000"/>
                <w:sz w:val="20"/>
                <w:szCs w:val="20"/>
              </w:rPr>
              <w:t>Prêt-programmes</w:t>
            </w:r>
          </w:p>
        </w:tc>
        <w:tc>
          <w:tcPr>
            <w:tcW w:w="3733" w:type="dxa"/>
            <w:tcBorders>
              <w:top w:val="nil"/>
              <w:left w:val="nil"/>
              <w:bottom w:val="single" w:sz="4" w:space="0" w:color="auto"/>
              <w:right w:val="single" w:sz="8" w:space="0" w:color="auto"/>
            </w:tcBorders>
            <w:shd w:val="clear" w:color="auto" w:fill="auto"/>
            <w:noWrap/>
            <w:vAlign w:val="center"/>
            <w:hideMark/>
          </w:tcPr>
          <w:p w14:paraId="5ED87540" w14:textId="77777777" w:rsidR="005E68DE" w:rsidRPr="002E4977" w:rsidRDefault="005E68DE" w:rsidP="002B0A5C">
            <w:pPr>
              <w:spacing w:after="0" w:line="240" w:lineRule="auto"/>
              <w:jc w:val="right"/>
              <w:rPr>
                <w:rFonts w:ascii="Segoe UI" w:hAnsi="Segoe UI" w:cs="Segoe UI"/>
                <w:i/>
                <w:sz w:val="20"/>
                <w:szCs w:val="20"/>
              </w:rPr>
            </w:pPr>
            <w:r w:rsidRPr="002E4977">
              <w:rPr>
                <w:rFonts w:ascii="Segoe UI" w:hAnsi="Segoe UI" w:cs="Segoe UI"/>
                <w:i/>
                <w:sz w:val="20"/>
                <w:szCs w:val="20"/>
              </w:rPr>
              <w:t>29 318,9</w:t>
            </w:r>
          </w:p>
        </w:tc>
      </w:tr>
      <w:tr w:rsidR="005E68DE" w:rsidRPr="003236CC" w14:paraId="68E0975B" w14:textId="77777777" w:rsidTr="00D41D6D">
        <w:trPr>
          <w:trHeight w:val="330"/>
        </w:trPr>
        <w:tc>
          <w:tcPr>
            <w:tcW w:w="5642" w:type="dxa"/>
            <w:tcBorders>
              <w:top w:val="nil"/>
              <w:left w:val="single" w:sz="8" w:space="0" w:color="auto"/>
              <w:bottom w:val="single" w:sz="4" w:space="0" w:color="auto"/>
              <w:right w:val="single" w:sz="4" w:space="0" w:color="auto"/>
            </w:tcBorders>
            <w:shd w:val="clear" w:color="auto" w:fill="auto"/>
            <w:noWrap/>
            <w:vAlign w:val="bottom"/>
            <w:hideMark/>
          </w:tcPr>
          <w:p w14:paraId="57F3524B" w14:textId="18C09195" w:rsidR="005E68DE" w:rsidRPr="002E4977" w:rsidRDefault="005E68DE" w:rsidP="00983F41">
            <w:pPr>
              <w:spacing w:after="0" w:line="240" w:lineRule="auto"/>
              <w:rPr>
                <w:rFonts w:ascii="Segoe UI" w:eastAsia="Times New Roman" w:hAnsi="Segoe UI" w:cs="Segoe UI"/>
                <w:i/>
                <w:iCs/>
                <w:color w:val="000000"/>
                <w:sz w:val="20"/>
                <w:szCs w:val="20"/>
              </w:rPr>
            </w:pPr>
            <w:r w:rsidRPr="002E4977">
              <w:rPr>
                <w:rFonts w:ascii="Segoe UI" w:eastAsia="Times New Roman" w:hAnsi="Segoe UI" w:cs="Segoe UI"/>
                <w:i/>
                <w:iCs/>
                <w:color w:val="000000"/>
                <w:sz w:val="20"/>
                <w:szCs w:val="20"/>
              </w:rPr>
              <w:t>Prêt Banques locales</w:t>
            </w:r>
          </w:p>
        </w:tc>
        <w:tc>
          <w:tcPr>
            <w:tcW w:w="3733" w:type="dxa"/>
            <w:tcBorders>
              <w:top w:val="nil"/>
              <w:left w:val="nil"/>
              <w:bottom w:val="single" w:sz="4" w:space="0" w:color="auto"/>
              <w:right w:val="single" w:sz="8" w:space="0" w:color="auto"/>
            </w:tcBorders>
            <w:shd w:val="clear" w:color="auto" w:fill="auto"/>
            <w:noWrap/>
            <w:vAlign w:val="center"/>
            <w:hideMark/>
          </w:tcPr>
          <w:p w14:paraId="2CA8F58B" w14:textId="77777777" w:rsidR="005E68DE" w:rsidRPr="002E4977" w:rsidRDefault="005E68DE" w:rsidP="002B0A5C">
            <w:pPr>
              <w:spacing w:after="0" w:line="240" w:lineRule="auto"/>
              <w:jc w:val="right"/>
              <w:rPr>
                <w:rFonts w:ascii="Segoe UI" w:hAnsi="Segoe UI" w:cs="Segoe UI"/>
                <w:i/>
                <w:sz w:val="20"/>
                <w:szCs w:val="20"/>
              </w:rPr>
            </w:pPr>
            <w:r w:rsidRPr="002E4977">
              <w:rPr>
                <w:rFonts w:ascii="Segoe UI" w:hAnsi="Segoe UI" w:cs="Segoe UI"/>
                <w:i/>
                <w:sz w:val="20"/>
                <w:szCs w:val="20"/>
              </w:rPr>
              <w:t>7 949,6</w:t>
            </w:r>
          </w:p>
        </w:tc>
      </w:tr>
      <w:tr w:rsidR="005E68DE" w:rsidRPr="003236CC" w14:paraId="58099765" w14:textId="77777777" w:rsidTr="00D41D6D">
        <w:trPr>
          <w:trHeight w:val="345"/>
        </w:trPr>
        <w:tc>
          <w:tcPr>
            <w:tcW w:w="5642" w:type="dxa"/>
            <w:tcBorders>
              <w:top w:val="nil"/>
              <w:left w:val="single" w:sz="8" w:space="0" w:color="auto"/>
              <w:bottom w:val="single" w:sz="4" w:space="0" w:color="auto"/>
              <w:right w:val="single" w:sz="4" w:space="0" w:color="auto"/>
            </w:tcBorders>
            <w:shd w:val="clear" w:color="auto" w:fill="auto"/>
            <w:noWrap/>
            <w:vAlign w:val="bottom"/>
            <w:hideMark/>
          </w:tcPr>
          <w:p w14:paraId="0B1B714D" w14:textId="145E8AAC" w:rsidR="005E68DE" w:rsidRPr="002E4977" w:rsidRDefault="005E68DE" w:rsidP="002E4977">
            <w:pPr>
              <w:pStyle w:val="Paragraphedeliste"/>
              <w:numPr>
                <w:ilvl w:val="0"/>
                <w:numId w:val="32"/>
              </w:numPr>
              <w:spacing w:after="0" w:line="240" w:lineRule="auto"/>
              <w:rPr>
                <w:rFonts w:ascii="Segoe UI" w:eastAsia="Times New Roman" w:hAnsi="Segoe UI" w:cs="Segoe UI"/>
                <w:sz w:val="20"/>
                <w:szCs w:val="20"/>
              </w:rPr>
            </w:pPr>
            <w:r w:rsidRPr="002E4977">
              <w:rPr>
                <w:rFonts w:ascii="Segoe UI" w:eastAsia="Times New Roman" w:hAnsi="Segoe UI" w:cs="Segoe UI"/>
                <w:sz w:val="20"/>
                <w:szCs w:val="20"/>
              </w:rPr>
              <w:t>Dépôts des correspondants du Trésor</w:t>
            </w:r>
          </w:p>
        </w:tc>
        <w:tc>
          <w:tcPr>
            <w:tcW w:w="3733" w:type="dxa"/>
            <w:tcBorders>
              <w:top w:val="nil"/>
              <w:left w:val="nil"/>
              <w:bottom w:val="single" w:sz="4" w:space="0" w:color="auto"/>
              <w:right w:val="single" w:sz="8" w:space="0" w:color="auto"/>
            </w:tcBorders>
            <w:shd w:val="clear" w:color="auto" w:fill="auto"/>
            <w:noWrap/>
            <w:vAlign w:val="bottom"/>
            <w:hideMark/>
          </w:tcPr>
          <w:p w14:paraId="36D65863" w14:textId="77777777" w:rsidR="005E68DE" w:rsidRPr="002E4977" w:rsidRDefault="005E68DE" w:rsidP="00885D9F">
            <w:pPr>
              <w:spacing w:after="0" w:line="240" w:lineRule="auto"/>
              <w:jc w:val="right"/>
              <w:rPr>
                <w:rFonts w:ascii="Segoe UI" w:eastAsia="Times New Roman" w:hAnsi="Segoe UI" w:cs="Segoe UI"/>
                <w:color w:val="000000"/>
                <w:sz w:val="20"/>
                <w:szCs w:val="20"/>
              </w:rPr>
            </w:pPr>
            <w:r w:rsidRPr="002E4977">
              <w:rPr>
                <w:rFonts w:ascii="Segoe UI" w:eastAsia="Times New Roman" w:hAnsi="Segoe UI" w:cs="Segoe UI"/>
                <w:color w:val="000000"/>
                <w:sz w:val="20"/>
                <w:szCs w:val="20"/>
              </w:rPr>
              <w:t>0,0</w:t>
            </w:r>
          </w:p>
        </w:tc>
      </w:tr>
      <w:tr w:rsidR="005E68DE" w:rsidRPr="003236CC" w14:paraId="3DF7D638" w14:textId="77777777" w:rsidTr="00D41D6D">
        <w:trPr>
          <w:trHeight w:val="345"/>
        </w:trPr>
        <w:tc>
          <w:tcPr>
            <w:tcW w:w="5642" w:type="dxa"/>
            <w:tcBorders>
              <w:top w:val="nil"/>
              <w:left w:val="single" w:sz="8" w:space="0" w:color="auto"/>
              <w:bottom w:val="single" w:sz="4" w:space="0" w:color="auto"/>
              <w:right w:val="single" w:sz="4" w:space="0" w:color="auto"/>
            </w:tcBorders>
            <w:shd w:val="clear" w:color="auto" w:fill="auto"/>
            <w:noWrap/>
            <w:vAlign w:val="bottom"/>
            <w:hideMark/>
          </w:tcPr>
          <w:p w14:paraId="0301D7D6" w14:textId="48D586A2" w:rsidR="005E68DE" w:rsidRPr="002E4977" w:rsidRDefault="005E68DE" w:rsidP="002E4977">
            <w:pPr>
              <w:pStyle w:val="Paragraphedeliste"/>
              <w:numPr>
                <w:ilvl w:val="0"/>
                <w:numId w:val="32"/>
              </w:numPr>
              <w:spacing w:after="0" w:line="240" w:lineRule="auto"/>
              <w:rPr>
                <w:rFonts w:ascii="Segoe UI" w:eastAsia="Times New Roman" w:hAnsi="Segoe UI" w:cs="Segoe UI"/>
                <w:sz w:val="20"/>
                <w:szCs w:val="20"/>
              </w:rPr>
            </w:pPr>
            <w:r w:rsidRPr="002E4977">
              <w:rPr>
                <w:rFonts w:ascii="Segoe UI" w:eastAsia="Times New Roman" w:hAnsi="Segoe UI" w:cs="Segoe UI"/>
                <w:sz w:val="20"/>
                <w:szCs w:val="20"/>
              </w:rPr>
              <w:t>Autres ressources de trésorerie</w:t>
            </w:r>
          </w:p>
        </w:tc>
        <w:tc>
          <w:tcPr>
            <w:tcW w:w="3733" w:type="dxa"/>
            <w:tcBorders>
              <w:top w:val="nil"/>
              <w:left w:val="nil"/>
              <w:bottom w:val="single" w:sz="4" w:space="0" w:color="auto"/>
              <w:right w:val="single" w:sz="8" w:space="0" w:color="auto"/>
            </w:tcBorders>
            <w:shd w:val="clear" w:color="auto" w:fill="auto"/>
            <w:noWrap/>
            <w:vAlign w:val="bottom"/>
            <w:hideMark/>
          </w:tcPr>
          <w:p w14:paraId="78C1CD8F" w14:textId="77777777" w:rsidR="005E68DE" w:rsidRPr="002E4977" w:rsidRDefault="005E68DE" w:rsidP="00885D9F">
            <w:pPr>
              <w:spacing w:after="0" w:line="240" w:lineRule="auto"/>
              <w:jc w:val="right"/>
              <w:rPr>
                <w:rFonts w:ascii="Segoe UI" w:eastAsia="Times New Roman" w:hAnsi="Segoe UI" w:cs="Segoe UI"/>
                <w:color w:val="000000"/>
                <w:sz w:val="20"/>
                <w:szCs w:val="20"/>
              </w:rPr>
            </w:pPr>
            <w:r w:rsidRPr="002E4977">
              <w:rPr>
                <w:rFonts w:ascii="Segoe UI" w:eastAsia="Times New Roman" w:hAnsi="Segoe UI" w:cs="Segoe UI"/>
                <w:color w:val="000000"/>
                <w:sz w:val="20"/>
                <w:szCs w:val="20"/>
              </w:rPr>
              <w:t>0,0</w:t>
            </w:r>
          </w:p>
        </w:tc>
      </w:tr>
      <w:tr w:rsidR="005E68DE" w:rsidRPr="003236CC" w14:paraId="66D265F8" w14:textId="77777777" w:rsidTr="00D41D6D">
        <w:trPr>
          <w:trHeight w:val="345"/>
        </w:trPr>
        <w:tc>
          <w:tcPr>
            <w:tcW w:w="5642" w:type="dxa"/>
            <w:tcBorders>
              <w:top w:val="nil"/>
              <w:left w:val="single" w:sz="8" w:space="0" w:color="auto"/>
              <w:bottom w:val="single" w:sz="4" w:space="0" w:color="auto"/>
              <w:right w:val="single" w:sz="4" w:space="0" w:color="auto"/>
            </w:tcBorders>
            <w:shd w:val="clear" w:color="auto" w:fill="auto"/>
            <w:noWrap/>
            <w:vAlign w:val="bottom"/>
            <w:hideMark/>
          </w:tcPr>
          <w:p w14:paraId="67E20911" w14:textId="77777777" w:rsidR="005E68DE" w:rsidRPr="002E4977" w:rsidRDefault="005E68DE" w:rsidP="00885D9F">
            <w:pPr>
              <w:spacing w:after="0" w:line="240" w:lineRule="auto"/>
              <w:rPr>
                <w:rFonts w:ascii="Segoe UI" w:eastAsia="Times New Roman" w:hAnsi="Segoe UI" w:cs="Segoe UI"/>
                <w:i/>
                <w:iCs/>
                <w:sz w:val="20"/>
                <w:szCs w:val="20"/>
              </w:rPr>
            </w:pPr>
            <w:r w:rsidRPr="002E4977">
              <w:rPr>
                <w:rFonts w:ascii="Segoe UI" w:eastAsia="Times New Roman" w:hAnsi="Segoe UI" w:cs="Segoe UI"/>
                <w:i/>
                <w:iCs/>
                <w:sz w:val="20"/>
                <w:szCs w:val="20"/>
              </w:rPr>
              <w:t xml:space="preserve">      ° Bons de trésor</w:t>
            </w:r>
          </w:p>
        </w:tc>
        <w:tc>
          <w:tcPr>
            <w:tcW w:w="3733" w:type="dxa"/>
            <w:tcBorders>
              <w:top w:val="nil"/>
              <w:left w:val="nil"/>
              <w:bottom w:val="single" w:sz="4" w:space="0" w:color="auto"/>
              <w:right w:val="single" w:sz="8" w:space="0" w:color="auto"/>
            </w:tcBorders>
            <w:shd w:val="clear" w:color="auto" w:fill="auto"/>
            <w:noWrap/>
            <w:vAlign w:val="bottom"/>
            <w:hideMark/>
          </w:tcPr>
          <w:p w14:paraId="6582D280" w14:textId="77777777" w:rsidR="005E68DE" w:rsidRPr="002E4977" w:rsidRDefault="005E68DE" w:rsidP="00885D9F">
            <w:pPr>
              <w:spacing w:after="0" w:line="240" w:lineRule="auto"/>
              <w:jc w:val="right"/>
              <w:rPr>
                <w:rFonts w:ascii="Segoe UI" w:eastAsia="Times New Roman" w:hAnsi="Segoe UI" w:cs="Segoe UI"/>
                <w:i/>
                <w:iCs/>
                <w:color w:val="000000"/>
                <w:sz w:val="20"/>
                <w:szCs w:val="20"/>
              </w:rPr>
            </w:pPr>
            <w:r w:rsidRPr="002E4977">
              <w:rPr>
                <w:rFonts w:ascii="Segoe UI" w:hAnsi="Segoe UI" w:cs="Segoe UI"/>
                <w:i/>
                <w:sz w:val="20"/>
                <w:szCs w:val="20"/>
              </w:rPr>
              <w:t>79 662,0</w:t>
            </w:r>
          </w:p>
        </w:tc>
      </w:tr>
      <w:tr w:rsidR="005E68DE" w:rsidRPr="003236CC" w14:paraId="7A6BE46C" w14:textId="77777777" w:rsidTr="00D41D6D">
        <w:trPr>
          <w:trHeight w:val="345"/>
        </w:trPr>
        <w:tc>
          <w:tcPr>
            <w:tcW w:w="5642" w:type="dxa"/>
            <w:tcBorders>
              <w:top w:val="nil"/>
              <w:left w:val="single" w:sz="4" w:space="0" w:color="auto"/>
              <w:bottom w:val="single" w:sz="4" w:space="0" w:color="auto"/>
              <w:right w:val="single" w:sz="4" w:space="0" w:color="auto"/>
            </w:tcBorders>
            <w:shd w:val="clear" w:color="auto" w:fill="auto"/>
            <w:noWrap/>
            <w:vAlign w:val="bottom"/>
            <w:hideMark/>
          </w:tcPr>
          <w:p w14:paraId="309EC365" w14:textId="77777777" w:rsidR="005E68DE" w:rsidRPr="002E4977" w:rsidRDefault="005E68DE" w:rsidP="00885D9F">
            <w:pPr>
              <w:spacing w:after="0" w:line="240" w:lineRule="auto"/>
              <w:rPr>
                <w:rFonts w:ascii="Segoe UI" w:eastAsia="Times New Roman" w:hAnsi="Segoe UI" w:cs="Segoe UI"/>
                <w:i/>
                <w:iCs/>
                <w:sz w:val="20"/>
                <w:szCs w:val="20"/>
              </w:rPr>
            </w:pPr>
          </w:p>
        </w:tc>
        <w:tc>
          <w:tcPr>
            <w:tcW w:w="3733" w:type="dxa"/>
            <w:tcBorders>
              <w:top w:val="nil"/>
              <w:left w:val="nil"/>
              <w:bottom w:val="single" w:sz="4" w:space="0" w:color="auto"/>
              <w:right w:val="single" w:sz="4" w:space="0" w:color="auto"/>
            </w:tcBorders>
            <w:shd w:val="clear" w:color="auto" w:fill="auto"/>
            <w:noWrap/>
            <w:vAlign w:val="bottom"/>
            <w:hideMark/>
          </w:tcPr>
          <w:p w14:paraId="55BACD89" w14:textId="77777777" w:rsidR="005E68DE" w:rsidRPr="002E4977" w:rsidRDefault="005E68DE" w:rsidP="00885D9F">
            <w:pPr>
              <w:spacing w:after="0" w:line="240" w:lineRule="auto"/>
              <w:jc w:val="right"/>
              <w:rPr>
                <w:rFonts w:ascii="Segoe UI" w:eastAsia="Times New Roman" w:hAnsi="Segoe UI" w:cs="Segoe UI"/>
                <w:i/>
                <w:iCs/>
                <w:color w:val="000000"/>
                <w:sz w:val="20"/>
                <w:szCs w:val="20"/>
              </w:rPr>
            </w:pPr>
          </w:p>
        </w:tc>
      </w:tr>
      <w:tr w:rsidR="005E68DE" w:rsidRPr="003236CC" w14:paraId="2BB64B15" w14:textId="77777777" w:rsidTr="00D41D6D">
        <w:trPr>
          <w:trHeight w:val="330"/>
        </w:trPr>
        <w:tc>
          <w:tcPr>
            <w:tcW w:w="5642" w:type="dxa"/>
            <w:tcBorders>
              <w:top w:val="nil"/>
              <w:left w:val="single" w:sz="8" w:space="0" w:color="auto"/>
              <w:bottom w:val="single" w:sz="4" w:space="0" w:color="auto"/>
              <w:right w:val="nil"/>
            </w:tcBorders>
            <w:shd w:val="clear" w:color="auto" w:fill="auto"/>
            <w:noWrap/>
            <w:vAlign w:val="bottom"/>
            <w:hideMark/>
          </w:tcPr>
          <w:p w14:paraId="1826F368" w14:textId="61FF1A39" w:rsidR="005E68DE" w:rsidRPr="002E4977" w:rsidRDefault="000E4F56" w:rsidP="000E4F56">
            <w:pPr>
              <w:spacing w:after="0" w:line="240" w:lineRule="auto"/>
              <w:rPr>
                <w:rFonts w:ascii="Segoe UI" w:eastAsia="Times New Roman" w:hAnsi="Segoe UI" w:cs="Segoe UI"/>
                <w:b/>
                <w:bCs/>
                <w:color w:val="000000"/>
                <w:sz w:val="20"/>
                <w:szCs w:val="20"/>
              </w:rPr>
            </w:pPr>
            <w:r>
              <w:rPr>
                <w:rFonts w:ascii="Segoe UI" w:eastAsia="Times New Roman" w:hAnsi="Segoe UI" w:cs="Segoe UI"/>
                <w:b/>
                <w:bCs/>
                <w:color w:val="000000"/>
                <w:sz w:val="20"/>
                <w:szCs w:val="20"/>
              </w:rPr>
              <w:t>E</w:t>
            </w:r>
            <w:r w:rsidR="008A11E6">
              <w:rPr>
                <w:rFonts w:ascii="Segoe UI" w:eastAsia="Times New Roman" w:hAnsi="Segoe UI" w:cs="Segoe UI"/>
                <w:b/>
                <w:bCs/>
                <w:color w:val="000000"/>
                <w:sz w:val="20"/>
                <w:szCs w:val="20"/>
              </w:rPr>
              <w:t>x</w:t>
            </w:r>
            <w:r w:rsidR="005E68DE" w:rsidRPr="002E4977">
              <w:rPr>
                <w:rFonts w:ascii="Segoe UI" w:eastAsia="Times New Roman" w:hAnsi="Segoe UI" w:cs="Segoe UI"/>
                <w:b/>
                <w:bCs/>
                <w:color w:val="000000"/>
                <w:sz w:val="20"/>
                <w:szCs w:val="20"/>
              </w:rPr>
              <w:t>cédent</w:t>
            </w:r>
            <w:r>
              <w:rPr>
                <w:rFonts w:ascii="Segoe UI" w:eastAsia="Times New Roman" w:hAnsi="Segoe UI" w:cs="Segoe UI"/>
                <w:b/>
                <w:bCs/>
                <w:color w:val="000000"/>
                <w:sz w:val="20"/>
                <w:szCs w:val="20"/>
              </w:rPr>
              <w:t xml:space="preserve"> de financement</w:t>
            </w:r>
            <w:r w:rsidR="005E68DE" w:rsidRPr="002E4977">
              <w:rPr>
                <w:rFonts w:ascii="Segoe UI" w:eastAsia="Times New Roman" w:hAnsi="Segoe UI" w:cs="Segoe UI"/>
                <w:b/>
                <w:bCs/>
                <w:color w:val="000000"/>
                <w:sz w:val="20"/>
                <w:szCs w:val="20"/>
              </w:rPr>
              <w:t xml:space="preserve"> au 31 mars 2017</w:t>
            </w:r>
          </w:p>
        </w:tc>
        <w:tc>
          <w:tcPr>
            <w:tcW w:w="3733" w:type="dxa"/>
            <w:tcBorders>
              <w:top w:val="nil"/>
              <w:left w:val="single" w:sz="4" w:space="0" w:color="auto"/>
              <w:bottom w:val="single" w:sz="4" w:space="0" w:color="auto"/>
              <w:right w:val="single" w:sz="4" w:space="0" w:color="auto"/>
            </w:tcBorders>
            <w:shd w:val="clear" w:color="auto" w:fill="auto"/>
            <w:noWrap/>
            <w:vAlign w:val="bottom"/>
            <w:hideMark/>
          </w:tcPr>
          <w:p w14:paraId="29548D1D" w14:textId="0CCFECCA" w:rsidR="005E68DE" w:rsidRPr="002E4977" w:rsidRDefault="00946860" w:rsidP="00946860">
            <w:pPr>
              <w:spacing w:after="0" w:line="240" w:lineRule="auto"/>
              <w:jc w:val="right"/>
              <w:rPr>
                <w:rFonts w:ascii="Segoe UI" w:eastAsia="Times New Roman" w:hAnsi="Segoe UI" w:cs="Segoe UI"/>
                <w:b/>
                <w:bCs/>
                <w:color w:val="000000"/>
                <w:sz w:val="20"/>
                <w:szCs w:val="20"/>
              </w:rPr>
            </w:pPr>
            <w:r>
              <w:rPr>
                <w:rFonts w:ascii="Segoe UI" w:eastAsia="Times New Roman" w:hAnsi="Segoe UI" w:cs="Segoe UI"/>
                <w:b/>
                <w:bCs/>
                <w:color w:val="000000"/>
                <w:sz w:val="20"/>
                <w:szCs w:val="20"/>
              </w:rPr>
              <w:t>51 757,1</w:t>
            </w:r>
          </w:p>
        </w:tc>
      </w:tr>
    </w:tbl>
    <w:p w14:paraId="0B6B2B4A" w14:textId="77777777" w:rsidR="00C64301" w:rsidRPr="001541CB" w:rsidRDefault="001F52E0" w:rsidP="0031784E">
      <w:pPr>
        <w:spacing w:line="360" w:lineRule="auto"/>
        <w:jc w:val="both"/>
        <w:rPr>
          <w:rFonts w:ascii="Segoe UI" w:hAnsi="Segoe UI" w:cs="Segoe UI"/>
          <w:b/>
          <w:sz w:val="24"/>
          <w:szCs w:val="24"/>
        </w:rPr>
      </w:pPr>
      <w:r w:rsidRPr="001541CB">
        <w:rPr>
          <w:rFonts w:ascii="Segoe UI" w:hAnsi="Segoe UI" w:cs="Segoe UI"/>
          <w:b/>
          <w:sz w:val="24"/>
          <w:szCs w:val="24"/>
        </w:rPr>
        <w:br w:type="page"/>
      </w:r>
      <w:r w:rsidR="00C64301" w:rsidRPr="001541CB">
        <w:rPr>
          <w:rFonts w:ascii="Segoe UI" w:hAnsi="Segoe UI" w:cs="Segoe UI"/>
          <w:b/>
          <w:sz w:val="24"/>
          <w:szCs w:val="24"/>
        </w:rPr>
        <w:lastRenderedPageBreak/>
        <w:t>CONCLUSION</w:t>
      </w:r>
    </w:p>
    <w:p w14:paraId="29687460" w14:textId="6FBC0ACC" w:rsidR="0035549E" w:rsidRPr="001541CB" w:rsidRDefault="0035549E" w:rsidP="000613A1">
      <w:pPr>
        <w:spacing w:line="360" w:lineRule="auto"/>
        <w:jc w:val="both"/>
        <w:rPr>
          <w:rFonts w:ascii="Segoe UI" w:hAnsi="Segoe UI" w:cs="Segoe UI"/>
          <w:sz w:val="24"/>
          <w:szCs w:val="24"/>
        </w:rPr>
      </w:pPr>
      <w:r w:rsidRPr="001541CB">
        <w:rPr>
          <w:rFonts w:ascii="Segoe UI" w:hAnsi="Segoe UI" w:cs="Segoe UI"/>
          <w:sz w:val="24"/>
          <w:szCs w:val="24"/>
        </w:rPr>
        <w:t>A fin mars 201</w:t>
      </w:r>
      <w:r w:rsidR="00943170" w:rsidRPr="001541CB">
        <w:rPr>
          <w:rFonts w:ascii="Segoe UI" w:hAnsi="Segoe UI" w:cs="Segoe UI"/>
          <w:sz w:val="24"/>
          <w:szCs w:val="24"/>
        </w:rPr>
        <w:t>7</w:t>
      </w:r>
      <w:r w:rsidR="00036FBF">
        <w:rPr>
          <w:rFonts w:ascii="Segoe UI" w:hAnsi="Segoe UI" w:cs="Segoe UI"/>
          <w:sz w:val="24"/>
          <w:szCs w:val="24"/>
        </w:rPr>
        <w:t>, l</w:t>
      </w:r>
      <w:r w:rsidRPr="001541CB">
        <w:rPr>
          <w:rFonts w:ascii="Segoe UI" w:hAnsi="Segoe UI" w:cs="Segoe UI"/>
          <w:sz w:val="24"/>
          <w:szCs w:val="24"/>
        </w:rPr>
        <w:t>e point cumulé de</w:t>
      </w:r>
      <w:r w:rsidR="00036FBF">
        <w:rPr>
          <w:rFonts w:ascii="Segoe UI" w:hAnsi="Segoe UI" w:cs="Segoe UI"/>
          <w:sz w:val="24"/>
          <w:szCs w:val="24"/>
        </w:rPr>
        <w:t>s</w:t>
      </w:r>
      <w:r w:rsidRPr="001541CB">
        <w:rPr>
          <w:rFonts w:ascii="Segoe UI" w:hAnsi="Segoe UI" w:cs="Segoe UI"/>
          <w:sz w:val="24"/>
          <w:szCs w:val="24"/>
        </w:rPr>
        <w:t xml:space="preserve"> réalisations de recettes </w:t>
      </w:r>
      <w:r w:rsidR="00036FBF">
        <w:rPr>
          <w:rFonts w:ascii="Segoe UI" w:hAnsi="Segoe UI" w:cs="Segoe UI"/>
          <w:sz w:val="24"/>
          <w:szCs w:val="24"/>
        </w:rPr>
        <w:t xml:space="preserve">des régies financières </w:t>
      </w:r>
      <w:r w:rsidRPr="001541CB">
        <w:rPr>
          <w:rFonts w:ascii="Segoe UI" w:hAnsi="Segoe UI" w:cs="Segoe UI"/>
          <w:sz w:val="24"/>
          <w:szCs w:val="24"/>
        </w:rPr>
        <w:t>laisse apparaître</w:t>
      </w:r>
      <w:r w:rsidR="006307E2">
        <w:rPr>
          <w:rFonts w:ascii="Segoe UI" w:hAnsi="Segoe UI" w:cs="Segoe UI"/>
          <w:sz w:val="24"/>
          <w:szCs w:val="24"/>
        </w:rPr>
        <w:t xml:space="preserve"> un taux de réalisation de 20,4%</w:t>
      </w:r>
      <w:r w:rsidR="00CC28BA">
        <w:rPr>
          <w:rFonts w:ascii="Segoe UI" w:hAnsi="Segoe UI" w:cs="Segoe UI"/>
          <w:sz w:val="24"/>
          <w:szCs w:val="24"/>
        </w:rPr>
        <w:t xml:space="preserve">, </w:t>
      </w:r>
      <w:r w:rsidR="00C42A03">
        <w:rPr>
          <w:rFonts w:ascii="Segoe UI" w:hAnsi="Segoe UI" w:cs="Segoe UI"/>
          <w:sz w:val="24"/>
          <w:szCs w:val="24"/>
        </w:rPr>
        <w:t>situé</w:t>
      </w:r>
      <w:r w:rsidR="00CC28BA">
        <w:rPr>
          <w:rFonts w:ascii="Segoe UI" w:hAnsi="Segoe UI" w:cs="Segoe UI"/>
          <w:sz w:val="24"/>
          <w:szCs w:val="24"/>
        </w:rPr>
        <w:t xml:space="preserve"> </w:t>
      </w:r>
      <w:r w:rsidR="00CC28BA" w:rsidRPr="001541CB">
        <w:rPr>
          <w:rFonts w:ascii="Segoe UI" w:hAnsi="Segoe UI" w:cs="Segoe UI"/>
          <w:sz w:val="24"/>
          <w:szCs w:val="26"/>
        </w:rPr>
        <w:t>en deçà du taux linéaire de 25% attendu à fin mars 2017</w:t>
      </w:r>
      <w:r w:rsidR="006E2E75">
        <w:rPr>
          <w:rFonts w:ascii="Segoe UI" w:hAnsi="Segoe UI" w:cs="Segoe UI"/>
          <w:sz w:val="24"/>
          <w:szCs w:val="24"/>
        </w:rPr>
        <w:t xml:space="preserve">. </w:t>
      </w:r>
      <w:r w:rsidRPr="001541CB">
        <w:rPr>
          <w:rFonts w:ascii="Segoe UI" w:hAnsi="Segoe UI" w:cs="Segoe UI"/>
          <w:sz w:val="24"/>
          <w:szCs w:val="24"/>
        </w:rPr>
        <w:t xml:space="preserve"> </w:t>
      </w:r>
    </w:p>
    <w:p w14:paraId="27454D16" w14:textId="2BA91C6C" w:rsidR="00556252" w:rsidRPr="001541CB" w:rsidRDefault="0035549E" w:rsidP="003A44B6">
      <w:pPr>
        <w:spacing w:line="360" w:lineRule="auto"/>
        <w:jc w:val="both"/>
        <w:rPr>
          <w:rFonts w:ascii="Segoe UI" w:hAnsi="Segoe UI" w:cs="Segoe UI"/>
          <w:sz w:val="24"/>
          <w:szCs w:val="24"/>
        </w:rPr>
      </w:pPr>
      <w:r w:rsidRPr="001541CB">
        <w:rPr>
          <w:rFonts w:ascii="Segoe UI" w:hAnsi="Segoe UI" w:cs="Segoe UI"/>
          <w:sz w:val="24"/>
          <w:szCs w:val="24"/>
        </w:rPr>
        <w:t xml:space="preserve">S’agissant </w:t>
      </w:r>
      <w:r w:rsidR="000613A1" w:rsidRPr="001541CB">
        <w:rPr>
          <w:rFonts w:ascii="Segoe UI" w:hAnsi="Segoe UI" w:cs="Segoe UI"/>
          <w:sz w:val="24"/>
          <w:szCs w:val="24"/>
        </w:rPr>
        <w:t xml:space="preserve">de l’exécution </w:t>
      </w:r>
      <w:r w:rsidRPr="001541CB">
        <w:rPr>
          <w:rFonts w:ascii="Segoe UI" w:hAnsi="Segoe UI" w:cs="Segoe UI"/>
          <w:sz w:val="24"/>
          <w:szCs w:val="24"/>
        </w:rPr>
        <w:t>des dépenses</w:t>
      </w:r>
      <w:r w:rsidR="00AC7AE2" w:rsidRPr="001541CB">
        <w:rPr>
          <w:rFonts w:ascii="Segoe UI" w:hAnsi="Segoe UI" w:cs="Segoe UI"/>
          <w:sz w:val="24"/>
          <w:szCs w:val="24"/>
        </w:rPr>
        <w:t xml:space="preserve"> budgétaires</w:t>
      </w:r>
      <w:r w:rsidRPr="001541CB">
        <w:rPr>
          <w:rFonts w:ascii="Segoe UI" w:hAnsi="Segoe UI" w:cs="Segoe UI"/>
          <w:sz w:val="24"/>
          <w:szCs w:val="24"/>
        </w:rPr>
        <w:t xml:space="preserve">, elle </w:t>
      </w:r>
      <w:r w:rsidR="000613A1" w:rsidRPr="001541CB">
        <w:rPr>
          <w:rFonts w:ascii="Segoe UI" w:hAnsi="Segoe UI" w:cs="Segoe UI"/>
          <w:sz w:val="24"/>
          <w:szCs w:val="24"/>
        </w:rPr>
        <w:t>a</w:t>
      </w:r>
      <w:r w:rsidRPr="001541CB">
        <w:rPr>
          <w:rFonts w:ascii="Segoe UI" w:hAnsi="Segoe UI" w:cs="Segoe UI"/>
          <w:sz w:val="24"/>
          <w:szCs w:val="24"/>
        </w:rPr>
        <w:t xml:space="preserve"> connu un</w:t>
      </w:r>
      <w:r w:rsidR="000613A1" w:rsidRPr="001541CB">
        <w:rPr>
          <w:rFonts w:ascii="Segoe UI" w:hAnsi="Segoe UI" w:cs="Segoe UI"/>
          <w:sz w:val="24"/>
          <w:szCs w:val="24"/>
        </w:rPr>
        <w:t xml:space="preserve"> </w:t>
      </w:r>
      <w:r w:rsidR="00005B91">
        <w:rPr>
          <w:rFonts w:ascii="Segoe UI" w:hAnsi="Segoe UI" w:cs="Segoe UI"/>
          <w:sz w:val="24"/>
          <w:szCs w:val="24"/>
        </w:rPr>
        <w:t>taux</w:t>
      </w:r>
      <w:r w:rsidRPr="001541CB">
        <w:rPr>
          <w:rFonts w:ascii="Segoe UI" w:hAnsi="Segoe UI" w:cs="Segoe UI"/>
          <w:sz w:val="24"/>
          <w:szCs w:val="24"/>
        </w:rPr>
        <w:t xml:space="preserve"> de </w:t>
      </w:r>
      <w:r w:rsidR="00946860">
        <w:rPr>
          <w:rFonts w:ascii="Segoe UI" w:hAnsi="Segoe UI" w:cs="Segoe UI"/>
          <w:sz w:val="24"/>
          <w:szCs w:val="24"/>
        </w:rPr>
        <w:t>17,1</w:t>
      </w:r>
      <w:r w:rsidRPr="001541CB">
        <w:rPr>
          <w:rFonts w:ascii="Segoe UI" w:hAnsi="Segoe UI" w:cs="Segoe UI"/>
          <w:sz w:val="24"/>
          <w:szCs w:val="24"/>
        </w:rPr>
        <w:t>%</w:t>
      </w:r>
      <w:r w:rsidR="00005B91">
        <w:rPr>
          <w:rFonts w:ascii="Segoe UI" w:hAnsi="Segoe UI" w:cs="Segoe UI"/>
          <w:sz w:val="24"/>
          <w:szCs w:val="24"/>
        </w:rPr>
        <w:t>, base engagement</w:t>
      </w:r>
      <w:r w:rsidR="00AC7AE2" w:rsidRPr="001541CB">
        <w:rPr>
          <w:rFonts w:ascii="Segoe UI" w:hAnsi="Segoe UI" w:cs="Segoe UI"/>
          <w:sz w:val="24"/>
          <w:szCs w:val="24"/>
        </w:rPr>
        <w:t xml:space="preserve"> pour </w:t>
      </w:r>
      <w:r w:rsidR="00005B91">
        <w:rPr>
          <w:rFonts w:ascii="Segoe UI" w:hAnsi="Segoe UI" w:cs="Segoe UI"/>
          <w:sz w:val="24"/>
          <w:szCs w:val="24"/>
        </w:rPr>
        <w:t xml:space="preserve">un montant de </w:t>
      </w:r>
      <w:bookmarkStart w:id="63" w:name="_GoBack"/>
      <w:bookmarkEnd w:id="63"/>
      <w:r w:rsidR="00946860">
        <w:rPr>
          <w:rFonts w:ascii="Segoe UI" w:hAnsi="Segoe UI" w:cs="Segoe UI"/>
          <w:sz w:val="24"/>
          <w:szCs w:val="24"/>
        </w:rPr>
        <w:t>291 050</w:t>
      </w:r>
      <w:r w:rsidR="0017548E">
        <w:rPr>
          <w:rFonts w:ascii="Segoe UI" w:hAnsi="Segoe UI" w:cs="Segoe UI"/>
          <w:sz w:val="24"/>
          <w:szCs w:val="24"/>
        </w:rPr>
        <w:t>,</w:t>
      </w:r>
      <w:r w:rsidR="00946860">
        <w:rPr>
          <w:rFonts w:ascii="Segoe UI" w:hAnsi="Segoe UI" w:cs="Segoe UI"/>
          <w:sz w:val="24"/>
          <w:szCs w:val="24"/>
        </w:rPr>
        <w:t>0</w:t>
      </w:r>
      <w:r w:rsidR="00AC7AE2" w:rsidRPr="001541CB">
        <w:rPr>
          <w:rFonts w:ascii="Segoe UI" w:hAnsi="Segoe UI" w:cs="Segoe UI"/>
          <w:sz w:val="24"/>
          <w:szCs w:val="24"/>
        </w:rPr>
        <w:t xml:space="preserve"> millions de FCFA</w:t>
      </w:r>
      <w:r w:rsidRPr="001541CB">
        <w:rPr>
          <w:rFonts w:ascii="Segoe UI" w:hAnsi="Segoe UI" w:cs="Segoe UI"/>
          <w:sz w:val="24"/>
          <w:szCs w:val="24"/>
        </w:rPr>
        <w:t xml:space="preserve"> à fin m</w:t>
      </w:r>
      <w:r w:rsidR="000613A1" w:rsidRPr="001541CB">
        <w:rPr>
          <w:rFonts w:ascii="Segoe UI" w:hAnsi="Segoe UI" w:cs="Segoe UI"/>
          <w:sz w:val="24"/>
          <w:szCs w:val="24"/>
        </w:rPr>
        <w:t>a</w:t>
      </w:r>
      <w:r w:rsidRPr="001541CB">
        <w:rPr>
          <w:rFonts w:ascii="Segoe UI" w:hAnsi="Segoe UI" w:cs="Segoe UI"/>
          <w:sz w:val="24"/>
          <w:szCs w:val="24"/>
        </w:rPr>
        <w:t>r</w:t>
      </w:r>
      <w:r w:rsidR="000613A1" w:rsidRPr="001541CB">
        <w:rPr>
          <w:rFonts w:ascii="Segoe UI" w:hAnsi="Segoe UI" w:cs="Segoe UI"/>
          <w:sz w:val="24"/>
          <w:szCs w:val="24"/>
        </w:rPr>
        <w:t>s</w:t>
      </w:r>
      <w:r w:rsidRPr="001541CB">
        <w:rPr>
          <w:rFonts w:ascii="Segoe UI" w:hAnsi="Segoe UI" w:cs="Segoe UI"/>
          <w:sz w:val="24"/>
          <w:szCs w:val="24"/>
        </w:rPr>
        <w:t xml:space="preserve"> 201</w:t>
      </w:r>
      <w:r w:rsidR="00F11F41" w:rsidRPr="001541CB">
        <w:rPr>
          <w:rFonts w:ascii="Segoe UI" w:hAnsi="Segoe UI" w:cs="Segoe UI"/>
          <w:sz w:val="24"/>
          <w:szCs w:val="24"/>
        </w:rPr>
        <w:t>7</w:t>
      </w:r>
      <w:r w:rsidRPr="001541CB">
        <w:rPr>
          <w:rFonts w:ascii="Segoe UI" w:hAnsi="Segoe UI" w:cs="Segoe UI"/>
          <w:sz w:val="24"/>
          <w:szCs w:val="24"/>
        </w:rPr>
        <w:t>. Celui-ci, comparativement au taux d’engagement à</w:t>
      </w:r>
      <w:r w:rsidRPr="001541CB">
        <w:rPr>
          <w:rFonts w:ascii="Segoe UI" w:hAnsi="Segoe UI" w:cs="Segoe UI"/>
          <w:bCs/>
          <w:sz w:val="24"/>
          <w:szCs w:val="24"/>
        </w:rPr>
        <w:t xml:space="preserve"> la même période en 201</w:t>
      </w:r>
      <w:r w:rsidR="000163F1" w:rsidRPr="001541CB">
        <w:rPr>
          <w:rFonts w:ascii="Segoe UI" w:hAnsi="Segoe UI" w:cs="Segoe UI"/>
          <w:bCs/>
          <w:sz w:val="24"/>
          <w:szCs w:val="24"/>
        </w:rPr>
        <w:t>6</w:t>
      </w:r>
      <w:r w:rsidRPr="001541CB">
        <w:rPr>
          <w:rFonts w:ascii="Segoe UI" w:hAnsi="Segoe UI" w:cs="Segoe UI"/>
          <w:sz w:val="24"/>
          <w:szCs w:val="24"/>
        </w:rPr>
        <w:t xml:space="preserve"> qui était de </w:t>
      </w:r>
      <w:r w:rsidR="002C2A9E">
        <w:rPr>
          <w:rFonts w:ascii="Segoe UI" w:hAnsi="Segoe UI" w:cs="Segoe UI"/>
          <w:sz w:val="24"/>
          <w:szCs w:val="24"/>
        </w:rPr>
        <w:t>33,7</w:t>
      </w:r>
      <w:r w:rsidRPr="001541CB">
        <w:rPr>
          <w:rFonts w:ascii="Segoe UI" w:hAnsi="Segoe UI" w:cs="Segoe UI"/>
          <w:sz w:val="24"/>
          <w:szCs w:val="24"/>
        </w:rPr>
        <w:t>%,</w:t>
      </w:r>
      <w:r w:rsidR="00DB6241" w:rsidRPr="001541CB">
        <w:rPr>
          <w:rFonts w:ascii="Segoe UI" w:hAnsi="Segoe UI" w:cs="Segoe UI"/>
          <w:sz w:val="24"/>
          <w:szCs w:val="24"/>
        </w:rPr>
        <w:t xml:space="preserve"> </w:t>
      </w:r>
      <w:r w:rsidRPr="001541CB">
        <w:rPr>
          <w:rFonts w:ascii="Segoe UI" w:hAnsi="Segoe UI" w:cs="Segoe UI"/>
          <w:sz w:val="24"/>
          <w:szCs w:val="24"/>
        </w:rPr>
        <w:t xml:space="preserve">marque une </w:t>
      </w:r>
      <w:r w:rsidR="000163F1" w:rsidRPr="001541CB">
        <w:rPr>
          <w:rFonts w:ascii="Segoe UI" w:hAnsi="Segoe UI" w:cs="Segoe UI"/>
          <w:sz w:val="24"/>
          <w:szCs w:val="24"/>
        </w:rPr>
        <w:t>ré</w:t>
      </w:r>
      <w:r w:rsidRPr="001541CB">
        <w:rPr>
          <w:rFonts w:ascii="Segoe UI" w:hAnsi="Segoe UI" w:cs="Segoe UI"/>
          <w:sz w:val="24"/>
          <w:szCs w:val="24"/>
        </w:rPr>
        <w:t xml:space="preserve">gression de </w:t>
      </w:r>
      <w:r w:rsidR="000163F1" w:rsidRPr="00FD1E74">
        <w:rPr>
          <w:rFonts w:ascii="Segoe UI" w:hAnsi="Segoe UI" w:cs="Segoe UI"/>
          <w:sz w:val="24"/>
          <w:szCs w:val="24"/>
        </w:rPr>
        <w:t>1</w:t>
      </w:r>
      <w:r w:rsidR="002C2A9E">
        <w:rPr>
          <w:rFonts w:ascii="Segoe UI" w:hAnsi="Segoe UI" w:cs="Segoe UI"/>
          <w:sz w:val="24"/>
          <w:szCs w:val="24"/>
        </w:rPr>
        <w:t>6</w:t>
      </w:r>
      <w:r w:rsidR="000163F1" w:rsidRPr="00FD1E74">
        <w:rPr>
          <w:rFonts w:ascii="Segoe UI" w:hAnsi="Segoe UI" w:cs="Segoe UI"/>
          <w:sz w:val="24"/>
          <w:szCs w:val="24"/>
        </w:rPr>
        <w:t>,</w:t>
      </w:r>
      <w:r w:rsidR="002C2A9E">
        <w:rPr>
          <w:rFonts w:ascii="Segoe UI" w:hAnsi="Segoe UI" w:cs="Segoe UI"/>
          <w:sz w:val="24"/>
          <w:szCs w:val="24"/>
        </w:rPr>
        <w:t>6</w:t>
      </w:r>
      <w:r w:rsidRPr="001541CB">
        <w:rPr>
          <w:rFonts w:ascii="Segoe UI" w:hAnsi="Segoe UI" w:cs="Segoe UI"/>
          <w:sz w:val="24"/>
          <w:szCs w:val="24"/>
        </w:rPr>
        <w:t xml:space="preserve"> points </w:t>
      </w:r>
      <w:r w:rsidR="00243F76" w:rsidRPr="001541CB">
        <w:rPr>
          <w:rFonts w:ascii="Segoe UI" w:hAnsi="Segoe UI" w:cs="Segoe UI"/>
          <w:sz w:val="24"/>
          <w:szCs w:val="24"/>
        </w:rPr>
        <w:t xml:space="preserve">de pourcentage </w:t>
      </w:r>
      <w:r w:rsidR="000613A1" w:rsidRPr="001541CB">
        <w:rPr>
          <w:rFonts w:ascii="Segoe UI" w:hAnsi="Segoe UI" w:cs="Segoe UI"/>
          <w:sz w:val="24"/>
          <w:szCs w:val="24"/>
        </w:rPr>
        <w:t xml:space="preserve">par rapport à </w:t>
      </w:r>
      <w:r w:rsidRPr="001541CB">
        <w:rPr>
          <w:rFonts w:ascii="Segoe UI" w:hAnsi="Segoe UI" w:cs="Segoe UI"/>
          <w:sz w:val="24"/>
          <w:szCs w:val="24"/>
        </w:rPr>
        <w:t xml:space="preserve">l’exécution des dépenses publiques </w:t>
      </w:r>
      <w:r w:rsidR="00DF5CDC" w:rsidRPr="001541CB">
        <w:rPr>
          <w:rFonts w:ascii="Segoe UI" w:hAnsi="Segoe UI" w:cs="Segoe UI"/>
          <w:sz w:val="24"/>
          <w:szCs w:val="24"/>
        </w:rPr>
        <w:t>à</w:t>
      </w:r>
      <w:r w:rsidR="00AA71A3" w:rsidRPr="001541CB">
        <w:rPr>
          <w:rFonts w:ascii="Segoe UI" w:hAnsi="Segoe UI" w:cs="Segoe UI"/>
          <w:sz w:val="24"/>
          <w:szCs w:val="24"/>
        </w:rPr>
        <w:t xml:space="preserve"> fin mars </w:t>
      </w:r>
      <w:r w:rsidRPr="001541CB">
        <w:rPr>
          <w:rFonts w:ascii="Segoe UI" w:hAnsi="Segoe UI" w:cs="Segoe UI"/>
          <w:sz w:val="24"/>
          <w:szCs w:val="24"/>
        </w:rPr>
        <w:t>201</w:t>
      </w:r>
      <w:r w:rsidR="00243F76" w:rsidRPr="001541CB">
        <w:rPr>
          <w:rFonts w:ascii="Segoe UI" w:hAnsi="Segoe UI" w:cs="Segoe UI"/>
          <w:sz w:val="24"/>
          <w:szCs w:val="24"/>
        </w:rPr>
        <w:t>7</w:t>
      </w:r>
      <w:r w:rsidRPr="001541CB">
        <w:rPr>
          <w:rFonts w:ascii="Segoe UI" w:hAnsi="Segoe UI" w:cs="Segoe UI"/>
          <w:sz w:val="24"/>
          <w:szCs w:val="24"/>
        </w:rPr>
        <w:t>.</w:t>
      </w:r>
      <w:r w:rsidR="000613A1" w:rsidRPr="001541CB">
        <w:rPr>
          <w:rFonts w:ascii="Segoe UI" w:hAnsi="Segoe UI" w:cs="Segoe UI"/>
          <w:sz w:val="24"/>
          <w:szCs w:val="24"/>
        </w:rPr>
        <w:t xml:space="preserve"> </w:t>
      </w:r>
    </w:p>
    <w:p w14:paraId="28AB000A" w14:textId="503E2518" w:rsidR="005C35D3" w:rsidRDefault="003A32F1" w:rsidP="005C35D3">
      <w:pPr>
        <w:spacing w:line="360" w:lineRule="auto"/>
        <w:jc w:val="both"/>
        <w:rPr>
          <w:rFonts w:ascii="Segoe UI" w:hAnsi="Segoe UI" w:cs="Segoe UI"/>
          <w:sz w:val="24"/>
          <w:szCs w:val="24"/>
        </w:rPr>
      </w:pPr>
      <w:r w:rsidRPr="001541CB">
        <w:rPr>
          <w:rFonts w:ascii="Segoe UI" w:hAnsi="Segoe UI" w:cs="Segoe UI"/>
          <w:sz w:val="24"/>
          <w:szCs w:val="24"/>
        </w:rPr>
        <w:t>L’exécution du budget de l’Etat au 31 mars 201</w:t>
      </w:r>
      <w:r w:rsidR="00C269B4" w:rsidRPr="001541CB">
        <w:rPr>
          <w:rFonts w:ascii="Segoe UI" w:hAnsi="Segoe UI" w:cs="Segoe UI"/>
          <w:sz w:val="24"/>
          <w:szCs w:val="24"/>
        </w:rPr>
        <w:t>7</w:t>
      </w:r>
      <w:r w:rsidRPr="001541CB">
        <w:rPr>
          <w:rFonts w:ascii="Segoe UI" w:hAnsi="Segoe UI" w:cs="Segoe UI"/>
          <w:sz w:val="24"/>
          <w:szCs w:val="24"/>
        </w:rPr>
        <w:t xml:space="preserve"> présente un solde déficitaire</w:t>
      </w:r>
      <w:r w:rsidR="00914DE5">
        <w:rPr>
          <w:rFonts w:ascii="Segoe UI" w:hAnsi="Segoe UI" w:cs="Segoe UI"/>
          <w:sz w:val="24"/>
          <w:szCs w:val="24"/>
        </w:rPr>
        <w:t>, base ordonnancement,</w:t>
      </w:r>
      <w:r w:rsidRPr="001541CB">
        <w:rPr>
          <w:rFonts w:ascii="Segoe UI" w:hAnsi="Segoe UI" w:cs="Segoe UI"/>
          <w:sz w:val="24"/>
          <w:szCs w:val="24"/>
        </w:rPr>
        <w:t xml:space="preserve"> d</w:t>
      </w:r>
      <w:r w:rsidR="00591F89" w:rsidRPr="001541CB">
        <w:rPr>
          <w:rFonts w:ascii="Segoe UI" w:hAnsi="Segoe UI" w:cs="Segoe UI"/>
          <w:sz w:val="24"/>
          <w:szCs w:val="24"/>
        </w:rPr>
        <w:t>’un</w:t>
      </w:r>
      <w:r w:rsidRPr="001541CB">
        <w:rPr>
          <w:rFonts w:ascii="Segoe UI" w:hAnsi="Segoe UI" w:cs="Segoe UI"/>
          <w:sz w:val="24"/>
          <w:szCs w:val="24"/>
        </w:rPr>
        <w:t xml:space="preserve"> montant </w:t>
      </w:r>
      <w:r w:rsidR="00FD3050">
        <w:rPr>
          <w:rFonts w:ascii="Segoe UI" w:eastAsia="Times New Roman" w:hAnsi="Segoe UI" w:cs="Segoe UI"/>
          <w:bCs/>
          <w:color w:val="000000"/>
          <w:sz w:val="24"/>
          <w:szCs w:val="24"/>
        </w:rPr>
        <w:t>8 375,7</w:t>
      </w:r>
      <w:r w:rsidR="002B35B9" w:rsidRPr="001541CB">
        <w:rPr>
          <w:rFonts w:ascii="Segoe UI" w:eastAsia="Times New Roman" w:hAnsi="Segoe UI" w:cs="Segoe UI"/>
          <w:bCs/>
          <w:color w:val="000000"/>
          <w:sz w:val="24"/>
          <w:szCs w:val="24"/>
        </w:rPr>
        <w:t xml:space="preserve"> </w:t>
      </w:r>
      <w:r w:rsidRPr="001541CB">
        <w:rPr>
          <w:rFonts w:ascii="Segoe UI" w:hAnsi="Segoe UI" w:cs="Segoe UI"/>
          <w:sz w:val="24"/>
          <w:szCs w:val="24"/>
        </w:rPr>
        <w:t>millions de FCFA</w:t>
      </w:r>
      <w:r w:rsidR="00243F76" w:rsidRPr="001541CB">
        <w:rPr>
          <w:rFonts w:ascii="Segoe UI" w:hAnsi="Segoe UI" w:cs="Segoe UI"/>
          <w:sz w:val="24"/>
          <w:szCs w:val="24"/>
        </w:rPr>
        <w:t xml:space="preserve"> qui </w:t>
      </w:r>
      <w:r w:rsidR="00914DE5" w:rsidRPr="001541CB">
        <w:rPr>
          <w:rFonts w:ascii="Segoe UI" w:hAnsi="Segoe UI" w:cs="Segoe UI"/>
          <w:sz w:val="24"/>
          <w:szCs w:val="24"/>
        </w:rPr>
        <w:t>a</w:t>
      </w:r>
      <w:r w:rsidR="00243F76" w:rsidRPr="001541CB">
        <w:rPr>
          <w:rFonts w:ascii="Segoe UI" w:hAnsi="Segoe UI" w:cs="Segoe UI"/>
          <w:sz w:val="24"/>
          <w:szCs w:val="24"/>
        </w:rPr>
        <w:t xml:space="preserve"> été couvert par </w:t>
      </w:r>
      <w:r w:rsidR="005F0BD5">
        <w:rPr>
          <w:rFonts w:ascii="Segoe UI" w:hAnsi="Segoe UI" w:cs="Segoe UI"/>
          <w:sz w:val="24"/>
          <w:szCs w:val="24"/>
        </w:rPr>
        <w:t>l’excédent de trésorerie</w:t>
      </w:r>
      <w:r w:rsidR="00243F76" w:rsidRPr="001541CB">
        <w:rPr>
          <w:rFonts w:ascii="Segoe UI" w:hAnsi="Segoe UI" w:cs="Segoe UI"/>
          <w:sz w:val="24"/>
          <w:szCs w:val="24"/>
        </w:rPr>
        <w:t>.</w:t>
      </w:r>
    </w:p>
    <w:p w14:paraId="432D3834" w14:textId="77777777" w:rsidR="008B2B2D" w:rsidRPr="001541CB" w:rsidRDefault="005C35D3" w:rsidP="005C35D3">
      <w:pPr>
        <w:spacing w:line="360" w:lineRule="auto"/>
        <w:jc w:val="both"/>
        <w:rPr>
          <w:rFonts w:ascii="Segoe UI" w:hAnsi="Segoe UI" w:cs="Segoe UI"/>
          <w:sz w:val="24"/>
          <w:szCs w:val="24"/>
        </w:rPr>
      </w:pPr>
      <w:r>
        <w:rPr>
          <w:rFonts w:ascii="Segoe UI" w:hAnsi="Segoe UI" w:cs="Segoe UI"/>
          <w:sz w:val="24"/>
          <w:szCs w:val="24"/>
        </w:rPr>
        <w:t xml:space="preserve">                                                                    </w:t>
      </w:r>
      <w:r w:rsidR="008B2B2D" w:rsidRPr="001541CB">
        <w:rPr>
          <w:rFonts w:ascii="Segoe UI" w:hAnsi="Segoe UI" w:cs="Segoe UI"/>
          <w:sz w:val="24"/>
          <w:szCs w:val="24"/>
        </w:rPr>
        <w:t>Cotonou, le</w:t>
      </w:r>
    </w:p>
    <w:p w14:paraId="38D2020D" w14:textId="77777777" w:rsidR="008B2B2D" w:rsidRPr="001541CB" w:rsidRDefault="008B2B2D" w:rsidP="00DC4467">
      <w:pPr>
        <w:tabs>
          <w:tab w:val="left" w:pos="5103"/>
          <w:tab w:val="left" w:pos="6237"/>
        </w:tabs>
        <w:ind w:left="1416"/>
        <w:jc w:val="center"/>
        <w:rPr>
          <w:rFonts w:ascii="Segoe UI" w:hAnsi="Segoe UI" w:cs="Segoe UI"/>
          <w:b/>
          <w:sz w:val="24"/>
          <w:szCs w:val="24"/>
        </w:rPr>
      </w:pPr>
      <w:r w:rsidRPr="001541CB">
        <w:rPr>
          <w:rFonts w:ascii="Segoe UI" w:hAnsi="Segoe UI" w:cs="Segoe UI"/>
          <w:b/>
          <w:sz w:val="24"/>
          <w:szCs w:val="24"/>
        </w:rPr>
        <w:t>LE DIRECTEUR</w:t>
      </w:r>
      <w:r w:rsidR="00EB6E4C" w:rsidRPr="001541CB">
        <w:rPr>
          <w:rFonts w:ascii="Segoe UI" w:hAnsi="Segoe UI" w:cs="Segoe UI"/>
          <w:b/>
          <w:sz w:val="24"/>
          <w:szCs w:val="24"/>
        </w:rPr>
        <w:t xml:space="preserve"> </w:t>
      </w:r>
      <w:r w:rsidRPr="001541CB">
        <w:rPr>
          <w:rFonts w:ascii="Segoe UI" w:hAnsi="Segoe UI" w:cs="Segoe UI"/>
          <w:b/>
          <w:sz w:val="24"/>
          <w:szCs w:val="24"/>
        </w:rPr>
        <w:t>GENERAL</w:t>
      </w:r>
    </w:p>
    <w:p w14:paraId="6BA57A6C" w14:textId="77777777" w:rsidR="008B2B2D" w:rsidRPr="001541CB" w:rsidRDefault="008B2B2D" w:rsidP="00DC4467">
      <w:pPr>
        <w:tabs>
          <w:tab w:val="left" w:pos="5103"/>
          <w:tab w:val="left" w:pos="6237"/>
        </w:tabs>
        <w:ind w:left="1416"/>
        <w:jc w:val="center"/>
        <w:rPr>
          <w:rFonts w:ascii="Segoe UI" w:hAnsi="Segoe UI" w:cs="Segoe UI"/>
          <w:b/>
          <w:sz w:val="24"/>
          <w:szCs w:val="24"/>
        </w:rPr>
      </w:pPr>
      <w:r w:rsidRPr="001541CB">
        <w:rPr>
          <w:rFonts w:ascii="Segoe UI" w:hAnsi="Segoe UI" w:cs="Segoe UI"/>
          <w:b/>
          <w:sz w:val="24"/>
          <w:szCs w:val="24"/>
        </w:rPr>
        <w:t>DU BUDGET</w:t>
      </w:r>
    </w:p>
    <w:p w14:paraId="465668EF" w14:textId="77777777" w:rsidR="008B2B2D" w:rsidRPr="001541CB" w:rsidRDefault="008B2B2D" w:rsidP="00DC4467">
      <w:pPr>
        <w:jc w:val="center"/>
        <w:rPr>
          <w:rFonts w:ascii="Segoe UI" w:hAnsi="Segoe UI" w:cs="Segoe UI"/>
          <w:sz w:val="24"/>
          <w:szCs w:val="24"/>
        </w:rPr>
      </w:pPr>
    </w:p>
    <w:p w14:paraId="7C0481A5" w14:textId="77777777" w:rsidR="008B2B2D" w:rsidRPr="001541CB" w:rsidRDefault="008B2B2D" w:rsidP="00DC4467">
      <w:pPr>
        <w:jc w:val="center"/>
        <w:rPr>
          <w:rFonts w:ascii="Segoe UI" w:hAnsi="Segoe UI" w:cs="Segoe UI"/>
          <w:sz w:val="24"/>
          <w:szCs w:val="24"/>
        </w:rPr>
      </w:pPr>
    </w:p>
    <w:p w14:paraId="53EE9B90" w14:textId="77777777" w:rsidR="004A7383" w:rsidRPr="001541CB" w:rsidRDefault="00DC4467" w:rsidP="00DC4467">
      <w:pPr>
        <w:jc w:val="center"/>
        <w:rPr>
          <w:rFonts w:ascii="Segoe UI" w:hAnsi="Segoe UI" w:cs="Segoe UI"/>
          <w:sz w:val="24"/>
          <w:szCs w:val="24"/>
        </w:rPr>
      </w:pPr>
      <w:r w:rsidRPr="001541CB">
        <w:rPr>
          <w:rFonts w:ascii="Segoe UI" w:hAnsi="Segoe UI" w:cs="Segoe UI"/>
          <w:b/>
          <w:i/>
          <w:sz w:val="24"/>
          <w:szCs w:val="24"/>
        </w:rPr>
        <w:t xml:space="preserve">     </w:t>
      </w:r>
      <w:r w:rsidR="00A73BA5" w:rsidRPr="001541CB">
        <w:rPr>
          <w:rFonts w:ascii="Segoe UI" w:hAnsi="Segoe UI" w:cs="Segoe UI"/>
          <w:b/>
          <w:i/>
          <w:sz w:val="24"/>
          <w:szCs w:val="24"/>
        </w:rPr>
        <w:t xml:space="preserve">             </w:t>
      </w:r>
      <w:r w:rsidRPr="001541CB">
        <w:rPr>
          <w:rFonts w:ascii="Segoe UI" w:hAnsi="Segoe UI" w:cs="Segoe UI"/>
          <w:b/>
          <w:i/>
          <w:sz w:val="24"/>
          <w:szCs w:val="24"/>
        </w:rPr>
        <w:t xml:space="preserve">     </w:t>
      </w:r>
      <w:r w:rsidR="00C56263" w:rsidRPr="001541CB">
        <w:rPr>
          <w:rFonts w:ascii="Segoe UI" w:hAnsi="Segoe UI" w:cs="Segoe UI"/>
          <w:b/>
          <w:i/>
          <w:sz w:val="24"/>
          <w:szCs w:val="24"/>
        </w:rPr>
        <w:t>Rodrigue</w:t>
      </w:r>
      <w:r w:rsidR="008B2B2D" w:rsidRPr="001541CB">
        <w:rPr>
          <w:rFonts w:ascii="Segoe UI" w:hAnsi="Segoe UI" w:cs="Segoe UI"/>
          <w:b/>
          <w:i/>
          <w:sz w:val="24"/>
          <w:szCs w:val="24"/>
        </w:rPr>
        <w:t xml:space="preserve"> S. </w:t>
      </w:r>
      <w:r w:rsidR="00440F1E" w:rsidRPr="001541CB">
        <w:rPr>
          <w:rFonts w:ascii="Segoe UI" w:hAnsi="Segoe UI" w:cs="Segoe UI"/>
          <w:b/>
          <w:i/>
          <w:sz w:val="24"/>
          <w:szCs w:val="24"/>
        </w:rPr>
        <w:t>CHA</w:t>
      </w:r>
      <w:r w:rsidR="008B2B2D" w:rsidRPr="001541CB">
        <w:rPr>
          <w:rFonts w:ascii="Segoe UI" w:hAnsi="Segoe UI" w:cs="Segoe UI"/>
          <w:b/>
          <w:i/>
          <w:sz w:val="24"/>
          <w:szCs w:val="24"/>
        </w:rPr>
        <w:t>OU</w:t>
      </w:r>
    </w:p>
    <w:sectPr w:rsidR="004A7383" w:rsidRPr="001541CB" w:rsidSect="006C7B3D">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81C210" w14:textId="77777777" w:rsidR="00E07FE4" w:rsidRDefault="00E07FE4" w:rsidP="006B53EB">
      <w:pPr>
        <w:spacing w:after="0" w:line="240" w:lineRule="auto"/>
      </w:pPr>
      <w:r>
        <w:separator/>
      </w:r>
    </w:p>
  </w:endnote>
  <w:endnote w:type="continuationSeparator" w:id="0">
    <w:p w14:paraId="75624FAC" w14:textId="77777777" w:rsidR="00E07FE4" w:rsidRDefault="00E07FE4" w:rsidP="006B5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BookmanOldStyle">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 CENA">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913571"/>
      <w:docPartObj>
        <w:docPartGallery w:val="Page Numbers (Bottom of Page)"/>
        <w:docPartUnique/>
      </w:docPartObj>
    </w:sdtPr>
    <w:sdtEndPr/>
    <w:sdtContent>
      <w:p w14:paraId="36BD38DB" w14:textId="77777777" w:rsidR="00EE133A" w:rsidRDefault="00EE133A">
        <w:pPr>
          <w:pStyle w:val="Pieddepage"/>
          <w:jc w:val="center"/>
        </w:pPr>
      </w:p>
      <w:p w14:paraId="143B0127" w14:textId="77777777" w:rsidR="00EE133A" w:rsidRDefault="00EE133A">
        <w:pPr>
          <w:pStyle w:val="Pieddepage"/>
          <w:jc w:val="center"/>
        </w:pPr>
        <w:r>
          <w:fldChar w:fldCharType="begin"/>
        </w:r>
        <w:r>
          <w:instrText xml:space="preserve"> PAGE    \* MERGEFORMAT </w:instrText>
        </w:r>
        <w:r>
          <w:fldChar w:fldCharType="separate"/>
        </w:r>
        <w:r w:rsidR="00005B91">
          <w:rPr>
            <w:noProof/>
          </w:rPr>
          <w:t>27</w:t>
        </w:r>
        <w:r>
          <w:rPr>
            <w:noProof/>
          </w:rPr>
          <w:fldChar w:fldCharType="end"/>
        </w:r>
      </w:p>
    </w:sdtContent>
  </w:sdt>
  <w:p w14:paraId="36A7F59B" w14:textId="77777777" w:rsidR="00EE133A" w:rsidRDefault="00EE133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517567" w14:textId="77777777" w:rsidR="00E07FE4" w:rsidRDefault="00E07FE4" w:rsidP="006B53EB">
      <w:pPr>
        <w:spacing w:after="0" w:line="240" w:lineRule="auto"/>
      </w:pPr>
      <w:r>
        <w:separator/>
      </w:r>
    </w:p>
  </w:footnote>
  <w:footnote w:type="continuationSeparator" w:id="0">
    <w:p w14:paraId="162ABE73" w14:textId="77777777" w:rsidR="00E07FE4" w:rsidRDefault="00E07FE4" w:rsidP="006B53EB">
      <w:pPr>
        <w:spacing w:after="0" w:line="240" w:lineRule="auto"/>
      </w:pPr>
      <w:r>
        <w:continuationSeparator/>
      </w:r>
    </w:p>
  </w:footnote>
  <w:footnote w:id="1">
    <w:p w14:paraId="77F40B8C" w14:textId="77777777" w:rsidR="00EE133A" w:rsidRDefault="00EE133A" w:rsidP="00252D74">
      <w:pPr>
        <w:pStyle w:val="Notedebasdepage"/>
      </w:pPr>
      <w:r>
        <w:rPr>
          <w:rStyle w:val="Appelnotedebasdep"/>
        </w:rPr>
        <w:footnoteRef/>
      </w:r>
      <w:r>
        <w:t xml:space="preserve"> Les estimations tablent sur un taux de croissance de 4,0% pour 2016.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C17DB"/>
    <w:multiLevelType w:val="hybridMultilevel"/>
    <w:tmpl w:val="CB8E8642"/>
    <w:lvl w:ilvl="0" w:tplc="F7622304">
      <w:numFmt w:val="bullet"/>
      <w:lvlText w:val="-"/>
      <w:lvlJc w:val="left"/>
      <w:pPr>
        <w:ind w:left="1068" w:hanging="360"/>
      </w:pPr>
      <w:rPr>
        <w:rFonts w:ascii="Garamond" w:eastAsia="Times New Roman" w:hAnsi="Garamond"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18D34C3"/>
    <w:multiLevelType w:val="hybridMultilevel"/>
    <w:tmpl w:val="C64032E2"/>
    <w:lvl w:ilvl="0" w:tplc="558E8842">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129E5BC6"/>
    <w:multiLevelType w:val="hybridMultilevel"/>
    <w:tmpl w:val="95E4BCFA"/>
    <w:lvl w:ilvl="0" w:tplc="65A833E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C37F74"/>
    <w:multiLevelType w:val="multilevel"/>
    <w:tmpl w:val="3C584D14"/>
    <w:lvl w:ilvl="0">
      <w:start w:val="1"/>
      <w:numFmt w:val="decimal"/>
      <w:lvlText w:val="%1."/>
      <w:lvlJc w:val="left"/>
      <w:pPr>
        <w:ind w:left="720" w:hanging="360"/>
      </w:pPr>
      <w:rPr>
        <w:rFonts w:ascii="Garamond" w:hAnsi="Garamond" w:hint="default"/>
        <w:b w:val="0"/>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13B64E1A"/>
    <w:multiLevelType w:val="hybridMultilevel"/>
    <w:tmpl w:val="7C0A2670"/>
    <w:lvl w:ilvl="0" w:tplc="BDCA819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A8D550D"/>
    <w:multiLevelType w:val="hybridMultilevel"/>
    <w:tmpl w:val="D21E5058"/>
    <w:lvl w:ilvl="0" w:tplc="883E20FA">
      <w:numFmt w:val="bullet"/>
      <w:lvlText w:val="-"/>
      <w:lvlJc w:val="left"/>
      <w:pPr>
        <w:ind w:left="795" w:hanging="360"/>
      </w:pPr>
      <w:rPr>
        <w:rFonts w:ascii="Times New Roman" w:eastAsia="Times New Roman" w:hAnsi="Times New Roman" w:cs="Times New Roman"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6" w15:restartNumberingAfterBreak="0">
    <w:nsid w:val="20564135"/>
    <w:multiLevelType w:val="hybridMultilevel"/>
    <w:tmpl w:val="5C8AA010"/>
    <w:lvl w:ilvl="0" w:tplc="02F83F6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18A69C5"/>
    <w:multiLevelType w:val="hybridMultilevel"/>
    <w:tmpl w:val="F0C8EF72"/>
    <w:lvl w:ilvl="0" w:tplc="883E20F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654AB3"/>
    <w:multiLevelType w:val="hybridMultilevel"/>
    <w:tmpl w:val="35C29FE6"/>
    <w:lvl w:ilvl="0" w:tplc="8FB6B946">
      <w:start w:val="2"/>
      <w:numFmt w:val="bullet"/>
      <w:lvlText w:val="-"/>
      <w:lvlJc w:val="left"/>
      <w:pPr>
        <w:ind w:left="720" w:hanging="360"/>
      </w:pPr>
      <w:rPr>
        <w:rFonts w:ascii="Bookman Old Style" w:eastAsiaTheme="minorEastAsia"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023EC5"/>
    <w:multiLevelType w:val="hybridMultilevel"/>
    <w:tmpl w:val="8EDC1966"/>
    <w:lvl w:ilvl="0" w:tplc="F7F8967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A233AC9"/>
    <w:multiLevelType w:val="hybridMultilevel"/>
    <w:tmpl w:val="05AABB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6C0A88"/>
    <w:multiLevelType w:val="hybridMultilevel"/>
    <w:tmpl w:val="0A84BAEA"/>
    <w:lvl w:ilvl="0" w:tplc="2C14466C">
      <w:start w:val="1"/>
      <w:numFmt w:val="decimal"/>
      <w:lvlText w:val="%1-"/>
      <w:lvlJc w:val="left"/>
      <w:pPr>
        <w:ind w:left="720" w:hanging="360"/>
      </w:pPr>
      <w:rPr>
        <w:rFonts w:cs="BookmanOldStyle" w:hint="default"/>
        <w:b/>
        <w:sz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3AF7142"/>
    <w:multiLevelType w:val="hybridMultilevel"/>
    <w:tmpl w:val="87F8D114"/>
    <w:lvl w:ilvl="0" w:tplc="040C0001">
      <w:start w:val="1"/>
      <w:numFmt w:val="bullet"/>
      <w:lvlText w:val=""/>
      <w:lvlJc w:val="left"/>
      <w:pPr>
        <w:ind w:left="940" w:hanging="360"/>
      </w:pPr>
      <w:rPr>
        <w:rFonts w:ascii="Symbol" w:hAnsi="Symbol" w:hint="default"/>
      </w:rPr>
    </w:lvl>
    <w:lvl w:ilvl="1" w:tplc="040C0003" w:tentative="1">
      <w:start w:val="1"/>
      <w:numFmt w:val="bullet"/>
      <w:lvlText w:val="o"/>
      <w:lvlJc w:val="left"/>
      <w:pPr>
        <w:ind w:left="1660" w:hanging="360"/>
      </w:pPr>
      <w:rPr>
        <w:rFonts w:ascii="Courier New" w:hAnsi="Courier New" w:cs="Courier New" w:hint="default"/>
      </w:rPr>
    </w:lvl>
    <w:lvl w:ilvl="2" w:tplc="040C0005" w:tentative="1">
      <w:start w:val="1"/>
      <w:numFmt w:val="bullet"/>
      <w:lvlText w:val=""/>
      <w:lvlJc w:val="left"/>
      <w:pPr>
        <w:ind w:left="2380" w:hanging="360"/>
      </w:pPr>
      <w:rPr>
        <w:rFonts w:ascii="Wingdings" w:hAnsi="Wingdings" w:hint="default"/>
      </w:rPr>
    </w:lvl>
    <w:lvl w:ilvl="3" w:tplc="040C0001" w:tentative="1">
      <w:start w:val="1"/>
      <w:numFmt w:val="bullet"/>
      <w:lvlText w:val=""/>
      <w:lvlJc w:val="left"/>
      <w:pPr>
        <w:ind w:left="3100" w:hanging="360"/>
      </w:pPr>
      <w:rPr>
        <w:rFonts w:ascii="Symbol" w:hAnsi="Symbol" w:hint="default"/>
      </w:rPr>
    </w:lvl>
    <w:lvl w:ilvl="4" w:tplc="040C0003" w:tentative="1">
      <w:start w:val="1"/>
      <w:numFmt w:val="bullet"/>
      <w:lvlText w:val="o"/>
      <w:lvlJc w:val="left"/>
      <w:pPr>
        <w:ind w:left="3820" w:hanging="360"/>
      </w:pPr>
      <w:rPr>
        <w:rFonts w:ascii="Courier New" w:hAnsi="Courier New" w:cs="Courier New" w:hint="default"/>
      </w:rPr>
    </w:lvl>
    <w:lvl w:ilvl="5" w:tplc="040C0005" w:tentative="1">
      <w:start w:val="1"/>
      <w:numFmt w:val="bullet"/>
      <w:lvlText w:val=""/>
      <w:lvlJc w:val="left"/>
      <w:pPr>
        <w:ind w:left="4540" w:hanging="360"/>
      </w:pPr>
      <w:rPr>
        <w:rFonts w:ascii="Wingdings" w:hAnsi="Wingdings" w:hint="default"/>
      </w:rPr>
    </w:lvl>
    <w:lvl w:ilvl="6" w:tplc="040C0001" w:tentative="1">
      <w:start w:val="1"/>
      <w:numFmt w:val="bullet"/>
      <w:lvlText w:val=""/>
      <w:lvlJc w:val="left"/>
      <w:pPr>
        <w:ind w:left="5260" w:hanging="360"/>
      </w:pPr>
      <w:rPr>
        <w:rFonts w:ascii="Symbol" w:hAnsi="Symbol" w:hint="default"/>
      </w:rPr>
    </w:lvl>
    <w:lvl w:ilvl="7" w:tplc="040C0003" w:tentative="1">
      <w:start w:val="1"/>
      <w:numFmt w:val="bullet"/>
      <w:lvlText w:val="o"/>
      <w:lvlJc w:val="left"/>
      <w:pPr>
        <w:ind w:left="5980" w:hanging="360"/>
      </w:pPr>
      <w:rPr>
        <w:rFonts w:ascii="Courier New" w:hAnsi="Courier New" w:cs="Courier New" w:hint="default"/>
      </w:rPr>
    </w:lvl>
    <w:lvl w:ilvl="8" w:tplc="040C0005" w:tentative="1">
      <w:start w:val="1"/>
      <w:numFmt w:val="bullet"/>
      <w:lvlText w:val=""/>
      <w:lvlJc w:val="left"/>
      <w:pPr>
        <w:ind w:left="6700" w:hanging="360"/>
      </w:pPr>
      <w:rPr>
        <w:rFonts w:ascii="Wingdings" w:hAnsi="Wingdings" w:hint="default"/>
      </w:rPr>
    </w:lvl>
  </w:abstractNum>
  <w:abstractNum w:abstractNumId="13" w15:restartNumberingAfterBreak="0">
    <w:nsid w:val="33FB5692"/>
    <w:multiLevelType w:val="hybridMultilevel"/>
    <w:tmpl w:val="CCAA1F96"/>
    <w:lvl w:ilvl="0" w:tplc="411A0A8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4DC2C81"/>
    <w:multiLevelType w:val="hybridMultilevel"/>
    <w:tmpl w:val="4B4E7A4A"/>
    <w:lvl w:ilvl="0" w:tplc="B9F46580">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38FB2D17"/>
    <w:multiLevelType w:val="hybridMultilevel"/>
    <w:tmpl w:val="D7601FB6"/>
    <w:lvl w:ilvl="0" w:tplc="16E8277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C8567F1"/>
    <w:multiLevelType w:val="hybridMultilevel"/>
    <w:tmpl w:val="073CD8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12E392D"/>
    <w:multiLevelType w:val="hybridMultilevel"/>
    <w:tmpl w:val="E494ADC0"/>
    <w:lvl w:ilvl="0" w:tplc="1A0468FA">
      <w:start w:val="1"/>
      <w:numFmt w:val="upperLetter"/>
      <w:lvlText w:val="%1-"/>
      <w:lvlJc w:val="left"/>
      <w:pPr>
        <w:ind w:left="928"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8CD2AD4"/>
    <w:multiLevelType w:val="hybridMultilevel"/>
    <w:tmpl w:val="60D66AA6"/>
    <w:lvl w:ilvl="0" w:tplc="6CA8013A">
      <w:numFmt w:val="bullet"/>
      <w:lvlText w:val="-"/>
      <w:lvlJc w:val="left"/>
      <w:pPr>
        <w:ind w:left="720" w:hanging="360"/>
      </w:pPr>
      <w:rPr>
        <w:rFonts w:ascii="Bookman Old Style" w:eastAsiaTheme="minorEastAsia"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C551F5"/>
    <w:multiLevelType w:val="hybridMultilevel"/>
    <w:tmpl w:val="7FDA53E2"/>
    <w:lvl w:ilvl="0" w:tplc="883E20FA">
      <w:numFmt w:val="bullet"/>
      <w:lvlText w:val="-"/>
      <w:lvlJc w:val="left"/>
      <w:pPr>
        <w:ind w:left="795" w:hanging="360"/>
      </w:pPr>
      <w:rPr>
        <w:rFonts w:ascii="Times New Roman" w:eastAsia="Times New Roman" w:hAnsi="Times New Roman" w:cs="Times New Roman"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20" w15:restartNumberingAfterBreak="0">
    <w:nsid w:val="51CF3F4E"/>
    <w:multiLevelType w:val="hybridMultilevel"/>
    <w:tmpl w:val="E7F0889A"/>
    <w:lvl w:ilvl="0" w:tplc="1784A51E">
      <w:start w:val="9"/>
      <w:numFmt w:val="bullet"/>
      <w:lvlText w:val=""/>
      <w:lvlJc w:val="left"/>
      <w:pPr>
        <w:ind w:left="1429" w:hanging="360"/>
      </w:pPr>
      <w:rPr>
        <w:rFonts w:ascii="Symbol" w:eastAsia="Times New Roman" w:hAnsi="Symbol" w:hint="default"/>
      </w:rPr>
    </w:lvl>
    <w:lvl w:ilvl="1" w:tplc="040C0003" w:tentative="1">
      <w:start w:val="1"/>
      <w:numFmt w:val="bullet"/>
      <w:lvlText w:val="o"/>
      <w:lvlJc w:val="left"/>
      <w:pPr>
        <w:ind w:left="2149" w:hanging="360"/>
      </w:pPr>
      <w:rPr>
        <w:rFonts w:ascii="Courier New" w:hAnsi="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1" w15:restartNumberingAfterBreak="0">
    <w:nsid w:val="531812C2"/>
    <w:multiLevelType w:val="hybridMultilevel"/>
    <w:tmpl w:val="FA508C84"/>
    <w:lvl w:ilvl="0" w:tplc="192615A0">
      <w:start w:val="2"/>
      <w:numFmt w:val="bullet"/>
      <w:lvlText w:val="-"/>
      <w:lvlJc w:val="left"/>
      <w:pPr>
        <w:ind w:left="720" w:hanging="360"/>
      </w:pPr>
      <w:rPr>
        <w:rFonts w:ascii="Garamond" w:eastAsiaTheme="minorHAnsi" w:hAnsi="Garamond"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AE122D"/>
    <w:multiLevelType w:val="hybridMultilevel"/>
    <w:tmpl w:val="E8F45F4E"/>
    <w:lvl w:ilvl="0" w:tplc="3BC2F050">
      <w:start w:val="1"/>
      <w:numFmt w:val="bullet"/>
      <w:lvlText w:val="-"/>
      <w:lvlJc w:val="left"/>
      <w:pPr>
        <w:ind w:left="720" w:hanging="360"/>
      </w:pPr>
      <w:rPr>
        <w:rFonts w:ascii="Bookman Old Style" w:eastAsiaTheme="minorEastAsia"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F34A69"/>
    <w:multiLevelType w:val="hybridMultilevel"/>
    <w:tmpl w:val="1E0027EA"/>
    <w:lvl w:ilvl="0" w:tplc="040C000D">
      <w:start w:val="1"/>
      <w:numFmt w:val="bullet"/>
      <w:lvlText w:val=""/>
      <w:lvlJc w:val="left"/>
      <w:pPr>
        <w:ind w:left="1047" w:hanging="360"/>
      </w:pPr>
      <w:rPr>
        <w:rFonts w:ascii="Wingdings" w:hAnsi="Wingdings" w:hint="default"/>
      </w:rPr>
    </w:lvl>
    <w:lvl w:ilvl="1" w:tplc="040C0003" w:tentative="1">
      <w:start w:val="1"/>
      <w:numFmt w:val="bullet"/>
      <w:lvlText w:val="o"/>
      <w:lvlJc w:val="left"/>
      <w:pPr>
        <w:ind w:left="1767" w:hanging="360"/>
      </w:pPr>
      <w:rPr>
        <w:rFonts w:ascii="Courier New" w:hAnsi="Courier New" w:cs="Courier New" w:hint="default"/>
      </w:rPr>
    </w:lvl>
    <w:lvl w:ilvl="2" w:tplc="040C0005" w:tentative="1">
      <w:start w:val="1"/>
      <w:numFmt w:val="bullet"/>
      <w:lvlText w:val=""/>
      <w:lvlJc w:val="left"/>
      <w:pPr>
        <w:ind w:left="2487" w:hanging="360"/>
      </w:pPr>
      <w:rPr>
        <w:rFonts w:ascii="Wingdings" w:hAnsi="Wingdings" w:hint="default"/>
      </w:rPr>
    </w:lvl>
    <w:lvl w:ilvl="3" w:tplc="040C0001" w:tentative="1">
      <w:start w:val="1"/>
      <w:numFmt w:val="bullet"/>
      <w:lvlText w:val=""/>
      <w:lvlJc w:val="left"/>
      <w:pPr>
        <w:ind w:left="3207" w:hanging="360"/>
      </w:pPr>
      <w:rPr>
        <w:rFonts w:ascii="Symbol" w:hAnsi="Symbol" w:hint="default"/>
      </w:rPr>
    </w:lvl>
    <w:lvl w:ilvl="4" w:tplc="040C0003" w:tentative="1">
      <w:start w:val="1"/>
      <w:numFmt w:val="bullet"/>
      <w:lvlText w:val="o"/>
      <w:lvlJc w:val="left"/>
      <w:pPr>
        <w:ind w:left="3927" w:hanging="360"/>
      </w:pPr>
      <w:rPr>
        <w:rFonts w:ascii="Courier New" w:hAnsi="Courier New" w:cs="Courier New" w:hint="default"/>
      </w:rPr>
    </w:lvl>
    <w:lvl w:ilvl="5" w:tplc="040C0005" w:tentative="1">
      <w:start w:val="1"/>
      <w:numFmt w:val="bullet"/>
      <w:lvlText w:val=""/>
      <w:lvlJc w:val="left"/>
      <w:pPr>
        <w:ind w:left="4647" w:hanging="360"/>
      </w:pPr>
      <w:rPr>
        <w:rFonts w:ascii="Wingdings" w:hAnsi="Wingdings" w:hint="default"/>
      </w:rPr>
    </w:lvl>
    <w:lvl w:ilvl="6" w:tplc="040C0001" w:tentative="1">
      <w:start w:val="1"/>
      <w:numFmt w:val="bullet"/>
      <w:lvlText w:val=""/>
      <w:lvlJc w:val="left"/>
      <w:pPr>
        <w:ind w:left="5367" w:hanging="360"/>
      </w:pPr>
      <w:rPr>
        <w:rFonts w:ascii="Symbol" w:hAnsi="Symbol" w:hint="default"/>
      </w:rPr>
    </w:lvl>
    <w:lvl w:ilvl="7" w:tplc="040C0003" w:tentative="1">
      <w:start w:val="1"/>
      <w:numFmt w:val="bullet"/>
      <w:lvlText w:val="o"/>
      <w:lvlJc w:val="left"/>
      <w:pPr>
        <w:ind w:left="6087" w:hanging="360"/>
      </w:pPr>
      <w:rPr>
        <w:rFonts w:ascii="Courier New" w:hAnsi="Courier New" w:cs="Courier New" w:hint="default"/>
      </w:rPr>
    </w:lvl>
    <w:lvl w:ilvl="8" w:tplc="040C0005" w:tentative="1">
      <w:start w:val="1"/>
      <w:numFmt w:val="bullet"/>
      <w:lvlText w:val=""/>
      <w:lvlJc w:val="left"/>
      <w:pPr>
        <w:ind w:left="6807" w:hanging="360"/>
      </w:pPr>
      <w:rPr>
        <w:rFonts w:ascii="Wingdings" w:hAnsi="Wingdings" w:hint="default"/>
      </w:rPr>
    </w:lvl>
  </w:abstractNum>
  <w:abstractNum w:abstractNumId="24" w15:restartNumberingAfterBreak="0">
    <w:nsid w:val="589E7460"/>
    <w:multiLevelType w:val="hybridMultilevel"/>
    <w:tmpl w:val="95EAAB30"/>
    <w:lvl w:ilvl="0" w:tplc="2596773C">
      <w:numFmt w:val="bullet"/>
      <w:lvlText w:val="-"/>
      <w:lvlJc w:val="left"/>
      <w:pPr>
        <w:ind w:left="720" w:hanging="360"/>
      </w:pPr>
      <w:rPr>
        <w:rFonts w:ascii="Bookman Old Style" w:eastAsia="Times New Roman" w:hAnsi="Bookman Old Style"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ECA2CAC"/>
    <w:multiLevelType w:val="hybridMultilevel"/>
    <w:tmpl w:val="25826E5E"/>
    <w:lvl w:ilvl="0" w:tplc="68DC3420">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EDA10FF"/>
    <w:multiLevelType w:val="hybridMultilevel"/>
    <w:tmpl w:val="855C9A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F284181"/>
    <w:multiLevelType w:val="hybridMultilevel"/>
    <w:tmpl w:val="81D8CAF4"/>
    <w:lvl w:ilvl="0" w:tplc="2596773C">
      <w:numFmt w:val="bullet"/>
      <w:lvlText w:val="-"/>
      <w:lvlJc w:val="left"/>
      <w:pPr>
        <w:ind w:left="720" w:hanging="360"/>
      </w:pPr>
      <w:rPr>
        <w:rFonts w:ascii="Bookman Old Style" w:eastAsia="Times New Roman" w:hAnsi="Bookman Old Styl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4572AD1"/>
    <w:multiLevelType w:val="hybridMultilevel"/>
    <w:tmpl w:val="18D61C52"/>
    <w:lvl w:ilvl="0" w:tplc="4B16E126">
      <w:start w:val="1"/>
      <w:numFmt w:val="decimal"/>
      <w:lvlText w:val="%1-"/>
      <w:lvlJc w:val="left"/>
      <w:pPr>
        <w:ind w:left="720" w:hanging="360"/>
      </w:pPr>
      <w:rPr>
        <w:rFonts w:cstheme="maj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4A607E9"/>
    <w:multiLevelType w:val="hybridMultilevel"/>
    <w:tmpl w:val="94167B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6087CBF"/>
    <w:multiLevelType w:val="hybridMultilevel"/>
    <w:tmpl w:val="FEEEA3C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8525B67"/>
    <w:multiLevelType w:val="hybridMultilevel"/>
    <w:tmpl w:val="989C43D4"/>
    <w:lvl w:ilvl="0" w:tplc="727207CE">
      <w:numFmt w:val="bullet"/>
      <w:lvlText w:val="-"/>
      <w:lvlJc w:val="left"/>
      <w:pPr>
        <w:ind w:left="720" w:hanging="360"/>
      </w:pPr>
      <w:rPr>
        <w:rFonts w:ascii="Century" w:eastAsia="Times New Roman" w:hAnsi="Century"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C1A5DF0"/>
    <w:multiLevelType w:val="hybridMultilevel"/>
    <w:tmpl w:val="19DC70D4"/>
    <w:lvl w:ilvl="0" w:tplc="D05CF086">
      <w:start w:val="1"/>
      <w:numFmt w:val="decimal"/>
      <w:lvlText w:val="%1."/>
      <w:lvlJc w:val="left"/>
      <w:pPr>
        <w:ind w:left="720" w:hanging="360"/>
      </w:pPr>
      <w:rPr>
        <w:rFonts w:ascii="Garamond" w:hAnsi="Garamond"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BD562D9"/>
    <w:multiLevelType w:val="hybridMultilevel"/>
    <w:tmpl w:val="C44C4574"/>
    <w:lvl w:ilvl="0" w:tplc="038A34E0">
      <w:start w:val="1"/>
      <w:numFmt w:val="decimal"/>
      <w:lvlText w:val="%1."/>
      <w:lvlJc w:val="left"/>
      <w:pPr>
        <w:ind w:left="720" w:hanging="360"/>
      </w:pPr>
      <w:rPr>
        <w:rFonts w:ascii="Garamond" w:hAnsi="Garamond" w:hint="default"/>
        <w:b w:val="0"/>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FF9498E"/>
    <w:multiLevelType w:val="hybridMultilevel"/>
    <w:tmpl w:val="1E1448C0"/>
    <w:lvl w:ilvl="0" w:tplc="2C6A657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34"/>
  </w:num>
  <w:num w:numId="3">
    <w:abstractNumId w:val="4"/>
  </w:num>
  <w:num w:numId="4">
    <w:abstractNumId w:val="6"/>
  </w:num>
  <w:num w:numId="5">
    <w:abstractNumId w:val="9"/>
  </w:num>
  <w:num w:numId="6">
    <w:abstractNumId w:val="15"/>
  </w:num>
  <w:num w:numId="7">
    <w:abstractNumId w:val="3"/>
  </w:num>
  <w:num w:numId="8">
    <w:abstractNumId w:val="25"/>
  </w:num>
  <w:num w:numId="9">
    <w:abstractNumId w:val="33"/>
  </w:num>
  <w:num w:numId="10">
    <w:abstractNumId w:val="7"/>
  </w:num>
  <w:num w:numId="11">
    <w:abstractNumId w:val="29"/>
  </w:num>
  <w:num w:numId="12">
    <w:abstractNumId w:val="16"/>
  </w:num>
  <w:num w:numId="13">
    <w:abstractNumId w:val="32"/>
  </w:num>
  <w:num w:numId="14">
    <w:abstractNumId w:val="30"/>
  </w:num>
  <w:num w:numId="15">
    <w:abstractNumId w:val="21"/>
  </w:num>
  <w:num w:numId="16">
    <w:abstractNumId w:val="20"/>
  </w:num>
  <w:num w:numId="17">
    <w:abstractNumId w:val="13"/>
  </w:num>
  <w:num w:numId="18">
    <w:abstractNumId w:val="28"/>
  </w:num>
  <w:num w:numId="19">
    <w:abstractNumId w:val="18"/>
  </w:num>
  <w:num w:numId="20">
    <w:abstractNumId w:val="8"/>
  </w:num>
  <w:num w:numId="21">
    <w:abstractNumId w:val="17"/>
  </w:num>
  <w:num w:numId="22">
    <w:abstractNumId w:val="0"/>
  </w:num>
  <w:num w:numId="23">
    <w:abstractNumId w:val="11"/>
  </w:num>
  <w:num w:numId="24">
    <w:abstractNumId w:val="22"/>
  </w:num>
  <w:num w:numId="25">
    <w:abstractNumId w:val="26"/>
  </w:num>
  <w:num w:numId="26">
    <w:abstractNumId w:val="10"/>
  </w:num>
  <w:num w:numId="27">
    <w:abstractNumId w:val="12"/>
  </w:num>
  <w:num w:numId="28">
    <w:abstractNumId w:val="31"/>
  </w:num>
  <w:num w:numId="29">
    <w:abstractNumId w:val="5"/>
  </w:num>
  <w:num w:numId="30">
    <w:abstractNumId w:val="19"/>
  </w:num>
  <w:num w:numId="31">
    <w:abstractNumId w:val="1"/>
  </w:num>
  <w:num w:numId="32">
    <w:abstractNumId w:val="14"/>
  </w:num>
  <w:num w:numId="33">
    <w:abstractNumId w:val="23"/>
  </w:num>
  <w:num w:numId="34">
    <w:abstractNumId w:val="24"/>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style="mso-position-horizontal-relative:margin;mso-position-vertical-relative:margin;mso-width-relative:margin;mso-height-relative:margin" o:allowincell="f" fillcolor="none [3206]" strokecolor="none [665]">
      <v:fill color="none [3206]"/>
      <v:stroke color="none [665]" weight="3pt"/>
      <v:imagedata embosscolor="shadow add(51)"/>
      <v:shadow on="t" type="perspective" color="none [1606]" opacity=".5" offset="1pt" offset2="-1pt"/>
      <v:textbox inset="3.6pt,,3.6pt"/>
    </o:shapedefaults>
  </w:hdrShapeDefaults>
  <w:footnotePr>
    <w:footnote w:id="-1"/>
    <w:footnote w:id="0"/>
  </w:footnotePr>
  <w:endnotePr>
    <w:endnote w:id="-1"/>
    <w:endnote w:id="0"/>
  </w:endnotePr>
  <w:compat>
    <w:useFELayout/>
    <w:compatSetting w:name="compatibilityMode" w:uri="http://schemas.microsoft.com/office/word" w:val="12"/>
  </w:compat>
  <w:rsids>
    <w:rsidRoot w:val="004A7383"/>
    <w:rsid w:val="00000A30"/>
    <w:rsid w:val="00000E69"/>
    <w:rsid w:val="00000FC2"/>
    <w:rsid w:val="0000136C"/>
    <w:rsid w:val="000015B5"/>
    <w:rsid w:val="00001D16"/>
    <w:rsid w:val="000026DD"/>
    <w:rsid w:val="00002916"/>
    <w:rsid w:val="00002B83"/>
    <w:rsid w:val="00002DAB"/>
    <w:rsid w:val="000032F2"/>
    <w:rsid w:val="00003A30"/>
    <w:rsid w:val="00003AA9"/>
    <w:rsid w:val="00003AC1"/>
    <w:rsid w:val="00003C6A"/>
    <w:rsid w:val="00003D22"/>
    <w:rsid w:val="00004AE8"/>
    <w:rsid w:val="00004C0D"/>
    <w:rsid w:val="00005B5F"/>
    <w:rsid w:val="00005B91"/>
    <w:rsid w:val="00005BF8"/>
    <w:rsid w:val="00006478"/>
    <w:rsid w:val="00007571"/>
    <w:rsid w:val="000108D2"/>
    <w:rsid w:val="00010A06"/>
    <w:rsid w:val="00010A83"/>
    <w:rsid w:val="00011FBE"/>
    <w:rsid w:val="000123E7"/>
    <w:rsid w:val="00012586"/>
    <w:rsid w:val="00012806"/>
    <w:rsid w:val="00012BD8"/>
    <w:rsid w:val="00012E04"/>
    <w:rsid w:val="000143AB"/>
    <w:rsid w:val="00014B93"/>
    <w:rsid w:val="00016134"/>
    <w:rsid w:val="000163F1"/>
    <w:rsid w:val="000164CC"/>
    <w:rsid w:val="00016828"/>
    <w:rsid w:val="0001722C"/>
    <w:rsid w:val="0001773E"/>
    <w:rsid w:val="00017903"/>
    <w:rsid w:val="00017BE0"/>
    <w:rsid w:val="00017C85"/>
    <w:rsid w:val="000202F5"/>
    <w:rsid w:val="00020E1D"/>
    <w:rsid w:val="000218C2"/>
    <w:rsid w:val="00021910"/>
    <w:rsid w:val="00022CD5"/>
    <w:rsid w:val="00022D3B"/>
    <w:rsid w:val="00023160"/>
    <w:rsid w:val="000234D1"/>
    <w:rsid w:val="00023C97"/>
    <w:rsid w:val="00023D7D"/>
    <w:rsid w:val="000243F1"/>
    <w:rsid w:val="000246A5"/>
    <w:rsid w:val="00024B8C"/>
    <w:rsid w:val="000253F7"/>
    <w:rsid w:val="00025CFD"/>
    <w:rsid w:val="00025DD5"/>
    <w:rsid w:val="000272A4"/>
    <w:rsid w:val="000274BC"/>
    <w:rsid w:val="000277FF"/>
    <w:rsid w:val="00027B58"/>
    <w:rsid w:val="00027BC6"/>
    <w:rsid w:val="00027CFF"/>
    <w:rsid w:val="00027DE2"/>
    <w:rsid w:val="00030218"/>
    <w:rsid w:val="000306BB"/>
    <w:rsid w:val="00030943"/>
    <w:rsid w:val="00030A4F"/>
    <w:rsid w:val="000317AD"/>
    <w:rsid w:val="000326C4"/>
    <w:rsid w:val="00032CB3"/>
    <w:rsid w:val="00033825"/>
    <w:rsid w:val="00033E90"/>
    <w:rsid w:val="00033EE3"/>
    <w:rsid w:val="0003408B"/>
    <w:rsid w:val="000341E7"/>
    <w:rsid w:val="0003461C"/>
    <w:rsid w:val="00034BD7"/>
    <w:rsid w:val="00034C79"/>
    <w:rsid w:val="00036035"/>
    <w:rsid w:val="00036FBF"/>
    <w:rsid w:val="00037F58"/>
    <w:rsid w:val="000409CC"/>
    <w:rsid w:val="00040C86"/>
    <w:rsid w:val="000411A9"/>
    <w:rsid w:val="0004141E"/>
    <w:rsid w:val="00041725"/>
    <w:rsid w:val="00041BF7"/>
    <w:rsid w:val="00041DF9"/>
    <w:rsid w:val="000420B6"/>
    <w:rsid w:val="000428D6"/>
    <w:rsid w:val="00042B32"/>
    <w:rsid w:val="00042CCC"/>
    <w:rsid w:val="00043D9B"/>
    <w:rsid w:val="00044157"/>
    <w:rsid w:val="000441BF"/>
    <w:rsid w:val="0004480A"/>
    <w:rsid w:val="00044EE8"/>
    <w:rsid w:val="00045582"/>
    <w:rsid w:val="000456B2"/>
    <w:rsid w:val="0004760D"/>
    <w:rsid w:val="00047931"/>
    <w:rsid w:val="00047EF1"/>
    <w:rsid w:val="00050107"/>
    <w:rsid w:val="000513A0"/>
    <w:rsid w:val="00051444"/>
    <w:rsid w:val="00051679"/>
    <w:rsid w:val="00052172"/>
    <w:rsid w:val="0005253A"/>
    <w:rsid w:val="00052667"/>
    <w:rsid w:val="00052B01"/>
    <w:rsid w:val="00052CFE"/>
    <w:rsid w:val="00054478"/>
    <w:rsid w:val="000544E6"/>
    <w:rsid w:val="00054561"/>
    <w:rsid w:val="00054B72"/>
    <w:rsid w:val="00055663"/>
    <w:rsid w:val="00055BB1"/>
    <w:rsid w:val="000561C1"/>
    <w:rsid w:val="00057289"/>
    <w:rsid w:val="00057294"/>
    <w:rsid w:val="00057B7C"/>
    <w:rsid w:val="00057BB9"/>
    <w:rsid w:val="00057EF6"/>
    <w:rsid w:val="00060695"/>
    <w:rsid w:val="00060D4F"/>
    <w:rsid w:val="00060DE0"/>
    <w:rsid w:val="000613A1"/>
    <w:rsid w:val="00061777"/>
    <w:rsid w:val="000628CD"/>
    <w:rsid w:val="00063A14"/>
    <w:rsid w:val="00063D68"/>
    <w:rsid w:val="00064589"/>
    <w:rsid w:val="00064A04"/>
    <w:rsid w:val="00064AF4"/>
    <w:rsid w:val="00064DF0"/>
    <w:rsid w:val="00064FEA"/>
    <w:rsid w:val="00065959"/>
    <w:rsid w:val="00065A1E"/>
    <w:rsid w:val="00065C8C"/>
    <w:rsid w:val="00066368"/>
    <w:rsid w:val="00066C83"/>
    <w:rsid w:val="000673A5"/>
    <w:rsid w:val="0007021B"/>
    <w:rsid w:val="00070238"/>
    <w:rsid w:val="0007057D"/>
    <w:rsid w:val="0007072D"/>
    <w:rsid w:val="000716D3"/>
    <w:rsid w:val="000721AB"/>
    <w:rsid w:val="000753B5"/>
    <w:rsid w:val="000755CA"/>
    <w:rsid w:val="00075A13"/>
    <w:rsid w:val="00075AAB"/>
    <w:rsid w:val="00075E45"/>
    <w:rsid w:val="000768E6"/>
    <w:rsid w:val="00076BF6"/>
    <w:rsid w:val="00076D16"/>
    <w:rsid w:val="00077599"/>
    <w:rsid w:val="00077721"/>
    <w:rsid w:val="000801C2"/>
    <w:rsid w:val="0008162A"/>
    <w:rsid w:val="00081F9D"/>
    <w:rsid w:val="0008266A"/>
    <w:rsid w:val="00082BEE"/>
    <w:rsid w:val="00082C27"/>
    <w:rsid w:val="00083495"/>
    <w:rsid w:val="00083523"/>
    <w:rsid w:val="00083756"/>
    <w:rsid w:val="00084427"/>
    <w:rsid w:val="000844AB"/>
    <w:rsid w:val="000846D2"/>
    <w:rsid w:val="00084A27"/>
    <w:rsid w:val="000850D4"/>
    <w:rsid w:val="00085281"/>
    <w:rsid w:val="00085A9C"/>
    <w:rsid w:val="00086C90"/>
    <w:rsid w:val="000876DD"/>
    <w:rsid w:val="00087DB4"/>
    <w:rsid w:val="000903FD"/>
    <w:rsid w:val="00090B4A"/>
    <w:rsid w:val="00090FA0"/>
    <w:rsid w:val="0009104F"/>
    <w:rsid w:val="0009184D"/>
    <w:rsid w:val="000918EC"/>
    <w:rsid w:val="00091F17"/>
    <w:rsid w:val="00092154"/>
    <w:rsid w:val="00092AB0"/>
    <w:rsid w:val="000935EC"/>
    <w:rsid w:val="0009376C"/>
    <w:rsid w:val="000937ED"/>
    <w:rsid w:val="00093A9A"/>
    <w:rsid w:val="000943E8"/>
    <w:rsid w:val="00094A8A"/>
    <w:rsid w:val="0009551A"/>
    <w:rsid w:val="00095B96"/>
    <w:rsid w:val="00095D79"/>
    <w:rsid w:val="00095E85"/>
    <w:rsid w:val="00095F4A"/>
    <w:rsid w:val="00096BB6"/>
    <w:rsid w:val="00097589"/>
    <w:rsid w:val="0009799B"/>
    <w:rsid w:val="00097C02"/>
    <w:rsid w:val="000A0238"/>
    <w:rsid w:val="000A081A"/>
    <w:rsid w:val="000A09F4"/>
    <w:rsid w:val="000A179A"/>
    <w:rsid w:val="000A1985"/>
    <w:rsid w:val="000A2470"/>
    <w:rsid w:val="000A24AB"/>
    <w:rsid w:val="000A2535"/>
    <w:rsid w:val="000A2ED3"/>
    <w:rsid w:val="000A38B0"/>
    <w:rsid w:val="000A393C"/>
    <w:rsid w:val="000A4104"/>
    <w:rsid w:val="000A44E6"/>
    <w:rsid w:val="000A50EE"/>
    <w:rsid w:val="000A58ED"/>
    <w:rsid w:val="000A68C5"/>
    <w:rsid w:val="000A6D74"/>
    <w:rsid w:val="000A70D8"/>
    <w:rsid w:val="000A740A"/>
    <w:rsid w:val="000A7CD0"/>
    <w:rsid w:val="000B0081"/>
    <w:rsid w:val="000B16E9"/>
    <w:rsid w:val="000B2357"/>
    <w:rsid w:val="000B2560"/>
    <w:rsid w:val="000B25C2"/>
    <w:rsid w:val="000B2A16"/>
    <w:rsid w:val="000B2C3F"/>
    <w:rsid w:val="000B30B7"/>
    <w:rsid w:val="000B332F"/>
    <w:rsid w:val="000B35AD"/>
    <w:rsid w:val="000B445B"/>
    <w:rsid w:val="000B4DB6"/>
    <w:rsid w:val="000B4E32"/>
    <w:rsid w:val="000B4F74"/>
    <w:rsid w:val="000B5135"/>
    <w:rsid w:val="000B52EE"/>
    <w:rsid w:val="000B57AE"/>
    <w:rsid w:val="000B5C09"/>
    <w:rsid w:val="000B62CE"/>
    <w:rsid w:val="000B68E4"/>
    <w:rsid w:val="000B762F"/>
    <w:rsid w:val="000B781A"/>
    <w:rsid w:val="000B7AF7"/>
    <w:rsid w:val="000B7C68"/>
    <w:rsid w:val="000C178C"/>
    <w:rsid w:val="000C1C65"/>
    <w:rsid w:val="000C300F"/>
    <w:rsid w:val="000C3285"/>
    <w:rsid w:val="000C4116"/>
    <w:rsid w:val="000C43FD"/>
    <w:rsid w:val="000C5393"/>
    <w:rsid w:val="000C5CAA"/>
    <w:rsid w:val="000C5E78"/>
    <w:rsid w:val="000C5E98"/>
    <w:rsid w:val="000C660F"/>
    <w:rsid w:val="000C682C"/>
    <w:rsid w:val="000C79BC"/>
    <w:rsid w:val="000C7C40"/>
    <w:rsid w:val="000D04E8"/>
    <w:rsid w:val="000D0A2C"/>
    <w:rsid w:val="000D0AA1"/>
    <w:rsid w:val="000D0F81"/>
    <w:rsid w:val="000D107C"/>
    <w:rsid w:val="000D1862"/>
    <w:rsid w:val="000D1A21"/>
    <w:rsid w:val="000D1A61"/>
    <w:rsid w:val="000D2D12"/>
    <w:rsid w:val="000D305F"/>
    <w:rsid w:val="000D306F"/>
    <w:rsid w:val="000D3FCE"/>
    <w:rsid w:val="000D42AB"/>
    <w:rsid w:val="000D455C"/>
    <w:rsid w:val="000D4D64"/>
    <w:rsid w:val="000D5F9C"/>
    <w:rsid w:val="000D675D"/>
    <w:rsid w:val="000D73C1"/>
    <w:rsid w:val="000D73CC"/>
    <w:rsid w:val="000D79A6"/>
    <w:rsid w:val="000D7F7F"/>
    <w:rsid w:val="000E03B1"/>
    <w:rsid w:val="000E08AD"/>
    <w:rsid w:val="000E095D"/>
    <w:rsid w:val="000E0CC6"/>
    <w:rsid w:val="000E14CC"/>
    <w:rsid w:val="000E14F0"/>
    <w:rsid w:val="000E160B"/>
    <w:rsid w:val="000E195F"/>
    <w:rsid w:val="000E1BE2"/>
    <w:rsid w:val="000E1CA3"/>
    <w:rsid w:val="000E22FA"/>
    <w:rsid w:val="000E38A6"/>
    <w:rsid w:val="000E47E2"/>
    <w:rsid w:val="000E4DA7"/>
    <w:rsid w:val="000E4F56"/>
    <w:rsid w:val="000E540E"/>
    <w:rsid w:val="000E54F6"/>
    <w:rsid w:val="000E6837"/>
    <w:rsid w:val="000E6F9B"/>
    <w:rsid w:val="000E7B16"/>
    <w:rsid w:val="000F0F3A"/>
    <w:rsid w:val="000F251A"/>
    <w:rsid w:val="000F290B"/>
    <w:rsid w:val="000F2BD7"/>
    <w:rsid w:val="000F2C12"/>
    <w:rsid w:val="000F3244"/>
    <w:rsid w:val="000F3456"/>
    <w:rsid w:val="000F34C2"/>
    <w:rsid w:val="000F4344"/>
    <w:rsid w:val="000F488C"/>
    <w:rsid w:val="000F531C"/>
    <w:rsid w:val="000F57D5"/>
    <w:rsid w:val="000F63AF"/>
    <w:rsid w:val="000F63EF"/>
    <w:rsid w:val="000F6830"/>
    <w:rsid w:val="000F766C"/>
    <w:rsid w:val="000F7E3B"/>
    <w:rsid w:val="000F7F56"/>
    <w:rsid w:val="0010042C"/>
    <w:rsid w:val="00100DA6"/>
    <w:rsid w:val="001015F4"/>
    <w:rsid w:val="00101B46"/>
    <w:rsid w:val="00101D5C"/>
    <w:rsid w:val="00103402"/>
    <w:rsid w:val="001035B8"/>
    <w:rsid w:val="00103A7F"/>
    <w:rsid w:val="00103BAD"/>
    <w:rsid w:val="001049D8"/>
    <w:rsid w:val="001055EA"/>
    <w:rsid w:val="001069AE"/>
    <w:rsid w:val="00106AF2"/>
    <w:rsid w:val="00106CDC"/>
    <w:rsid w:val="0010703C"/>
    <w:rsid w:val="00107B20"/>
    <w:rsid w:val="00107C9D"/>
    <w:rsid w:val="00110542"/>
    <w:rsid w:val="0011171F"/>
    <w:rsid w:val="00112BAB"/>
    <w:rsid w:val="00113A38"/>
    <w:rsid w:val="0011416E"/>
    <w:rsid w:val="00114195"/>
    <w:rsid w:val="0011450F"/>
    <w:rsid w:val="00114510"/>
    <w:rsid w:val="00114C05"/>
    <w:rsid w:val="00114CED"/>
    <w:rsid w:val="00115B5B"/>
    <w:rsid w:val="00115D20"/>
    <w:rsid w:val="00115F31"/>
    <w:rsid w:val="00117870"/>
    <w:rsid w:val="00120275"/>
    <w:rsid w:val="00120511"/>
    <w:rsid w:val="00120858"/>
    <w:rsid w:val="0012099C"/>
    <w:rsid w:val="00120ECB"/>
    <w:rsid w:val="00121F86"/>
    <w:rsid w:val="001220D5"/>
    <w:rsid w:val="00123285"/>
    <w:rsid w:val="001238FB"/>
    <w:rsid w:val="00123C36"/>
    <w:rsid w:val="0012477B"/>
    <w:rsid w:val="00124B37"/>
    <w:rsid w:val="00124ECD"/>
    <w:rsid w:val="00125CDB"/>
    <w:rsid w:val="00126193"/>
    <w:rsid w:val="00126285"/>
    <w:rsid w:val="001265D8"/>
    <w:rsid w:val="001270A8"/>
    <w:rsid w:val="0012762F"/>
    <w:rsid w:val="00127D03"/>
    <w:rsid w:val="001301A7"/>
    <w:rsid w:val="0013055F"/>
    <w:rsid w:val="00130965"/>
    <w:rsid w:val="00130A0C"/>
    <w:rsid w:val="00130C24"/>
    <w:rsid w:val="00130D84"/>
    <w:rsid w:val="00131CEF"/>
    <w:rsid w:val="00131D64"/>
    <w:rsid w:val="00132146"/>
    <w:rsid w:val="00133803"/>
    <w:rsid w:val="00133C65"/>
    <w:rsid w:val="00134AEA"/>
    <w:rsid w:val="00134DB0"/>
    <w:rsid w:val="0013589C"/>
    <w:rsid w:val="00135931"/>
    <w:rsid w:val="0013628D"/>
    <w:rsid w:val="00136805"/>
    <w:rsid w:val="001372A6"/>
    <w:rsid w:val="00137566"/>
    <w:rsid w:val="00137D1C"/>
    <w:rsid w:val="00140FEA"/>
    <w:rsid w:val="00141275"/>
    <w:rsid w:val="001414D8"/>
    <w:rsid w:val="001414E1"/>
    <w:rsid w:val="001415D2"/>
    <w:rsid w:val="001415FE"/>
    <w:rsid w:val="00141817"/>
    <w:rsid w:val="00142D00"/>
    <w:rsid w:val="00143CF5"/>
    <w:rsid w:val="00143CFC"/>
    <w:rsid w:val="0014501C"/>
    <w:rsid w:val="001458A1"/>
    <w:rsid w:val="00146425"/>
    <w:rsid w:val="00146602"/>
    <w:rsid w:val="0015077C"/>
    <w:rsid w:val="00150887"/>
    <w:rsid w:val="00150B67"/>
    <w:rsid w:val="00150E35"/>
    <w:rsid w:val="00151276"/>
    <w:rsid w:val="001519A1"/>
    <w:rsid w:val="00152916"/>
    <w:rsid w:val="00152958"/>
    <w:rsid w:val="00152996"/>
    <w:rsid w:val="00152DC4"/>
    <w:rsid w:val="00153076"/>
    <w:rsid w:val="00153EF8"/>
    <w:rsid w:val="001541CB"/>
    <w:rsid w:val="00154C3D"/>
    <w:rsid w:val="001558F3"/>
    <w:rsid w:val="00155B35"/>
    <w:rsid w:val="00155D7A"/>
    <w:rsid w:val="00156250"/>
    <w:rsid w:val="001564ED"/>
    <w:rsid w:val="00156FDB"/>
    <w:rsid w:val="00157197"/>
    <w:rsid w:val="0015757A"/>
    <w:rsid w:val="00157604"/>
    <w:rsid w:val="00157FC4"/>
    <w:rsid w:val="00160590"/>
    <w:rsid w:val="00160998"/>
    <w:rsid w:val="00160AE8"/>
    <w:rsid w:val="00160CAB"/>
    <w:rsid w:val="00162330"/>
    <w:rsid w:val="00162A5A"/>
    <w:rsid w:val="00162F67"/>
    <w:rsid w:val="001635A4"/>
    <w:rsid w:val="00163A95"/>
    <w:rsid w:val="00163AFB"/>
    <w:rsid w:val="0016475D"/>
    <w:rsid w:val="00165134"/>
    <w:rsid w:val="001656E1"/>
    <w:rsid w:val="00165BDD"/>
    <w:rsid w:val="0016611B"/>
    <w:rsid w:val="001667E0"/>
    <w:rsid w:val="00166A8D"/>
    <w:rsid w:val="00167518"/>
    <w:rsid w:val="00167767"/>
    <w:rsid w:val="00167CF0"/>
    <w:rsid w:val="00167F0F"/>
    <w:rsid w:val="001701A0"/>
    <w:rsid w:val="0017097E"/>
    <w:rsid w:val="00170F73"/>
    <w:rsid w:val="001712C6"/>
    <w:rsid w:val="00171AB0"/>
    <w:rsid w:val="00172307"/>
    <w:rsid w:val="0017285F"/>
    <w:rsid w:val="00172CE0"/>
    <w:rsid w:val="0017363D"/>
    <w:rsid w:val="00173ADB"/>
    <w:rsid w:val="0017411C"/>
    <w:rsid w:val="0017548E"/>
    <w:rsid w:val="0017585E"/>
    <w:rsid w:val="0017603A"/>
    <w:rsid w:val="00177468"/>
    <w:rsid w:val="00180AC8"/>
    <w:rsid w:val="001813E7"/>
    <w:rsid w:val="00181BFA"/>
    <w:rsid w:val="00181C37"/>
    <w:rsid w:val="00182352"/>
    <w:rsid w:val="0018238A"/>
    <w:rsid w:val="00182D2F"/>
    <w:rsid w:val="00184CA7"/>
    <w:rsid w:val="0018547A"/>
    <w:rsid w:val="0018662C"/>
    <w:rsid w:val="001867F7"/>
    <w:rsid w:val="001872D6"/>
    <w:rsid w:val="0018787F"/>
    <w:rsid w:val="00187D8D"/>
    <w:rsid w:val="001907D2"/>
    <w:rsid w:val="001908BA"/>
    <w:rsid w:val="00190C54"/>
    <w:rsid w:val="00191808"/>
    <w:rsid w:val="0019186D"/>
    <w:rsid w:val="001924BF"/>
    <w:rsid w:val="00193F02"/>
    <w:rsid w:val="0019457D"/>
    <w:rsid w:val="0019466D"/>
    <w:rsid w:val="00194C31"/>
    <w:rsid w:val="0019532B"/>
    <w:rsid w:val="0019596D"/>
    <w:rsid w:val="00195B80"/>
    <w:rsid w:val="00195C7C"/>
    <w:rsid w:val="00195ED9"/>
    <w:rsid w:val="00195F8E"/>
    <w:rsid w:val="001962F1"/>
    <w:rsid w:val="00196510"/>
    <w:rsid w:val="00196703"/>
    <w:rsid w:val="0019699D"/>
    <w:rsid w:val="001979EC"/>
    <w:rsid w:val="001A0914"/>
    <w:rsid w:val="001A0A38"/>
    <w:rsid w:val="001A0CBA"/>
    <w:rsid w:val="001A0F64"/>
    <w:rsid w:val="001A16B8"/>
    <w:rsid w:val="001A1DEE"/>
    <w:rsid w:val="001A1F47"/>
    <w:rsid w:val="001A2651"/>
    <w:rsid w:val="001A2CDA"/>
    <w:rsid w:val="001A2F41"/>
    <w:rsid w:val="001A391D"/>
    <w:rsid w:val="001A3CA9"/>
    <w:rsid w:val="001A3E6F"/>
    <w:rsid w:val="001A4227"/>
    <w:rsid w:val="001A4C67"/>
    <w:rsid w:val="001A4E8D"/>
    <w:rsid w:val="001A569C"/>
    <w:rsid w:val="001A5825"/>
    <w:rsid w:val="001A5CEB"/>
    <w:rsid w:val="001A6356"/>
    <w:rsid w:val="001A645B"/>
    <w:rsid w:val="001A69D9"/>
    <w:rsid w:val="001A7658"/>
    <w:rsid w:val="001A7DB3"/>
    <w:rsid w:val="001B0882"/>
    <w:rsid w:val="001B1373"/>
    <w:rsid w:val="001B1451"/>
    <w:rsid w:val="001B1D15"/>
    <w:rsid w:val="001B2431"/>
    <w:rsid w:val="001B2BFA"/>
    <w:rsid w:val="001B2E9F"/>
    <w:rsid w:val="001B3315"/>
    <w:rsid w:val="001B427D"/>
    <w:rsid w:val="001B5FF2"/>
    <w:rsid w:val="001B70F5"/>
    <w:rsid w:val="001B7555"/>
    <w:rsid w:val="001B755D"/>
    <w:rsid w:val="001C12A3"/>
    <w:rsid w:val="001C1F2B"/>
    <w:rsid w:val="001C2C22"/>
    <w:rsid w:val="001C2C2A"/>
    <w:rsid w:val="001C3CD2"/>
    <w:rsid w:val="001C44B0"/>
    <w:rsid w:val="001C5258"/>
    <w:rsid w:val="001C617E"/>
    <w:rsid w:val="001C6775"/>
    <w:rsid w:val="001C6C09"/>
    <w:rsid w:val="001C6E66"/>
    <w:rsid w:val="001C6E6C"/>
    <w:rsid w:val="001C735E"/>
    <w:rsid w:val="001C7F1E"/>
    <w:rsid w:val="001D09D5"/>
    <w:rsid w:val="001D0EB6"/>
    <w:rsid w:val="001D1039"/>
    <w:rsid w:val="001D14AB"/>
    <w:rsid w:val="001D15C8"/>
    <w:rsid w:val="001D1A31"/>
    <w:rsid w:val="001D1B6D"/>
    <w:rsid w:val="001D3CFF"/>
    <w:rsid w:val="001D4936"/>
    <w:rsid w:val="001D4999"/>
    <w:rsid w:val="001D4FB1"/>
    <w:rsid w:val="001D5060"/>
    <w:rsid w:val="001D53CB"/>
    <w:rsid w:val="001D6447"/>
    <w:rsid w:val="001D69B0"/>
    <w:rsid w:val="001D6BE8"/>
    <w:rsid w:val="001D6D84"/>
    <w:rsid w:val="001D7244"/>
    <w:rsid w:val="001D7602"/>
    <w:rsid w:val="001D7771"/>
    <w:rsid w:val="001D7DA2"/>
    <w:rsid w:val="001D7F40"/>
    <w:rsid w:val="001D7FDD"/>
    <w:rsid w:val="001E036C"/>
    <w:rsid w:val="001E0BD3"/>
    <w:rsid w:val="001E0C93"/>
    <w:rsid w:val="001E0F18"/>
    <w:rsid w:val="001E1F41"/>
    <w:rsid w:val="001E2552"/>
    <w:rsid w:val="001E29CD"/>
    <w:rsid w:val="001E2BA4"/>
    <w:rsid w:val="001E2CB8"/>
    <w:rsid w:val="001E35DC"/>
    <w:rsid w:val="001E3863"/>
    <w:rsid w:val="001E3922"/>
    <w:rsid w:val="001E3C99"/>
    <w:rsid w:val="001E3D43"/>
    <w:rsid w:val="001E4231"/>
    <w:rsid w:val="001E4A75"/>
    <w:rsid w:val="001E4D39"/>
    <w:rsid w:val="001E578A"/>
    <w:rsid w:val="001E6EE4"/>
    <w:rsid w:val="001E74D0"/>
    <w:rsid w:val="001E780C"/>
    <w:rsid w:val="001F0994"/>
    <w:rsid w:val="001F0AEC"/>
    <w:rsid w:val="001F0C26"/>
    <w:rsid w:val="001F1053"/>
    <w:rsid w:val="001F3011"/>
    <w:rsid w:val="001F52E0"/>
    <w:rsid w:val="001F539C"/>
    <w:rsid w:val="001F5573"/>
    <w:rsid w:val="001F56D2"/>
    <w:rsid w:val="001F5B2E"/>
    <w:rsid w:val="001F67B1"/>
    <w:rsid w:val="001F697F"/>
    <w:rsid w:val="001F7084"/>
    <w:rsid w:val="00200497"/>
    <w:rsid w:val="00201A2A"/>
    <w:rsid w:val="00201C5F"/>
    <w:rsid w:val="00202409"/>
    <w:rsid w:val="002038DA"/>
    <w:rsid w:val="00203972"/>
    <w:rsid w:val="00203D76"/>
    <w:rsid w:val="0020420B"/>
    <w:rsid w:val="00204500"/>
    <w:rsid w:val="00204A58"/>
    <w:rsid w:val="00205109"/>
    <w:rsid w:val="00205403"/>
    <w:rsid w:val="0020554C"/>
    <w:rsid w:val="00205CA8"/>
    <w:rsid w:val="0020620D"/>
    <w:rsid w:val="00206547"/>
    <w:rsid w:val="00206716"/>
    <w:rsid w:val="00206A84"/>
    <w:rsid w:val="00206C02"/>
    <w:rsid w:val="00207359"/>
    <w:rsid w:val="002079C2"/>
    <w:rsid w:val="0021051A"/>
    <w:rsid w:val="00210A2C"/>
    <w:rsid w:val="002112B9"/>
    <w:rsid w:val="00211939"/>
    <w:rsid w:val="00211D60"/>
    <w:rsid w:val="00212285"/>
    <w:rsid w:val="00212C59"/>
    <w:rsid w:val="00213152"/>
    <w:rsid w:val="002133B6"/>
    <w:rsid w:val="00213503"/>
    <w:rsid w:val="00214884"/>
    <w:rsid w:val="002161A9"/>
    <w:rsid w:val="002163CD"/>
    <w:rsid w:val="002165E6"/>
    <w:rsid w:val="002167DF"/>
    <w:rsid w:val="002169A3"/>
    <w:rsid w:val="0022117A"/>
    <w:rsid w:val="00221ADA"/>
    <w:rsid w:val="00222238"/>
    <w:rsid w:val="0022290D"/>
    <w:rsid w:val="00222B1B"/>
    <w:rsid w:val="002235D0"/>
    <w:rsid w:val="00223771"/>
    <w:rsid w:val="00223839"/>
    <w:rsid w:val="00223AB1"/>
    <w:rsid w:val="00224038"/>
    <w:rsid w:val="00224708"/>
    <w:rsid w:val="00224DD7"/>
    <w:rsid w:val="00224E60"/>
    <w:rsid w:val="002258EC"/>
    <w:rsid w:val="00227154"/>
    <w:rsid w:val="00227B9E"/>
    <w:rsid w:val="00227DC2"/>
    <w:rsid w:val="00230124"/>
    <w:rsid w:val="00230139"/>
    <w:rsid w:val="00230511"/>
    <w:rsid w:val="00230A24"/>
    <w:rsid w:val="00232589"/>
    <w:rsid w:val="0023295B"/>
    <w:rsid w:val="00232CDA"/>
    <w:rsid w:val="00232F25"/>
    <w:rsid w:val="00233787"/>
    <w:rsid w:val="00233E4C"/>
    <w:rsid w:val="002341E9"/>
    <w:rsid w:val="00234536"/>
    <w:rsid w:val="00234CE1"/>
    <w:rsid w:val="00234F2B"/>
    <w:rsid w:val="00234FC6"/>
    <w:rsid w:val="0023560D"/>
    <w:rsid w:val="00236083"/>
    <w:rsid w:val="00236889"/>
    <w:rsid w:val="00236C12"/>
    <w:rsid w:val="00237D9F"/>
    <w:rsid w:val="002400F9"/>
    <w:rsid w:val="002402B8"/>
    <w:rsid w:val="002404DA"/>
    <w:rsid w:val="00241192"/>
    <w:rsid w:val="00241730"/>
    <w:rsid w:val="00241D55"/>
    <w:rsid w:val="002428B1"/>
    <w:rsid w:val="00242A0C"/>
    <w:rsid w:val="00242D6E"/>
    <w:rsid w:val="00243210"/>
    <w:rsid w:val="002432B3"/>
    <w:rsid w:val="00243C5D"/>
    <w:rsid w:val="00243F76"/>
    <w:rsid w:val="00244835"/>
    <w:rsid w:val="00245A18"/>
    <w:rsid w:val="00245A53"/>
    <w:rsid w:val="00245F50"/>
    <w:rsid w:val="002466C6"/>
    <w:rsid w:val="002466D4"/>
    <w:rsid w:val="00247640"/>
    <w:rsid w:val="00247F39"/>
    <w:rsid w:val="002503DB"/>
    <w:rsid w:val="00250F81"/>
    <w:rsid w:val="002518A5"/>
    <w:rsid w:val="00252251"/>
    <w:rsid w:val="002524A0"/>
    <w:rsid w:val="00252D74"/>
    <w:rsid w:val="00252D88"/>
    <w:rsid w:val="002531FD"/>
    <w:rsid w:val="002539F3"/>
    <w:rsid w:val="0025448B"/>
    <w:rsid w:val="0025492B"/>
    <w:rsid w:val="00254BE3"/>
    <w:rsid w:val="00254EF0"/>
    <w:rsid w:val="00255144"/>
    <w:rsid w:val="0025536D"/>
    <w:rsid w:val="00256019"/>
    <w:rsid w:val="00256370"/>
    <w:rsid w:val="00256606"/>
    <w:rsid w:val="00256DC9"/>
    <w:rsid w:val="0025794C"/>
    <w:rsid w:val="002600E1"/>
    <w:rsid w:val="00260704"/>
    <w:rsid w:val="0026125A"/>
    <w:rsid w:val="002615E3"/>
    <w:rsid w:val="00261809"/>
    <w:rsid w:val="00261AC3"/>
    <w:rsid w:val="00262150"/>
    <w:rsid w:val="0026231C"/>
    <w:rsid w:val="00263A07"/>
    <w:rsid w:val="00263A1F"/>
    <w:rsid w:val="00264033"/>
    <w:rsid w:val="002640CE"/>
    <w:rsid w:val="0026502A"/>
    <w:rsid w:val="002656C5"/>
    <w:rsid w:val="00266252"/>
    <w:rsid w:val="00266A3B"/>
    <w:rsid w:val="00266C18"/>
    <w:rsid w:val="002700D3"/>
    <w:rsid w:val="00270378"/>
    <w:rsid w:val="002711BA"/>
    <w:rsid w:val="00271393"/>
    <w:rsid w:val="0027188A"/>
    <w:rsid w:val="002723C8"/>
    <w:rsid w:val="00272417"/>
    <w:rsid w:val="00272DA9"/>
    <w:rsid w:val="00272E14"/>
    <w:rsid w:val="0027361F"/>
    <w:rsid w:val="002737EA"/>
    <w:rsid w:val="00273B54"/>
    <w:rsid w:val="00273F4A"/>
    <w:rsid w:val="002744A8"/>
    <w:rsid w:val="00274858"/>
    <w:rsid w:val="00274B10"/>
    <w:rsid w:val="00274F6D"/>
    <w:rsid w:val="0027501C"/>
    <w:rsid w:val="0027568E"/>
    <w:rsid w:val="0027604E"/>
    <w:rsid w:val="00276989"/>
    <w:rsid w:val="00277206"/>
    <w:rsid w:val="00277602"/>
    <w:rsid w:val="0027789D"/>
    <w:rsid w:val="002778A5"/>
    <w:rsid w:val="002779B7"/>
    <w:rsid w:val="00277E16"/>
    <w:rsid w:val="00280285"/>
    <w:rsid w:val="00280531"/>
    <w:rsid w:val="00280541"/>
    <w:rsid w:val="002805A6"/>
    <w:rsid w:val="00280CF0"/>
    <w:rsid w:val="00280FA2"/>
    <w:rsid w:val="002810AE"/>
    <w:rsid w:val="0028159E"/>
    <w:rsid w:val="0028163E"/>
    <w:rsid w:val="00281CA5"/>
    <w:rsid w:val="00281FC6"/>
    <w:rsid w:val="00282042"/>
    <w:rsid w:val="00283033"/>
    <w:rsid w:val="0028304C"/>
    <w:rsid w:val="0028325C"/>
    <w:rsid w:val="0028344E"/>
    <w:rsid w:val="0028356F"/>
    <w:rsid w:val="00283902"/>
    <w:rsid w:val="00283C48"/>
    <w:rsid w:val="00284A7A"/>
    <w:rsid w:val="00284DEA"/>
    <w:rsid w:val="00284EBB"/>
    <w:rsid w:val="00284EC1"/>
    <w:rsid w:val="00285A80"/>
    <w:rsid w:val="00285C70"/>
    <w:rsid w:val="00285F5E"/>
    <w:rsid w:val="00286F22"/>
    <w:rsid w:val="0028709B"/>
    <w:rsid w:val="00287536"/>
    <w:rsid w:val="00287587"/>
    <w:rsid w:val="0029066A"/>
    <w:rsid w:val="00290CDD"/>
    <w:rsid w:val="00290E9B"/>
    <w:rsid w:val="002910EE"/>
    <w:rsid w:val="00291840"/>
    <w:rsid w:val="00292CF4"/>
    <w:rsid w:val="002930E5"/>
    <w:rsid w:val="0029315F"/>
    <w:rsid w:val="002936DF"/>
    <w:rsid w:val="00293D0A"/>
    <w:rsid w:val="0029446D"/>
    <w:rsid w:val="00294C65"/>
    <w:rsid w:val="00295E8F"/>
    <w:rsid w:val="00296B0F"/>
    <w:rsid w:val="00296D16"/>
    <w:rsid w:val="00296FBC"/>
    <w:rsid w:val="002974CA"/>
    <w:rsid w:val="002977F1"/>
    <w:rsid w:val="002978DA"/>
    <w:rsid w:val="002A01BB"/>
    <w:rsid w:val="002A0DF4"/>
    <w:rsid w:val="002A109A"/>
    <w:rsid w:val="002A1205"/>
    <w:rsid w:val="002A1234"/>
    <w:rsid w:val="002A13FF"/>
    <w:rsid w:val="002A1B35"/>
    <w:rsid w:val="002A243C"/>
    <w:rsid w:val="002A2493"/>
    <w:rsid w:val="002A24DA"/>
    <w:rsid w:val="002A2C34"/>
    <w:rsid w:val="002A2EE0"/>
    <w:rsid w:val="002A3BA5"/>
    <w:rsid w:val="002A3D95"/>
    <w:rsid w:val="002A4194"/>
    <w:rsid w:val="002A44E4"/>
    <w:rsid w:val="002A4507"/>
    <w:rsid w:val="002A4903"/>
    <w:rsid w:val="002A51FF"/>
    <w:rsid w:val="002A5304"/>
    <w:rsid w:val="002A56B6"/>
    <w:rsid w:val="002A64AF"/>
    <w:rsid w:val="002A6E8C"/>
    <w:rsid w:val="002A7516"/>
    <w:rsid w:val="002B0965"/>
    <w:rsid w:val="002B0A5C"/>
    <w:rsid w:val="002B0DA9"/>
    <w:rsid w:val="002B115B"/>
    <w:rsid w:val="002B1C28"/>
    <w:rsid w:val="002B35B9"/>
    <w:rsid w:val="002B3B97"/>
    <w:rsid w:val="002B45D7"/>
    <w:rsid w:val="002B7C91"/>
    <w:rsid w:val="002B7E53"/>
    <w:rsid w:val="002C11DF"/>
    <w:rsid w:val="002C1AEE"/>
    <w:rsid w:val="002C1FD8"/>
    <w:rsid w:val="002C25C9"/>
    <w:rsid w:val="002C2783"/>
    <w:rsid w:val="002C286C"/>
    <w:rsid w:val="002C2944"/>
    <w:rsid w:val="002C2A9E"/>
    <w:rsid w:val="002C340A"/>
    <w:rsid w:val="002C37AA"/>
    <w:rsid w:val="002C4567"/>
    <w:rsid w:val="002C4E62"/>
    <w:rsid w:val="002C505B"/>
    <w:rsid w:val="002C5668"/>
    <w:rsid w:val="002C5ED3"/>
    <w:rsid w:val="002C68D9"/>
    <w:rsid w:val="002C6947"/>
    <w:rsid w:val="002C697C"/>
    <w:rsid w:val="002C6AF5"/>
    <w:rsid w:val="002C6BAD"/>
    <w:rsid w:val="002C761E"/>
    <w:rsid w:val="002C765C"/>
    <w:rsid w:val="002C7EFC"/>
    <w:rsid w:val="002D0367"/>
    <w:rsid w:val="002D03CD"/>
    <w:rsid w:val="002D07EC"/>
    <w:rsid w:val="002D0EA6"/>
    <w:rsid w:val="002D12D3"/>
    <w:rsid w:val="002D17F8"/>
    <w:rsid w:val="002D1ACF"/>
    <w:rsid w:val="002D1AF5"/>
    <w:rsid w:val="002D1BE8"/>
    <w:rsid w:val="002D2054"/>
    <w:rsid w:val="002D2143"/>
    <w:rsid w:val="002D27CF"/>
    <w:rsid w:val="002D2E7E"/>
    <w:rsid w:val="002D3184"/>
    <w:rsid w:val="002D3AAB"/>
    <w:rsid w:val="002D3D14"/>
    <w:rsid w:val="002D3DC3"/>
    <w:rsid w:val="002D43AC"/>
    <w:rsid w:val="002D481F"/>
    <w:rsid w:val="002D5655"/>
    <w:rsid w:val="002D57BA"/>
    <w:rsid w:val="002D5C7C"/>
    <w:rsid w:val="002D5ED7"/>
    <w:rsid w:val="002D6BFC"/>
    <w:rsid w:val="002D6CAD"/>
    <w:rsid w:val="002D6F59"/>
    <w:rsid w:val="002D70DD"/>
    <w:rsid w:val="002D75C4"/>
    <w:rsid w:val="002D76DF"/>
    <w:rsid w:val="002D7A88"/>
    <w:rsid w:val="002E1291"/>
    <w:rsid w:val="002E24DF"/>
    <w:rsid w:val="002E27A9"/>
    <w:rsid w:val="002E3C32"/>
    <w:rsid w:val="002E47DA"/>
    <w:rsid w:val="002E4977"/>
    <w:rsid w:val="002E4C9B"/>
    <w:rsid w:val="002E5793"/>
    <w:rsid w:val="002E57D3"/>
    <w:rsid w:val="002E5DAC"/>
    <w:rsid w:val="002E606D"/>
    <w:rsid w:val="002E68EF"/>
    <w:rsid w:val="002E6FE4"/>
    <w:rsid w:val="002E749B"/>
    <w:rsid w:val="002E7B0F"/>
    <w:rsid w:val="002F0249"/>
    <w:rsid w:val="002F0362"/>
    <w:rsid w:val="002F0468"/>
    <w:rsid w:val="002F15C3"/>
    <w:rsid w:val="002F2B14"/>
    <w:rsid w:val="002F2CB8"/>
    <w:rsid w:val="002F36A1"/>
    <w:rsid w:val="002F3D5F"/>
    <w:rsid w:val="002F3FCB"/>
    <w:rsid w:val="002F485B"/>
    <w:rsid w:val="002F4933"/>
    <w:rsid w:val="002F4966"/>
    <w:rsid w:val="002F4A44"/>
    <w:rsid w:val="002F4A4A"/>
    <w:rsid w:val="002F4F22"/>
    <w:rsid w:val="002F581F"/>
    <w:rsid w:val="002F593A"/>
    <w:rsid w:val="002F5BD4"/>
    <w:rsid w:val="002F5D00"/>
    <w:rsid w:val="002F6094"/>
    <w:rsid w:val="002F6234"/>
    <w:rsid w:val="002F6980"/>
    <w:rsid w:val="002F7CA2"/>
    <w:rsid w:val="0030022D"/>
    <w:rsid w:val="00300A26"/>
    <w:rsid w:val="00300AF2"/>
    <w:rsid w:val="00300DA3"/>
    <w:rsid w:val="00301198"/>
    <w:rsid w:val="00301568"/>
    <w:rsid w:val="0030226C"/>
    <w:rsid w:val="00302BCE"/>
    <w:rsid w:val="00303179"/>
    <w:rsid w:val="00303CE6"/>
    <w:rsid w:val="00304BDA"/>
    <w:rsid w:val="003054F3"/>
    <w:rsid w:val="003056BD"/>
    <w:rsid w:val="00305B15"/>
    <w:rsid w:val="003062F0"/>
    <w:rsid w:val="003070EC"/>
    <w:rsid w:val="003076C2"/>
    <w:rsid w:val="00307786"/>
    <w:rsid w:val="00307DEB"/>
    <w:rsid w:val="0031065E"/>
    <w:rsid w:val="003108C0"/>
    <w:rsid w:val="00310DBA"/>
    <w:rsid w:val="00310F23"/>
    <w:rsid w:val="00311378"/>
    <w:rsid w:val="00311B73"/>
    <w:rsid w:val="00311CE8"/>
    <w:rsid w:val="00312521"/>
    <w:rsid w:val="00312625"/>
    <w:rsid w:val="003128FB"/>
    <w:rsid w:val="00312ADF"/>
    <w:rsid w:val="003133E3"/>
    <w:rsid w:val="00313A28"/>
    <w:rsid w:val="00313E22"/>
    <w:rsid w:val="00314302"/>
    <w:rsid w:val="0031494D"/>
    <w:rsid w:val="003149BB"/>
    <w:rsid w:val="00315172"/>
    <w:rsid w:val="00315AB1"/>
    <w:rsid w:val="00315D83"/>
    <w:rsid w:val="00316AA6"/>
    <w:rsid w:val="00317787"/>
    <w:rsid w:val="0031784E"/>
    <w:rsid w:val="00317E3D"/>
    <w:rsid w:val="00320210"/>
    <w:rsid w:val="00320973"/>
    <w:rsid w:val="00321009"/>
    <w:rsid w:val="00321492"/>
    <w:rsid w:val="00322011"/>
    <w:rsid w:val="0032338B"/>
    <w:rsid w:val="003236CC"/>
    <w:rsid w:val="003242A7"/>
    <w:rsid w:val="00324761"/>
    <w:rsid w:val="00324B17"/>
    <w:rsid w:val="00324BEF"/>
    <w:rsid w:val="00325068"/>
    <w:rsid w:val="00325D46"/>
    <w:rsid w:val="00327514"/>
    <w:rsid w:val="003275F3"/>
    <w:rsid w:val="00330348"/>
    <w:rsid w:val="00331E2F"/>
    <w:rsid w:val="00331F43"/>
    <w:rsid w:val="00332584"/>
    <w:rsid w:val="003327B0"/>
    <w:rsid w:val="00332D1A"/>
    <w:rsid w:val="0033311F"/>
    <w:rsid w:val="00333749"/>
    <w:rsid w:val="00333C1A"/>
    <w:rsid w:val="00333DE1"/>
    <w:rsid w:val="00334AC0"/>
    <w:rsid w:val="00335630"/>
    <w:rsid w:val="003359AE"/>
    <w:rsid w:val="00336D94"/>
    <w:rsid w:val="00336E76"/>
    <w:rsid w:val="00336E8F"/>
    <w:rsid w:val="003374B1"/>
    <w:rsid w:val="003376E5"/>
    <w:rsid w:val="00337720"/>
    <w:rsid w:val="00337BE4"/>
    <w:rsid w:val="00337C2C"/>
    <w:rsid w:val="00337D7A"/>
    <w:rsid w:val="0034025D"/>
    <w:rsid w:val="0034051A"/>
    <w:rsid w:val="003407E3"/>
    <w:rsid w:val="00340849"/>
    <w:rsid w:val="003411AB"/>
    <w:rsid w:val="003412F6"/>
    <w:rsid w:val="00342305"/>
    <w:rsid w:val="00342428"/>
    <w:rsid w:val="00342BE8"/>
    <w:rsid w:val="00342C11"/>
    <w:rsid w:val="0034349F"/>
    <w:rsid w:val="00343792"/>
    <w:rsid w:val="00344EF3"/>
    <w:rsid w:val="00345279"/>
    <w:rsid w:val="0034545C"/>
    <w:rsid w:val="00347990"/>
    <w:rsid w:val="00350C64"/>
    <w:rsid w:val="00351657"/>
    <w:rsid w:val="0035297C"/>
    <w:rsid w:val="00352A33"/>
    <w:rsid w:val="00352B8D"/>
    <w:rsid w:val="00352F58"/>
    <w:rsid w:val="00353156"/>
    <w:rsid w:val="00353166"/>
    <w:rsid w:val="00353A34"/>
    <w:rsid w:val="00353A3F"/>
    <w:rsid w:val="00353E4F"/>
    <w:rsid w:val="00354A25"/>
    <w:rsid w:val="0035521D"/>
    <w:rsid w:val="0035549E"/>
    <w:rsid w:val="00355E6F"/>
    <w:rsid w:val="003564C6"/>
    <w:rsid w:val="003564D8"/>
    <w:rsid w:val="003567D2"/>
    <w:rsid w:val="0035680C"/>
    <w:rsid w:val="003569FF"/>
    <w:rsid w:val="0035794B"/>
    <w:rsid w:val="003579E4"/>
    <w:rsid w:val="00357DA5"/>
    <w:rsid w:val="00360017"/>
    <w:rsid w:val="0036033E"/>
    <w:rsid w:val="003603FA"/>
    <w:rsid w:val="00360633"/>
    <w:rsid w:val="0036161C"/>
    <w:rsid w:val="003635A2"/>
    <w:rsid w:val="003645CD"/>
    <w:rsid w:val="00364B99"/>
    <w:rsid w:val="00364D4B"/>
    <w:rsid w:val="00365E56"/>
    <w:rsid w:val="003660A7"/>
    <w:rsid w:val="00366782"/>
    <w:rsid w:val="00367163"/>
    <w:rsid w:val="003673C3"/>
    <w:rsid w:val="00367D5B"/>
    <w:rsid w:val="0037051E"/>
    <w:rsid w:val="0037079F"/>
    <w:rsid w:val="00371408"/>
    <w:rsid w:val="003729F6"/>
    <w:rsid w:val="00372D8B"/>
    <w:rsid w:val="00372E13"/>
    <w:rsid w:val="003735C4"/>
    <w:rsid w:val="00373F8C"/>
    <w:rsid w:val="00374E8C"/>
    <w:rsid w:val="003753F0"/>
    <w:rsid w:val="003757C0"/>
    <w:rsid w:val="00375EB8"/>
    <w:rsid w:val="0037675E"/>
    <w:rsid w:val="00376B9B"/>
    <w:rsid w:val="0037700F"/>
    <w:rsid w:val="00377722"/>
    <w:rsid w:val="003778C5"/>
    <w:rsid w:val="00377C89"/>
    <w:rsid w:val="0038077C"/>
    <w:rsid w:val="00381301"/>
    <w:rsid w:val="00381653"/>
    <w:rsid w:val="00381F7F"/>
    <w:rsid w:val="00382546"/>
    <w:rsid w:val="00382567"/>
    <w:rsid w:val="00382CF9"/>
    <w:rsid w:val="00383DEC"/>
    <w:rsid w:val="00383FF8"/>
    <w:rsid w:val="00384064"/>
    <w:rsid w:val="00384E5A"/>
    <w:rsid w:val="00386919"/>
    <w:rsid w:val="00386A06"/>
    <w:rsid w:val="003871C4"/>
    <w:rsid w:val="00387C31"/>
    <w:rsid w:val="00390034"/>
    <w:rsid w:val="003909F3"/>
    <w:rsid w:val="00390BD5"/>
    <w:rsid w:val="003914A8"/>
    <w:rsid w:val="00391C8C"/>
    <w:rsid w:val="00391EE7"/>
    <w:rsid w:val="00392221"/>
    <w:rsid w:val="00392905"/>
    <w:rsid w:val="0039513B"/>
    <w:rsid w:val="003955CB"/>
    <w:rsid w:val="00395725"/>
    <w:rsid w:val="00395814"/>
    <w:rsid w:val="00395981"/>
    <w:rsid w:val="00396288"/>
    <w:rsid w:val="003A004F"/>
    <w:rsid w:val="003A008B"/>
    <w:rsid w:val="003A030F"/>
    <w:rsid w:val="003A04BF"/>
    <w:rsid w:val="003A091A"/>
    <w:rsid w:val="003A09D9"/>
    <w:rsid w:val="003A112F"/>
    <w:rsid w:val="003A1250"/>
    <w:rsid w:val="003A165F"/>
    <w:rsid w:val="003A1BCB"/>
    <w:rsid w:val="003A266B"/>
    <w:rsid w:val="003A27B5"/>
    <w:rsid w:val="003A32F1"/>
    <w:rsid w:val="003A3FB7"/>
    <w:rsid w:val="003A4046"/>
    <w:rsid w:val="003A44B6"/>
    <w:rsid w:val="003A532A"/>
    <w:rsid w:val="003A5A1B"/>
    <w:rsid w:val="003A5BDE"/>
    <w:rsid w:val="003A6418"/>
    <w:rsid w:val="003A7786"/>
    <w:rsid w:val="003A77CB"/>
    <w:rsid w:val="003A7946"/>
    <w:rsid w:val="003B0DCE"/>
    <w:rsid w:val="003B201E"/>
    <w:rsid w:val="003B21F3"/>
    <w:rsid w:val="003B275F"/>
    <w:rsid w:val="003B2B88"/>
    <w:rsid w:val="003B3629"/>
    <w:rsid w:val="003B42AD"/>
    <w:rsid w:val="003B5397"/>
    <w:rsid w:val="003B5481"/>
    <w:rsid w:val="003B5834"/>
    <w:rsid w:val="003B629E"/>
    <w:rsid w:val="003B6535"/>
    <w:rsid w:val="003B667F"/>
    <w:rsid w:val="003B7222"/>
    <w:rsid w:val="003B7503"/>
    <w:rsid w:val="003B761F"/>
    <w:rsid w:val="003B79ED"/>
    <w:rsid w:val="003C034B"/>
    <w:rsid w:val="003C091E"/>
    <w:rsid w:val="003C0DCB"/>
    <w:rsid w:val="003C29E0"/>
    <w:rsid w:val="003C3A8F"/>
    <w:rsid w:val="003C4A7E"/>
    <w:rsid w:val="003C4B69"/>
    <w:rsid w:val="003C53B5"/>
    <w:rsid w:val="003C58AC"/>
    <w:rsid w:val="003C5995"/>
    <w:rsid w:val="003C676E"/>
    <w:rsid w:val="003C67FD"/>
    <w:rsid w:val="003C7BFF"/>
    <w:rsid w:val="003C7E24"/>
    <w:rsid w:val="003C7E4E"/>
    <w:rsid w:val="003D066D"/>
    <w:rsid w:val="003D0770"/>
    <w:rsid w:val="003D11E9"/>
    <w:rsid w:val="003D2144"/>
    <w:rsid w:val="003D3036"/>
    <w:rsid w:val="003D3A80"/>
    <w:rsid w:val="003D3C95"/>
    <w:rsid w:val="003D43C6"/>
    <w:rsid w:val="003D44D1"/>
    <w:rsid w:val="003D4BAA"/>
    <w:rsid w:val="003D4F66"/>
    <w:rsid w:val="003D508F"/>
    <w:rsid w:val="003D529D"/>
    <w:rsid w:val="003D53AA"/>
    <w:rsid w:val="003D5AA4"/>
    <w:rsid w:val="003D5BCE"/>
    <w:rsid w:val="003D6391"/>
    <w:rsid w:val="003D6BAD"/>
    <w:rsid w:val="003D6F5B"/>
    <w:rsid w:val="003D7177"/>
    <w:rsid w:val="003D75E6"/>
    <w:rsid w:val="003E0897"/>
    <w:rsid w:val="003E0BA3"/>
    <w:rsid w:val="003E12EE"/>
    <w:rsid w:val="003E1383"/>
    <w:rsid w:val="003E29BE"/>
    <w:rsid w:val="003E5455"/>
    <w:rsid w:val="003E69C2"/>
    <w:rsid w:val="003E6AB7"/>
    <w:rsid w:val="003E73D1"/>
    <w:rsid w:val="003E7589"/>
    <w:rsid w:val="003E7DB7"/>
    <w:rsid w:val="003F05D7"/>
    <w:rsid w:val="003F073E"/>
    <w:rsid w:val="003F0930"/>
    <w:rsid w:val="003F1333"/>
    <w:rsid w:val="003F14C2"/>
    <w:rsid w:val="003F1B9F"/>
    <w:rsid w:val="003F1FCB"/>
    <w:rsid w:val="003F2143"/>
    <w:rsid w:val="003F2274"/>
    <w:rsid w:val="003F2927"/>
    <w:rsid w:val="003F3C39"/>
    <w:rsid w:val="003F404D"/>
    <w:rsid w:val="003F41CA"/>
    <w:rsid w:val="003F48D2"/>
    <w:rsid w:val="003F4CD8"/>
    <w:rsid w:val="003F4CDF"/>
    <w:rsid w:val="003F542D"/>
    <w:rsid w:val="003F573B"/>
    <w:rsid w:val="003F5CF9"/>
    <w:rsid w:val="003F5D4B"/>
    <w:rsid w:val="003F63F0"/>
    <w:rsid w:val="003F6523"/>
    <w:rsid w:val="003F66B8"/>
    <w:rsid w:val="003F7964"/>
    <w:rsid w:val="00400DD6"/>
    <w:rsid w:val="0040105B"/>
    <w:rsid w:val="00401230"/>
    <w:rsid w:val="004012AD"/>
    <w:rsid w:val="0040233C"/>
    <w:rsid w:val="004031A5"/>
    <w:rsid w:val="00403C9D"/>
    <w:rsid w:val="00404AB4"/>
    <w:rsid w:val="00405132"/>
    <w:rsid w:val="0040578B"/>
    <w:rsid w:val="00405ADA"/>
    <w:rsid w:val="00405BA4"/>
    <w:rsid w:val="00405E25"/>
    <w:rsid w:val="004066B9"/>
    <w:rsid w:val="00407691"/>
    <w:rsid w:val="004076EC"/>
    <w:rsid w:val="004077FD"/>
    <w:rsid w:val="0041090F"/>
    <w:rsid w:val="004109D4"/>
    <w:rsid w:val="00411645"/>
    <w:rsid w:val="00411678"/>
    <w:rsid w:val="00411DC7"/>
    <w:rsid w:val="00411FAF"/>
    <w:rsid w:val="00412526"/>
    <w:rsid w:val="004136CA"/>
    <w:rsid w:val="004149B2"/>
    <w:rsid w:val="00414EFD"/>
    <w:rsid w:val="004154E5"/>
    <w:rsid w:val="00415A82"/>
    <w:rsid w:val="00415F69"/>
    <w:rsid w:val="004162ED"/>
    <w:rsid w:val="004166EE"/>
    <w:rsid w:val="00416D38"/>
    <w:rsid w:val="0041757B"/>
    <w:rsid w:val="00417A0B"/>
    <w:rsid w:val="0042085A"/>
    <w:rsid w:val="00420B88"/>
    <w:rsid w:val="00420E8F"/>
    <w:rsid w:val="00420F4C"/>
    <w:rsid w:val="00421130"/>
    <w:rsid w:val="0042188C"/>
    <w:rsid w:val="00422E66"/>
    <w:rsid w:val="00423116"/>
    <w:rsid w:val="004239CA"/>
    <w:rsid w:val="004239FA"/>
    <w:rsid w:val="004244C4"/>
    <w:rsid w:val="004247DF"/>
    <w:rsid w:val="00424DD9"/>
    <w:rsid w:val="0042579F"/>
    <w:rsid w:val="00426809"/>
    <w:rsid w:val="00426851"/>
    <w:rsid w:val="00426908"/>
    <w:rsid w:val="00426CD1"/>
    <w:rsid w:val="00426CD9"/>
    <w:rsid w:val="00426D2D"/>
    <w:rsid w:val="00427650"/>
    <w:rsid w:val="00427AB3"/>
    <w:rsid w:val="00427D2B"/>
    <w:rsid w:val="0043066E"/>
    <w:rsid w:val="00430DC4"/>
    <w:rsid w:val="0043142B"/>
    <w:rsid w:val="00431480"/>
    <w:rsid w:val="0043195F"/>
    <w:rsid w:val="00431C5C"/>
    <w:rsid w:val="00431FEA"/>
    <w:rsid w:val="0043249E"/>
    <w:rsid w:val="004337DF"/>
    <w:rsid w:val="00433934"/>
    <w:rsid w:val="0043398A"/>
    <w:rsid w:val="00434008"/>
    <w:rsid w:val="004343D5"/>
    <w:rsid w:val="004350A8"/>
    <w:rsid w:val="004354A6"/>
    <w:rsid w:val="00435C5F"/>
    <w:rsid w:val="00436BFE"/>
    <w:rsid w:val="004373C6"/>
    <w:rsid w:val="0043765F"/>
    <w:rsid w:val="0044037E"/>
    <w:rsid w:val="00440421"/>
    <w:rsid w:val="0044056B"/>
    <w:rsid w:val="00440F1E"/>
    <w:rsid w:val="00441B12"/>
    <w:rsid w:val="00441FFA"/>
    <w:rsid w:val="0044267D"/>
    <w:rsid w:val="00442751"/>
    <w:rsid w:val="00442BFC"/>
    <w:rsid w:val="0044336E"/>
    <w:rsid w:val="0044404E"/>
    <w:rsid w:val="004451D4"/>
    <w:rsid w:val="0044524C"/>
    <w:rsid w:val="004454E4"/>
    <w:rsid w:val="00445D2B"/>
    <w:rsid w:val="00445E3B"/>
    <w:rsid w:val="00447056"/>
    <w:rsid w:val="0044754B"/>
    <w:rsid w:val="0044793C"/>
    <w:rsid w:val="00447EFD"/>
    <w:rsid w:val="004500E4"/>
    <w:rsid w:val="00450394"/>
    <w:rsid w:val="004505A9"/>
    <w:rsid w:val="00450603"/>
    <w:rsid w:val="00451823"/>
    <w:rsid w:val="00451A4A"/>
    <w:rsid w:val="00451B60"/>
    <w:rsid w:val="00451D92"/>
    <w:rsid w:val="00451FC0"/>
    <w:rsid w:val="00452519"/>
    <w:rsid w:val="00452999"/>
    <w:rsid w:val="00452CB4"/>
    <w:rsid w:val="00452FAA"/>
    <w:rsid w:val="0045355A"/>
    <w:rsid w:val="00453C08"/>
    <w:rsid w:val="00453DB7"/>
    <w:rsid w:val="004549BB"/>
    <w:rsid w:val="00454F4C"/>
    <w:rsid w:val="004564B8"/>
    <w:rsid w:val="00456B26"/>
    <w:rsid w:val="00456C40"/>
    <w:rsid w:val="00456F9E"/>
    <w:rsid w:val="00456FC1"/>
    <w:rsid w:val="00457385"/>
    <w:rsid w:val="004575AD"/>
    <w:rsid w:val="004603B0"/>
    <w:rsid w:val="004620D8"/>
    <w:rsid w:val="00462CD4"/>
    <w:rsid w:val="00462DDB"/>
    <w:rsid w:val="00462DEA"/>
    <w:rsid w:val="00463062"/>
    <w:rsid w:val="0046336F"/>
    <w:rsid w:val="00463738"/>
    <w:rsid w:val="00463AD3"/>
    <w:rsid w:val="00464D8D"/>
    <w:rsid w:val="00465031"/>
    <w:rsid w:val="004652F3"/>
    <w:rsid w:val="004655E4"/>
    <w:rsid w:val="00465BEA"/>
    <w:rsid w:val="0046612B"/>
    <w:rsid w:val="00466385"/>
    <w:rsid w:val="00466D25"/>
    <w:rsid w:val="00467B46"/>
    <w:rsid w:val="00467E06"/>
    <w:rsid w:val="00467EF9"/>
    <w:rsid w:val="00470604"/>
    <w:rsid w:val="00470909"/>
    <w:rsid w:val="00470FD3"/>
    <w:rsid w:val="004710FE"/>
    <w:rsid w:val="00471242"/>
    <w:rsid w:val="00471737"/>
    <w:rsid w:val="0047255A"/>
    <w:rsid w:val="00472D86"/>
    <w:rsid w:val="004736D3"/>
    <w:rsid w:val="00473926"/>
    <w:rsid w:val="00474DA7"/>
    <w:rsid w:val="004757F9"/>
    <w:rsid w:val="00475D88"/>
    <w:rsid w:val="00476151"/>
    <w:rsid w:val="00476175"/>
    <w:rsid w:val="00476276"/>
    <w:rsid w:val="00476EC3"/>
    <w:rsid w:val="0048195C"/>
    <w:rsid w:val="00481D0A"/>
    <w:rsid w:val="00482257"/>
    <w:rsid w:val="004827D0"/>
    <w:rsid w:val="0048283B"/>
    <w:rsid w:val="00483AE5"/>
    <w:rsid w:val="00484132"/>
    <w:rsid w:val="00484162"/>
    <w:rsid w:val="004842AC"/>
    <w:rsid w:val="00484FCE"/>
    <w:rsid w:val="00485169"/>
    <w:rsid w:val="004851D6"/>
    <w:rsid w:val="00485815"/>
    <w:rsid w:val="00485D29"/>
    <w:rsid w:val="004866C5"/>
    <w:rsid w:val="00486ABD"/>
    <w:rsid w:val="004875D3"/>
    <w:rsid w:val="0049073C"/>
    <w:rsid w:val="004907EA"/>
    <w:rsid w:val="00490C95"/>
    <w:rsid w:val="00490F59"/>
    <w:rsid w:val="00491391"/>
    <w:rsid w:val="004918EC"/>
    <w:rsid w:val="00492577"/>
    <w:rsid w:val="004927BD"/>
    <w:rsid w:val="00492A1C"/>
    <w:rsid w:val="00492F54"/>
    <w:rsid w:val="00493796"/>
    <w:rsid w:val="0049391B"/>
    <w:rsid w:val="00493954"/>
    <w:rsid w:val="00493AE1"/>
    <w:rsid w:val="00493B7C"/>
    <w:rsid w:val="0049460E"/>
    <w:rsid w:val="004956B6"/>
    <w:rsid w:val="00495AE4"/>
    <w:rsid w:val="004961C9"/>
    <w:rsid w:val="00496216"/>
    <w:rsid w:val="00496358"/>
    <w:rsid w:val="0049642C"/>
    <w:rsid w:val="00496506"/>
    <w:rsid w:val="00496642"/>
    <w:rsid w:val="00496E23"/>
    <w:rsid w:val="004970C2"/>
    <w:rsid w:val="00497A9A"/>
    <w:rsid w:val="00497C33"/>
    <w:rsid w:val="004A0B8B"/>
    <w:rsid w:val="004A0E5F"/>
    <w:rsid w:val="004A0E92"/>
    <w:rsid w:val="004A1038"/>
    <w:rsid w:val="004A1CAD"/>
    <w:rsid w:val="004A212C"/>
    <w:rsid w:val="004A2AC9"/>
    <w:rsid w:val="004A2F0B"/>
    <w:rsid w:val="004A3722"/>
    <w:rsid w:val="004A40FA"/>
    <w:rsid w:val="004A5572"/>
    <w:rsid w:val="004A5FFF"/>
    <w:rsid w:val="004A6443"/>
    <w:rsid w:val="004A6825"/>
    <w:rsid w:val="004A6886"/>
    <w:rsid w:val="004A7383"/>
    <w:rsid w:val="004A78EF"/>
    <w:rsid w:val="004A7A82"/>
    <w:rsid w:val="004B0190"/>
    <w:rsid w:val="004B0273"/>
    <w:rsid w:val="004B02B3"/>
    <w:rsid w:val="004B0B8D"/>
    <w:rsid w:val="004B1755"/>
    <w:rsid w:val="004B18A5"/>
    <w:rsid w:val="004B3100"/>
    <w:rsid w:val="004B31F7"/>
    <w:rsid w:val="004B3DFD"/>
    <w:rsid w:val="004B4203"/>
    <w:rsid w:val="004B464A"/>
    <w:rsid w:val="004B48C7"/>
    <w:rsid w:val="004B4D64"/>
    <w:rsid w:val="004B50FA"/>
    <w:rsid w:val="004B5DBA"/>
    <w:rsid w:val="004B5E77"/>
    <w:rsid w:val="004B5E8E"/>
    <w:rsid w:val="004B76FC"/>
    <w:rsid w:val="004C108E"/>
    <w:rsid w:val="004C1B9F"/>
    <w:rsid w:val="004C2069"/>
    <w:rsid w:val="004C2AD1"/>
    <w:rsid w:val="004C2B96"/>
    <w:rsid w:val="004C2FEB"/>
    <w:rsid w:val="004C42BB"/>
    <w:rsid w:val="004C4966"/>
    <w:rsid w:val="004C4B23"/>
    <w:rsid w:val="004C4C23"/>
    <w:rsid w:val="004C4C69"/>
    <w:rsid w:val="004C576E"/>
    <w:rsid w:val="004C5811"/>
    <w:rsid w:val="004C58C4"/>
    <w:rsid w:val="004C5B27"/>
    <w:rsid w:val="004C5EB3"/>
    <w:rsid w:val="004C7239"/>
    <w:rsid w:val="004C7B29"/>
    <w:rsid w:val="004D01E0"/>
    <w:rsid w:val="004D0868"/>
    <w:rsid w:val="004D0FAF"/>
    <w:rsid w:val="004D1066"/>
    <w:rsid w:val="004D129D"/>
    <w:rsid w:val="004D1316"/>
    <w:rsid w:val="004D14E7"/>
    <w:rsid w:val="004D14F4"/>
    <w:rsid w:val="004D167A"/>
    <w:rsid w:val="004D226D"/>
    <w:rsid w:val="004D28E6"/>
    <w:rsid w:val="004D387B"/>
    <w:rsid w:val="004D4123"/>
    <w:rsid w:val="004D439D"/>
    <w:rsid w:val="004D46DB"/>
    <w:rsid w:val="004D4C43"/>
    <w:rsid w:val="004D580C"/>
    <w:rsid w:val="004D5873"/>
    <w:rsid w:val="004D5C45"/>
    <w:rsid w:val="004D65A0"/>
    <w:rsid w:val="004D6AA8"/>
    <w:rsid w:val="004D6E1D"/>
    <w:rsid w:val="004D7177"/>
    <w:rsid w:val="004E0025"/>
    <w:rsid w:val="004E06F3"/>
    <w:rsid w:val="004E1239"/>
    <w:rsid w:val="004E1DAD"/>
    <w:rsid w:val="004E20AB"/>
    <w:rsid w:val="004E23B5"/>
    <w:rsid w:val="004E2797"/>
    <w:rsid w:val="004E2827"/>
    <w:rsid w:val="004E325E"/>
    <w:rsid w:val="004E388C"/>
    <w:rsid w:val="004E4CF7"/>
    <w:rsid w:val="004E56BE"/>
    <w:rsid w:val="004E59F8"/>
    <w:rsid w:val="004E5B7F"/>
    <w:rsid w:val="004E748B"/>
    <w:rsid w:val="004E7A09"/>
    <w:rsid w:val="004E7AB2"/>
    <w:rsid w:val="004E7B28"/>
    <w:rsid w:val="004F008E"/>
    <w:rsid w:val="004F01B9"/>
    <w:rsid w:val="004F1866"/>
    <w:rsid w:val="004F1ADB"/>
    <w:rsid w:val="004F1E7C"/>
    <w:rsid w:val="004F213B"/>
    <w:rsid w:val="004F2A06"/>
    <w:rsid w:val="004F31C9"/>
    <w:rsid w:val="004F3A98"/>
    <w:rsid w:val="004F4202"/>
    <w:rsid w:val="004F46D8"/>
    <w:rsid w:val="004F5089"/>
    <w:rsid w:val="004F5C56"/>
    <w:rsid w:val="004F6424"/>
    <w:rsid w:val="004F67B3"/>
    <w:rsid w:val="004F6936"/>
    <w:rsid w:val="004F6940"/>
    <w:rsid w:val="004F7A5A"/>
    <w:rsid w:val="0050059A"/>
    <w:rsid w:val="00500626"/>
    <w:rsid w:val="0050079E"/>
    <w:rsid w:val="00500ACB"/>
    <w:rsid w:val="00501874"/>
    <w:rsid w:val="00501A30"/>
    <w:rsid w:val="005021FA"/>
    <w:rsid w:val="00502246"/>
    <w:rsid w:val="005025B4"/>
    <w:rsid w:val="00502823"/>
    <w:rsid w:val="00502835"/>
    <w:rsid w:val="005028D4"/>
    <w:rsid w:val="00504587"/>
    <w:rsid w:val="00504606"/>
    <w:rsid w:val="00504664"/>
    <w:rsid w:val="0050608C"/>
    <w:rsid w:val="00506315"/>
    <w:rsid w:val="0050669C"/>
    <w:rsid w:val="00507131"/>
    <w:rsid w:val="005074CF"/>
    <w:rsid w:val="00507A66"/>
    <w:rsid w:val="00507CE1"/>
    <w:rsid w:val="00510097"/>
    <w:rsid w:val="00510107"/>
    <w:rsid w:val="005101AF"/>
    <w:rsid w:val="0051052C"/>
    <w:rsid w:val="00510A64"/>
    <w:rsid w:val="005118C3"/>
    <w:rsid w:val="0051269F"/>
    <w:rsid w:val="00513126"/>
    <w:rsid w:val="00514153"/>
    <w:rsid w:val="00514291"/>
    <w:rsid w:val="00514713"/>
    <w:rsid w:val="00514B74"/>
    <w:rsid w:val="005152B4"/>
    <w:rsid w:val="0051596B"/>
    <w:rsid w:val="00515A76"/>
    <w:rsid w:val="00517A37"/>
    <w:rsid w:val="00520706"/>
    <w:rsid w:val="00520A52"/>
    <w:rsid w:val="00521714"/>
    <w:rsid w:val="00521C4E"/>
    <w:rsid w:val="00521C5C"/>
    <w:rsid w:val="00522089"/>
    <w:rsid w:val="0052395E"/>
    <w:rsid w:val="00523B13"/>
    <w:rsid w:val="00523C74"/>
    <w:rsid w:val="00523D47"/>
    <w:rsid w:val="00524076"/>
    <w:rsid w:val="00524A77"/>
    <w:rsid w:val="00524E9D"/>
    <w:rsid w:val="005251CC"/>
    <w:rsid w:val="005253E6"/>
    <w:rsid w:val="00525573"/>
    <w:rsid w:val="005255C5"/>
    <w:rsid w:val="00525BA8"/>
    <w:rsid w:val="00526389"/>
    <w:rsid w:val="0052685A"/>
    <w:rsid w:val="00526B0A"/>
    <w:rsid w:val="00526B42"/>
    <w:rsid w:val="00526BF4"/>
    <w:rsid w:val="00527C5C"/>
    <w:rsid w:val="0053028E"/>
    <w:rsid w:val="00530688"/>
    <w:rsid w:val="005306F9"/>
    <w:rsid w:val="00531304"/>
    <w:rsid w:val="00531517"/>
    <w:rsid w:val="0053156B"/>
    <w:rsid w:val="005321A1"/>
    <w:rsid w:val="00532D89"/>
    <w:rsid w:val="0053356C"/>
    <w:rsid w:val="00533983"/>
    <w:rsid w:val="00533C67"/>
    <w:rsid w:val="005346D2"/>
    <w:rsid w:val="00534ABC"/>
    <w:rsid w:val="00534CBD"/>
    <w:rsid w:val="00535217"/>
    <w:rsid w:val="00535394"/>
    <w:rsid w:val="0053562A"/>
    <w:rsid w:val="005375E3"/>
    <w:rsid w:val="00537700"/>
    <w:rsid w:val="005379F2"/>
    <w:rsid w:val="005406D7"/>
    <w:rsid w:val="0054099D"/>
    <w:rsid w:val="00540A58"/>
    <w:rsid w:val="00540FF8"/>
    <w:rsid w:val="00541549"/>
    <w:rsid w:val="0054171B"/>
    <w:rsid w:val="00541911"/>
    <w:rsid w:val="00541C2D"/>
    <w:rsid w:val="005423FC"/>
    <w:rsid w:val="00542588"/>
    <w:rsid w:val="00542702"/>
    <w:rsid w:val="0054292C"/>
    <w:rsid w:val="005429E2"/>
    <w:rsid w:val="0054328E"/>
    <w:rsid w:val="00543A24"/>
    <w:rsid w:val="005448FB"/>
    <w:rsid w:val="00545AC5"/>
    <w:rsid w:val="00545B80"/>
    <w:rsid w:val="0054649D"/>
    <w:rsid w:val="00546AA7"/>
    <w:rsid w:val="0054700A"/>
    <w:rsid w:val="00547A04"/>
    <w:rsid w:val="00550071"/>
    <w:rsid w:val="0055031D"/>
    <w:rsid w:val="00550820"/>
    <w:rsid w:val="00552350"/>
    <w:rsid w:val="00552454"/>
    <w:rsid w:val="005524DA"/>
    <w:rsid w:val="005527C5"/>
    <w:rsid w:val="005527D2"/>
    <w:rsid w:val="00552B85"/>
    <w:rsid w:val="00553147"/>
    <w:rsid w:val="00553C6A"/>
    <w:rsid w:val="00554138"/>
    <w:rsid w:val="00554833"/>
    <w:rsid w:val="005556CC"/>
    <w:rsid w:val="00556252"/>
    <w:rsid w:val="005568C2"/>
    <w:rsid w:val="00556967"/>
    <w:rsid w:val="00556A53"/>
    <w:rsid w:val="00557007"/>
    <w:rsid w:val="0055707B"/>
    <w:rsid w:val="0055724E"/>
    <w:rsid w:val="005573F2"/>
    <w:rsid w:val="0055773E"/>
    <w:rsid w:val="005607F7"/>
    <w:rsid w:val="005611A8"/>
    <w:rsid w:val="0056160E"/>
    <w:rsid w:val="005618E5"/>
    <w:rsid w:val="00561CAC"/>
    <w:rsid w:val="00561F3F"/>
    <w:rsid w:val="00562761"/>
    <w:rsid w:val="0056276B"/>
    <w:rsid w:val="005644C3"/>
    <w:rsid w:val="005649F9"/>
    <w:rsid w:val="00565C59"/>
    <w:rsid w:val="00566214"/>
    <w:rsid w:val="0056684A"/>
    <w:rsid w:val="00566E10"/>
    <w:rsid w:val="00566ECA"/>
    <w:rsid w:val="00567591"/>
    <w:rsid w:val="00567895"/>
    <w:rsid w:val="005703C9"/>
    <w:rsid w:val="0057124B"/>
    <w:rsid w:val="0057142F"/>
    <w:rsid w:val="005716C8"/>
    <w:rsid w:val="005716DB"/>
    <w:rsid w:val="00571E46"/>
    <w:rsid w:val="005721F0"/>
    <w:rsid w:val="00572284"/>
    <w:rsid w:val="00572B09"/>
    <w:rsid w:val="005730C7"/>
    <w:rsid w:val="0057328F"/>
    <w:rsid w:val="0057341B"/>
    <w:rsid w:val="00573F5B"/>
    <w:rsid w:val="005745AE"/>
    <w:rsid w:val="005746B0"/>
    <w:rsid w:val="00574DBD"/>
    <w:rsid w:val="00574E80"/>
    <w:rsid w:val="0057508C"/>
    <w:rsid w:val="0057512F"/>
    <w:rsid w:val="0057557B"/>
    <w:rsid w:val="00575716"/>
    <w:rsid w:val="00576690"/>
    <w:rsid w:val="00576C80"/>
    <w:rsid w:val="005771BB"/>
    <w:rsid w:val="0057746B"/>
    <w:rsid w:val="00577D2E"/>
    <w:rsid w:val="00577FB0"/>
    <w:rsid w:val="005803CC"/>
    <w:rsid w:val="00580505"/>
    <w:rsid w:val="00580AF1"/>
    <w:rsid w:val="00580B4D"/>
    <w:rsid w:val="00580E1C"/>
    <w:rsid w:val="00581B43"/>
    <w:rsid w:val="00581BA6"/>
    <w:rsid w:val="005821AD"/>
    <w:rsid w:val="005824FB"/>
    <w:rsid w:val="005828CC"/>
    <w:rsid w:val="00582E02"/>
    <w:rsid w:val="005830CE"/>
    <w:rsid w:val="005832E8"/>
    <w:rsid w:val="005833B2"/>
    <w:rsid w:val="00583899"/>
    <w:rsid w:val="005838F5"/>
    <w:rsid w:val="00583A56"/>
    <w:rsid w:val="00583C14"/>
    <w:rsid w:val="005841B7"/>
    <w:rsid w:val="005843DD"/>
    <w:rsid w:val="00584A4A"/>
    <w:rsid w:val="00584E81"/>
    <w:rsid w:val="00585231"/>
    <w:rsid w:val="005856A5"/>
    <w:rsid w:val="00587024"/>
    <w:rsid w:val="0059039A"/>
    <w:rsid w:val="005904C7"/>
    <w:rsid w:val="00590C26"/>
    <w:rsid w:val="00591187"/>
    <w:rsid w:val="00591F89"/>
    <w:rsid w:val="00592CFC"/>
    <w:rsid w:val="005939E9"/>
    <w:rsid w:val="00593B4B"/>
    <w:rsid w:val="00594D7B"/>
    <w:rsid w:val="0059512B"/>
    <w:rsid w:val="00595513"/>
    <w:rsid w:val="00595CC1"/>
    <w:rsid w:val="00595FCD"/>
    <w:rsid w:val="005962D3"/>
    <w:rsid w:val="00596529"/>
    <w:rsid w:val="005968BB"/>
    <w:rsid w:val="00597B18"/>
    <w:rsid w:val="005A0438"/>
    <w:rsid w:val="005A095A"/>
    <w:rsid w:val="005A0CE7"/>
    <w:rsid w:val="005A0E37"/>
    <w:rsid w:val="005A1221"/>
    <w:rsid w:val="005A1275"/>
    <w:rsid w:val="005A1BF0"/>
    <w:rsid w:val="005A254F"/>
    <w:rsid w:val="005A2796"/>
    <w:rsid w:val="005A30B4"/>
    <w:rsid w:val="005A377E"/>
    <w:rsid w:val="005A37DC"/>
    <w:rsid w:val="005A3865"/>
    <w:rsid w:val="005A3EE6"/>
    <w:rsid w:val="005A5359"/>
    <w:rsid w:val="005A53D4"/>
    <w:rsid w:val="005A5585"/>
    <w:rsid w:val="005A5F24"/>
    <w:rsid w:val="005A6259"/>
    <w:rsid w:val="005A65B9"/>
    <w:rsid w:val="005A6831"/>
    <w:rsid w:val="005A69E1"/>
    <w:rsid w:val="005A6DA7"/>
    <w:rsid w:val="005A72D5"/>
    <w:rsid w:val="005B026D"/>
    <w:rsid w:val="005B04A1"/>
    <w:rsid w:val="005B100B"/>
    <w:rsid w:val="005B115D"/>
    <w:rsid w:val="005B1EB4"/>
    <w:rsid w:val="005B29A3"/>
    <w:rsid w:val="005B30DD"/>
    <w:rsid w:val="005B3B2D"/>
    <w:rsid w:val="005B4147"/>
    <w:rsid w:val="005B4D72"/>
    <w:rsid w:val="005B5048"/>
    <w:rsid w:val="005B5E09"/>
    <w:rsid w:val="005B63B8"/>
    <w:rsid w:val="005B7C89"/>
    <w:rsid w:val="005B7E1D"/>
    <w:rsid w:val="005B7FF9"/>
    <w:rsid w:val="005C011A"/>
    <w:rsid w:val="005C052B"/>
    <w:rsid w:val="005C09A7"/>
    <w:rsid w:val="005C1135"/>
    <w:rsid w:val="005C13B3"/>
    <w:rsid w:val="005C1F12"/>
    <w:rsid w:val="005C32FD"/>
    <w:rsid w:val="005C35D3"/>
    <w:rsid w:val="005C53A7"/>
    <w:rsid w:val="005C59AA"/>
    <w:rsid w:val="005C5E31"/>
    <w:rsid w:val="005C697C"/>
    <w:rsid w:val="005C6BB3"/>
    <w:rsid w:val="005C6F3D"/>
    <w:rsid w:val="005C7780"/>
    <w:rsid w:val="005D0964"/>
    <w:rsid w:val="005D0EA8"/>
    <w:rsid w:val="005D1597"/>
    <w:rsid w:val="005D1FF7"/>
    <w:rsid w:val="005D25F8"/>
    <w:rsid w:val="005D2F0C"/>
    <w:rsid w:val="005D34A4"/>
    <w:rsid w:val="005D37C5"/>
    <w:rsid w:val="005D4A19"/>
    <w:rsid w:val="005D4E8B"/>
    <w:rsid w:val="005D54AB"/>
    <w:rsid w:val="005D54E2"/>
    <w:rsid w:val="005D5DB8"/>
    <w:rsid w:val="005D5E94"/>
    <w:rsid w:val="005D62CB"/>
    <w:rsid w:val="005D636E"/>
    <w:rsid w:val="005D6A8A"/>
    <w:rsid w:val="005D6FF0"/>
    <w:rsid w:val="005D7BDE"/>
    <w:rsid w:val="005E0C98"/>
    <w:rsid w:val="005E1607"/>
    <w:rsid w:val="005E21ED"/>
    <w:rsid w:val="005E28EA"/>
    <w:rsid w:val="005E3300"/>
    <w:rsid w:val="005E37BB"/>
    <w:rsid w:val="005E3CF5"/>
    <w:rsid w:val="005E4A06"/>
    <w:rsid w:val="005E4B3A"/>
    <w:rsid w:val="005E4B71"/>
    <w:rsid w:val="005E4D95"/>
    <w:rsid w:val="005E5292"/>
    <w:rsid w:val="005E5315"/>
    <w:rsid w:val="005E55B0"/>
    <w:rsid w:val="005E5614"/>
    <w:rsid w:val="005E68DE"/>
    <w:rsid w:val="005E6E8C"/>
    <w:rsid w:val="005E70B6"/>
    <w:rsid w:val="005E752B"/>
    <w:rsid w:val="005E794E"/>
    <w:rsid w:val="005F025C"/>
    <w:rsid w:val="005F0598"/>
    <w:rsid w:val="005F0BD5"/>
    <w:rsid w:val="005F204E"/>
    <w:rsid w:val="005F311F"/>
    <w:rsid w:val="005F49D0"/>
    <w:rsid w:val="005F4D28"/>
    <w:rsid w:val="005F5000"/>
    <w:rsid w:val="005F573A"/>
    <w:rsid w:val="005F6541"/>
    <w:rsid w:val="005F6756"/>
    <w:rsid w:val="005F682C"/>
    <w:rsid w:val="005F6C58"/>
    <w:rsid w:val="005F6CEF"/>
    <w:rsid w:val="005F7B86"/>
    <w:rsid w:val="005F7F68"/>
    <w:rsid w:val="0060067A"/>
    <w:rsid w:val="00600B2D"/>
    <w:rsid w:val="00600B8E"/>
    <w:rsid w:val="006015E1"/>
    <w:rsid w:val="00601676"/>
    <w:rsid w:val="00602700"/>
    <w:rsid w:val="00602721"/>
    <w:rsid w:val="00602727"/>
    <w:rsid w:val="0060288C"/>
    <w:rsid w:val="006028C1"/>
    <w:rsid w:val="0060348C"/>
    <w:rsid w:val="00603561"/>
    <w:rsid w:val="00603A67"/>
    <w:rsid w:val="00603D41"/>
    <w:rsid w:val="00604525"/>
    <w:rsid w:val="00605527"/>
    <w:rsid w:val="00605F8F"/>
    <w:rsid w:val="00606F63"/>
    <w:rsid w:val="006073A1"/>
    <w:rsid w:val="0060788E"/>
    <w:rsid w:val="00610057"/>
    <w:rsid w:val="00610545"/>
    <w:rsid w:val="00611731"/>
    <w:rsid w:val="00613146"/>
    <w:rsid w:val="00613232"/>
    <w:rsid w:val="0061323F"/>
    <w:rsid w:val="00613EE4"/>
    <w:rsid w:val="006145DD"/>
    <w:rsid w:val="00614856"/>
    <w:rsid w:val="00615680"/>
    <w:rsid w:val="006156E3"/>
    <w:rsid w:val="00615A17"/>
    <w:rsid w:val="0061641D"/>
    <w:rsid w:val="006164F8"/>
    <w:rsid w:val="00617137"/>
    <w:rsid w:val="006172B8"/>
    <w:rsid w:val="00617558"/>
    <w:rsid w:val="00620523"/>
    <w:rsid w:val="00620556"/>
    <w:rsid w:val="006216BF"/>
    <w:rsid w:val="00621AA5"/>
    <w:rsid w:val="00621DF0"/>
    <w:rsid w:val="00622255"/>
    <w:rsid w:val="006229CC"/>
    <w:rsid w:val="00623609"/>
    <w:rsid w:val="006237D2"/>
    <w:rsid w:val="00623C47"/>
    <w:rsid w:val="00623F91"/>
    <w:rsid w:val="00623F97"/>
    <w:rsid w:val="006262EC"/>
    <w:rsid w:val="006266FF"/>
    <w:rsid w:val="00626D98"/>
    <w:rsid w:val="00627DE9"/>
    <w:rsid w:val="00627E55"/>
    <w:rsid w:val="00627F6B"/>
    <w:rsid w:val="00630145"/>
    <w:rsid w:val="006307E2"/>
    <w:rsid w:val="00630CBB"/>
    <w:rsid w:val="00630E50"/>
    <w:rsid w:val="00630F3A"/>
    <w:rsid w:val="006316FD"/>
    <w:rsid w:val="00632545"/>
    <w:rsid w:val="0063272C"/>
    <w:rsid w:val="00632B43"/>
    <w:rsid w:val="00632C4D"/>
    <w:rsid w:val="006334F7"/>
    <w:rsid w:val="00633A15"/>
    <w:rsid w:val="00633B38"/>
    <w:rsid w:val="00633DFE"/>
    <w:rsid w:val="006346F7"/>
    <w:rsid w:val="00634A71"/>
    <w:rsid w:val="00635058"/>
    <w:rsid w:val="00635C67"/>
    <w:rsid w:val="00635CF1"/>
    <w:rsid w:val="00637A5D"/>
    <w:rsid w:val="00637A66"/>
    <w:rsid w:val="00637B85"/>
    <w:rsid w:val="0064088C"/>
    <w:rsid w:val="00640AF5"/>
    <w:rsid w:val="0064141A"/>
    <w:rsid w:val="006423C9"/>
    <w:rsid w:val="00642671"/>
    <w:rsid w:val="00642F51"/>
    <w:rsid w:val="00643858"/>
    <w:rsid w:val="00643954"/>
    <w:rsid w:val="00644239"/>
    <w:rsid w:val="006447F7"/>
    <w:rsid w:val="00645353"/>
    <w:rsid w:val="006454E8"/>
    <w:rsid w:val="0064745B"/>
    <w:rsid w:val="0064746D"/>
    <w:rsid w:val="00647EAF"/>
    <w:rsid w:val="006504CD"/>
    <w:rsid w:val="00650824"/>
    <w:rsid w:val="006508DE"/>
    <w:rsid w:val="00650E07"/>
    <w:rsid w:val="006513AE"/>
    <w:rsid w:val="00651780"/>
    <w:rsid w:val="00651E03"/>
    <w:rsid w:val="00652574"/>
    <w:rsid w:val="0065259F"/>
    <w:rsid w:val="00652B26"/>
    <w:rsid w:val="00652BC9"/>
    <w:rsid w:val="00653C93"/>
    <w:rsid w:val="00654467"/>
    <w:rsid w:val="0065504A"/>
    <w:rsid w:val="00655B91"/>
    <w:rsid w:val="00656772"/>
    <w:rsid w:val="00656C16"/>
    <w:rsid w:val="00656C1F"/>
    <w:rsid w:val="00660907"/>
    <w:rsid w:val="006611AD"/>
    <w:rsid w:val="00661394"/>
    <w:rsid w:val="00661470"/>
    <w:rsid w:val="00662149"/>
    <w:rsid w:val="006621B0"/>
    <w:rsid w:val="006622ED"/>
    <w:rsid w:val="006623FD"/>
    <w:rsid w:val="0066312B"/>
    <w:rsid w:val="006637C3"/>
    <w:rsid w:val="00664A28"/>
    <w:rsid w:val="00664B73"/>
    <w:rsid w:val="006655DA"/>
    <w:rsid w:val="00665692"/>
    <w:rsid w:val="006657E9"/>
    <w:rsid w:val="00665CA9"/>
    <w:rsid w:val="00666297"/>
    <w:rsid w:val="006664EA"/>
    <w:rsid w:val="00666A71"/>
    <w:rsid w:val="006678F1"/>
    <w:rsid w:val="00667C3E"/>
    <w:rsid w:val="00670055"/>
    <w:rsid w:val="0067014D"/>
    <w:rsid w:val="00670343"/>
    <w:rsid w:val="006703DB"/>
    <w:rsid w:val="006709C2"/>
    <w:rsid w:val="00671A2E"/>
    <w:rsid w:val="00671AE9"/>
    <w:rsid w:val="00671B1F"/>
    <w:rsid w:val="00671CD7"/>
    <w:rsid w:val="0067262C"/>
    <w:rsid w:val="006727E6"/>
    <w:rsid w:val="006736DB"/>
    <w:rsid w:val="00673C77"/>
    <w:rsid w:val="00674B27"/>
    <w:rsid w:val="00674FAD"/>
    <w:rsid w:val="006754C6"/>
    <w:rsid w:val="00675873"/>
    <w:rsid w:val="00675E0D"/>
    <w:rsid w:val="00675EEB"/>
    <w:rsid w:val="00675EFB"/>
    <w:rsid w:val="00676237"/>
    <w:rsid w:val="0067637E"/>
    <w:rsid w:val="00676AD2"/>
    <w:rsid w:val="0067759E"/>
    <w:rsid w:val="00680038"/>
    <w:rsid w:val="00680AD8"/>
    <w:rsid w:val="00680C2A"/>
    <w:rsid w:val="00681182"/>
    <w:rsid w:val="00681611"/>
    <w:rsid w:val="00681A1C"/>
    <w:rsid w:val="00681FA5"/>
    <w:rsid w:val="0068256A"/>
    <w:rsid w:val="00682808"/>
    <w:rsid w:val="00682DFF"/>
    <w:rsid w:val="00683018"/>
    <w:rsid w:val="00683E6B"/>
    <w:rsid w:val="006840C4"/>
    <w:rsid w:val="0068414F"/>
    <w:rsid w:val="006842B8"/>
    <w:rsid w:val="006848CA"/>
    <w:rsid w:val="00684CF3"/>
    <w:rsid w:val="0068526D"/>
    <w:rsid w:val="00685898"/>
    <w:rsid w:val="006859B2"/>
    <w:rsid w:val="00685DC4"/>
    <w:rsid w:val="00685DEE"/>
    <w:rsid w:val="00687219"/>
    <w:rsid w:val="0069021E"/>
    <w:rsid w:val="00690BED"/>
    <w:rsid w:val="0069142C"/>
    <w:rsid w:val="00691980"/>
    <w:rsid w:val="00691C3D"/>
    <w:rsid w:val="006927B2"/>
    <w:rsid w:val="00692E01"/>
    <w:rsid w:val="00692F0D"/>
    <w:rsid w:val="00693D00"/>
    <w:rsid w:val="00694043"/>
    <w:rsid w:val="0069407C"/>
    <w:rsid w:val="00694D7F"/>
    <w:rsid w:val="00694E5E"/>
    <w:rsid w:val="00695086"/>
    <w:rsid w:val="0069527A"/>
    <w:rsid w:val="006953F4"/>
    <w:rsid w:val="00695B13"/>
    <w:rsid w:val="006971B9"/>
    <w:rsid w:val="006A07ED"/>
    <w:rsid w:val="006A09E5"/>
    <w:rsid w:val="006A0C91"/>
    <w:rsid w:val="006A0CC4"/>
    <w:rsid w:val="006A189A"/>
    <w:rsid w:val="006A18FE"/>
    <w:rsid w:val="006A1ABC"/>
    <w:rsid w:val="006A2054"/>
    <w:rsid w:val="006A2611"/>
    <w:rsid w:val="006A31EC"/>
    <w:rsid w:val="006A3307"/>
    <w:rsid w:val="006A3352"/>
    <w:rsid w:val="006A353E"/>
    <w:rsid w:val="006A4D79"/>
    <w:rsid w:val="006A4F68"/>
    <w:rsid w:val="006A50C6"/>
    <w:rsid w:val="006A57DB"/>
    <w:rsid w:val="006A5F75"/>
    <w:rsid w:val="006A6084"/>
    <w:rsid w:val="006A614B"/>
    <w:rsid w:val="006A7AC3"/>
    <w:rsid w:val="006A7D7B"/>
    <w:rsid w:val="006B00A3"/>
    <w:rsid w:val="006B0B11"/>
    <w:rsid w:val="006B0DC8"/>
    <w:rsid w:val="006B2145"/>
    <w:rsid w:val="006B2964"/>
    <w:rsid w:val="006B2E1E"/>
    <w:rsid w:val="006B3B04"/>
    <w:rsid w:val="006B3B0C"/>
    <w:rsid w:val="006B3DD8"/>
    <w:rsid w:val="006B3E86"/>
    <w:rsid w:val="006B40FD"/>
    <w:rsid w:val="006B437C"/>
    <w:rsid w:val="006B53EB"/>
    <w:rsid w:val="006B553F"/>
    <w:rsid w:val="006B572F"/>
    <w:rsid w:val="006B5A27"/>
    <w:rsid w:val="006B5BAD"/>
    <w:rsid w:val="006B5CC0"/>
    <w:rsid w:val="006B5F6E"/>
    <w:rsid w:val="006B633B"/>
    <w:rsid w:val="006B7665"/>
    <w:rsid w:val="006C0C90"/>
    <w:rsid w:val="006C1020"/>
    <w:rsid w:val="006C11BE"/>
    <w:rsid w:val="006C1CA3"/>
    <w:rsid w:val="006C1F3B"/>
    <w:rsid w:val="006C412F"/>
    <w:rsid w:val="006C4815"/>
    <w:rsid w:val="006C5C79"/>
    <w:rsid w:val="006C65F2"/>
    <w:rsid w:val="006C6602"/>
    <w:rsid w:val="006C6603"/>
    <w:rsid w:val="006C6C44"/>
    <w:rsid w:val="006C6F03"/>
    <w:rsid w:val="006C78A4"/>
    <w:rsid w:val="006C7B3D"/>
    <w:rsid w:val="006C7FB8"/>
    <w:rsid w:val="006D0179"/>
    <w:rsid w:val="006D043A"/>
    <w:rsid w:val="006D04C3"/>
    <w:rsid w:val="006D095B"/>
    <w:rsid w:val="006D09DE"/>
    <w:rsid w:val="006D0D22"/>
    <w:rsid w:val="006D1208"/>
    <w:rsid w:val="006D13C0"/>
    <w:rsid w:val="006D1512"/>
    <w:rsid w:val="006D3967"/>
    <w:rsid w:val="006D4373"/>
    <w:rsid w:val="006D4F13"/>
    <w:rsid w:val="006D4F6F"/>
    <w:rsid w:val="006D5AE1"/>
    <w:rsid w:val="006D5D1E"/>
    <w:rsid w:val="006D5D45"/>
    <w:rsid w:val="006D5FBE"/>
    <w:rsid w:val="006D6E29"/>
    <w:rsid w:val="006D7D6F"/>
    <w:rsid w:val="006E03C9"/>
    <w:rsid w:val="006E0CFF"/>
    <w:rsid w:val="006E0D47"/>
    <w:rsid w:val="006E16C7"/>
    <w:rsid w:val="006E1CEA"/>
    <w:rsid w:val="006E2AF9"/>
    <w:rsid w:val="006E2CC5"/>
    <w:rsid w:val="006E2E75"/>
    <w:rsid w:val="006E396F"/>
    <w:rsid w:val="006E4079"/>
    <w:rsid w:val="006E4BAC"/>
    <w:rsid w:val="006E594F"/>
    <w:rsid w:val="006E69B2"/>
    <w:rsid w:val="006E7249"/>
    <w:rsid w:val="006E75B8"/>
    <w:rsid w:val="006E7B9A"/>
    <w:rsid w:val="006E7D0A"/>
    <w:rsid w:val="006E7EE2"/>
    <w:rsid w:val="006F0632"/>
    <w:rsid w:val="006F0BA9"/>
    <w:rsid w:val="006F1168"/>
    <w:rsid w:val="006F222C"/>
    <w:rsid w:val="006F2792"/>
    <w:rsid w:val="006F2824"/>
    <w:rsid w:val="006F3A5C"/>
    <w:rsid w:val="006F40CB"/>
    <w:rsid w:val="006F4A7D"/>
    <w:rsid w:val="006F4B7C"/>
    <w:rsid w:val="006F5524"/>
    <w:rsid w:val="006F5D3E"/>
    <w:rsid w:val="006F5D70"/>
    <w:rsid w:val="006F62C5"/>
    <w:rsid w:val="006F6A40"/>
    <w:rsid w:val="006F7703"/>
    <w:rsid w:val="006F7E89"/>
    <w:rsid w:val="0070036F"/>
    <w:rsid w:val="007006F0"/>
    <w:rsid w:val="00700ADF"/>
    <w:rsid w:val="00700D86"/>
    <w:rsid w:val="007022A0"/>
    <w:rsid w:val="007022A1"/>
    <w:rsid w:val="007026A0"/>
    <w:rsid w:val="00702B45"/>
    <w:rsid w:val="00702C46"/>
    <w:rsid w:val="00702D1F"/>
    <w:rsid w:val="00702D8C"/>
    <w:rsid w:val="0070330B"/>
    <w:rsid w:val="00703F33"/>
    <w:rsid w:val="0070502D"/>
    <w:rsid w:val="0070513C"/>
    <w:rsid w:val="00705AD3"/>
    <w:rsid w:val="00705E12"/>
    <w:rsid w:val="0070636B"/>
    <w:rsid w:val="00706CF9"/>
    <w:rsid w:val="00706EB0"/>
    <w:rsid w:val="007075C4"/>
    <w:rsid w:val="007079A4"/>
    <w:rsid w:val="00710717"/>
    <w:rsid w:val="007107F8"/>
    <w:rsid w:val="00710A1B"/>
    <w:rsid w:val="00710C98"/>
    <w:rsid w:val="00711140"/>
    <w:rsid w:val="007118DC"/>
    <w:rsid w:val="00711DE4"/>
    <w:rsid w:val="0071365D"/>
    <w:rsid w:val="00713948"/>
    <w:rsid w:val="00714720"/>
    <w:rsid w:val="00714795"/>
    <w:rsid w:val="00715C2A"/>
    <w:rsid w:val="00715E2D"/>
    <w:rsid w:val="00715F7F"/>
    <w:rsid w:val="00715FE5"/>
    <w:rsid w:val="007161A2"/>
    <w:rsid w:val="00717443"/>
    <w:rsid w:val="00717C14"/>
    <w:rsid w:val="007203AD"/>
    <w:rsid w:val="00721536"/>
    <w:rsid w:val="007227EA"/>
    <w:rsid w:val="007230BA"/>
    <w:rsid w:val="00723BD1"/>
    <w:rsid w:val="00724031"/>
    <w:rsid w:val="0072449F"/>
    <w:rsid w:val="007248E5"/>
    <w:rsid w:val="00724960"/>
    <w:rsid w:val="00724C4D"/>
    <w:rsid w:val="00724EDE"/>
    <w:rsid w:val="00725B3C"/>
    <w:rsid w:val="007260D9"/>
    <w:rsid w:val="007261F4"/>
    <w:rsid w:val="007266E5"/>
    <w:rsid w:val="00726861"/>
    <w:rsid w:val="00727636"/>
    <w:rsid w:val="00730597"/>
    <w:rsid w:val="00730B26"/>
    <w:rsid w:val="00730C5F"/>
    <w:rsid w:val="00731C29"/>
    <w:rsid w:val="00732605"/>
    <w:rsid w:val="00732659"/>
    <w:rsid w:val="00732B4B"/>
    <w:rsid w:val="00733AB3"/>
    <w:rsid w:val="00733C85"/>
    <w:rsid w:val="00734691"/>
    <w:rsid w:val="00734E54"/>
    <w:rsid w:val="00734EAB"/>
    <w:rsid w:val="00734F82"/>
    <w:rsid w:val="007350AC"/>
    <w:rsid w:val="00735E57"/>
    <w:rsid w:val="0073644C"/>
    <w:rsid w:val="007369FC"/>
    <w:rsid w:val="007378A8"/>
    <w:rsid w:val="00737D65"/>
    <w:rsid w:val="00737E7D"/>
    <w:rsid w:val="00737FDD"/>
    <w:rsid w:val="00740270"/>
    <w:rsid w:val="00740452"/>
    <w:rsid w:val="007415C2"/>
    <w:rsid w:val="00742C58"/>
    <w:rsid w:val="00742F29"/>
    <w:rsid w:val="00744147"/>
    <w:rsid w:val="00744418"/>
    <w:rsid w:val="007445AE"/>
    <w:rsid w:val="007448BA"/>
    <w:rsid w:val="00744FF6"/>
    <w:rsid w:val="00745017"/>
    <w:rsid w:val="00745161"/>
    <w:rsid w:val="007455B9"/>
    <w:rsid w:val="00745A72"/>
    <w:rsid w:val="0074660B"/>
    <w:rsid w:val="00746BCB"/>
    <w:rsid w:val="0074747B"/>
    <w:rsid w:val="00750B76"/>
    <w:rsid w:val="0075140B"/>
    <w:rsid w:val="007520DD"/>
    <w:rsid w:val="00752E8A"/>
    <w:rsid w:val="00753363"/>
    <w:rsid w:val="00754AF3"/>
    <w:rsid w:val="00754C12"/>
    <w:rsid w:val="00754F62"/>
    <w:rsid w:val="007557BE"/>
    <w:rsid w:val="00756386"/>
    <w:rsid w:val="0075642A"/>
    <w:rsid w:val="007579F7"/>
    <w:rsid w:val="00757CB5"/>
    <w:rsid w:val="00757CFC"/>
    <w:rsid w:val="007602F1"/>
    <w:rsid w:val="0076036F"/>
    <w:rsid w:val="0076045B"/>
    <w:rsid w:val="0076169A"/>
    <w:rsid w:val="0076182B"/>
    <w:rsid w:val="00761FEC"/>
    <w:rsid w:val="00762CE8"/>
    <w:rsid w:val="00764139"/>
    <w:rsid w:val="00764931"/>
    <w:rsid w:val="00765471"/>
    <w:rsid w:val="00765A49"/>
    <w:rsid w:val="007665DA"/>
    <w:rsid w:val="007666D6"/>
    <w:rsid w:val="00770067"/>
    <w:rsid w:val="007700EE"/>
    <w:rsid w:val="007713EB"/>
    <w:rsid w:val="0077140F"/>
    <w:rsid w:val="0077168D"/>
    <w:rsid w:val="00771C5B"/>
    <w:rsid w:val="007735BF"/>
    <w:rsid w:val="00774222"/>
    <w:rsid w:val="00774D09"/>
    <w:rsid w:val="00774F3B"/>
    <w:rsid w:val="007754B2"/>
    <w:rsid w:val="00775A7A"/>
    <w:rsid w:val="00775CBD"/>
    <w:rsid w:val="007761F1"/>
    <w:rsid w:val="00776A13"/>
    <w:rsid w:val="00777303"/>
    <w:rsid w:val="007775C3"/>
    <w:rsid w:val="00777804"/>
    <w:rsid w:val="0078040D"/>
    <w:rsid w:val="0078093B"/>
    <w:rsid w:val="00780999"/>
    <w:rsid w:val="007814EE"/>
    <w:rsid w:val="007816C5"/>
    <w:rsid w:val="0078174B"/>
    <w:rsid w:val="00782007"/>
    <w:rsid w:val="007836AC"/>
    <w:rsid w:val="007843BA"/>
    <w:rsid w:val="007850B7"/>
    <w:rsid w:val="007859C6"/>
    <w:rsid w:val="00785ADE"/>
    <w:rsid w:val="00785E13"/>
    <w:rsid w:val="00785EDC"/>
    <w:rsid w:val="00786619"/>
    <w:rsid w:val="00786B6B"/>
    <w:rsid w:val="00787A56"/>
    <w:rsid w:val="00790756"/>
    <w:rsid w:val="00790B12"/>
    <w:rsid w:val="00790BFD"/>
    <w:rsid w:val="0079113D"/>
    <w:rsid w:val="00791865"/>
    <w:rsid w:val="00791E86"/>
    <w:rsid w:val="00791FFC"/>
    <w:rsid w:val="007920CD"/>
    <w:rsid w:val="00792ACF"/>
    <w:rsid w:val="00793539"/>
    <w:rsid w:val="00793578"/>
    <w:rsid w:val="00793BDA"/>
    <w:rsid w:val="007940DA"/>
    <w:rsid w:val="00794417"/>
    <w:rsid w:val="00794608"/>
    <w:rsid w:val="007959AC"/>
    <w:rsid w:val="00795C50"/>
    <w:rsid w:val="00795F16"/>
    <w:rsid w:val="00796081"/>
    <w:rsid w:val="0079638F"/>
    <w:rsid w:val="00796AF7"/>
    <w:rsid w:val="00796B7F"/>
    <w:rsid w:val="00796E93"/>
    <w:rsid w:val="00796F0F"/>
    <w:rsid w:val="00797079"/>
    <w:rsid w:val="00797A17"/>
    <w:rsid w:val="007A20D0"/>
    <w:rsid w:val="007A26C5"/>
    <w:rsid w:val="007A2B99"/>
    <w:rsid w:val="007A360D"/>
    <w:rsid w:val="007A3740"/>
    <w:rsid w:val="007A392F"/>
    <w:rsid w:val="007A3C1D"/>
    <w:rsid w:val="007A5048"/>
    <w:rsid w:val="007A52E9"/>
    <w:rsid w:val="007A5792"/>
    <w:rsid w:val="007A5B88"/>
    <w:rsid w:val="007A630D"/>
    <w:rsid w:val="007A730F"/>
    <w:rsid w:val="007A78CD"/>
    <w:rsid w:val="007A7DCF"/>
    <w:rsid w:val="007A7F23"/>
    <w:rsid w:val="007A7F93"/>
    <w:rsid w:val="007B024F"/>
    <w:rsid w:val="007B07E7"/>
    <w:rsid w:val="007B10BE"/>
    <w:rsid w:val="007B1266"/>
    <w:rsid w:val="007B1887"/>
    <w:rsid w:val="007B1CC5"/>
    <w:rsid w:val="007B1D96"/>
    <w:rsid w:val="007B2C03"/>
    <w:rsid w:val="007B2C10"/>
    <w:rsid w:val="007B341A"/>
    <w:rsid w:val="007B401E"/>
    <w:rsid w:val="007B4BE4"/>
    <w:rsid w:val="007B4C8B"/>
    <w:rsid w:val="007B5134"/>
    <w:rsid w:val="007B5B5B"/>
    <w:rsid w:val="007B5F27"/>
    <w:rsid w:val="007B5F6F"/>
    <w:rsid w:val="007B6046"/>
    <w:rsid w:val="007B6DB4"/>
    <w:rsid w:val="007B6F5F"/>
    <w:rsid w:val="007B7CAF"/>
    <w:rsid w:val="007B7D8C"/>
    <w:rsid w:val="007C0548"/>
    <w:rsid w:val="007C0647"/>
    <w:rsid w:val="007C0D0B"/>
    <w:rsid w:val="007C10E7"/>
    <w:rsid w:val="007C1532"/>
    <w:rsid w:val="007C17D3"/>
    <w:rsid w:val="007C1A20"/>
    <w:rsid w:val="007C206E"/>
    <w:rsid w:val="007C2339"/>
    <w:rsid w:val="007C2C91"/>
    <w:rsid w:val="007C2F43"/>
    <w:rsid w:val="007C3BAB"/>
    <w:rsid w:val="007C40C3"/>
    <w:rsid w:val="007C41F1"/>
    <w:rsid w:val="007C4A34"/>
    <w:rsid w:val="007C4A70"/>
    <w:rsid w:val="007C4DCE"/>
    <w:rsid w:val="007C5145"/>
    <w:rsid w:val="007C51B7"/>
    <w:rsid w:val="007C5675"/>
    <w:rsid w:val="007C59D4"/>
    <w:rsid w:val="007C6A52"/>
    <w:rsid w:val="007C7149"/>
    <w:rsid w:val="007C71E6"/>
    <w:rsid w:val="007C73B1"/>
    <w:rsid w:val="007C7473"/>
    <w:rsid w:val="007C7687"/>
    <w:rsid w:val="007C76CE"/>
    <w:rsid w:val="007C79D3"/>
    <w:rsid w:val="007C7AF8"/>
    <w:rsid w:val="007C7F83"/>
    <w:rsid w:val="007D03ED"/>
    <w:rsid w:val="007D113C"/>
    <w:rsid w:val="007D14F6"/>
    <w:rsid w:val="007D171C"/>
    <w:rsid w:val="007D1E20"/>
    <w:rsid w:val="007D1EC5"/>
    <w:rsid w:val="007D289B"/>
    <w:rsid w:val="007D2BBF"/>
    <w:rsid w:val="007D2BE2"/>
    <w:rsid w:val="007D3666"/>
    <w:rsid w:val="007D4FFA"/>
    <w:rsid w:val="007D57E3"/>
    <w:rsid w:val="007D5B45"/>
    <w:rsid w:val="007D5E09"/>
    <w:rsid w:val="007D5E4F"/>
    <w:rsid w:val="007D5EA9"/>
    <w:rsid w:val="007D6033"/>
    <w:rsid w:val="007D6300"/>
    <w:rsid w:val="007D6C92"/>
    <w:rsid w:val="007D72CA"/>
    <w:rsid w:val="007D7B51"/>
    <w:rsid w:val="007E0383"/>
    <w:rsid w:val="007E0E4B"/>
    <w:rsid w:val="007E1921"/>
    <w:rsid w:val="007E30BC"/>
    <w:rsid w:val="007E513D"/>
    <w:rsid w:val="007E6D20"/>
    <w:rsid w:val="007E7724"/>
    <w:rsid w:val="007E7A99"/>
    <w:rsid w:val="007E7CC1"/>
    <w:rsid w:val="007E7DD1"/>
    <w:rsid w:val="007F047E"/>
    <w:rsid w:val="007F052D"/>
    <w:rsid w:val="007F0C03"/>
    <w:rsid w:val="007F1250"/>
    <w:rsid w:val="007F127E"/>
    <w:rsid w:val="007F14A9"/>
    <w:rsid w:val="007F251E"/>
    <w:rsid w:val="007F2C6F"/>
    <w:rsid w:val="007F2D4F"/>
    <w:rsid w:val="007F30DD"/>
    <w:rsid w:val="007F327E"/>
    <w:rsid w:val="007F34A7"/>
    <w:rsid w:val="007F3712"/>
    <w:rsid w:val="007F3ADA"/>
    <w:rsid w:val="007F3B96"/>
    <w:rsid w:val="007F419D"/>
    <w:rsid w:val="007F4B45"/>
    <w:rsid w:val="007F4FD0"/>
    <w:rsid w:val="007F51A5"/>
    <w:rsid w:val="007F77BF"/>
    <w:rsid w:val="007F7DF5"/>
    <w:rsid w:val="00800BB4"/>
    <w:rsid w:val="00800F03"/>
    <w:rsid w:val="0080128B"/>
    <w:rsid w:val="00801854"/>
    <w:rsid w:val="00801D00"/>
    <w:rsid w:val="008023BA"/>
    <w:rsid w:val="00802994"/>
    <w:rsid w:val="00802AA0"/>
    <w:rsid w:val="00805091"/>
    <w:rsid w:val="0080560B"/>
    <w:rsid w:val="008063CD"/>
    <w:rsid w:val="008103B2"/>
    <w:rsid w:val="00811129"/>
    <w:rsid w:val="00811919"/>
    <w:rsid w:val="00811DB1"/>
    <w:rsid w:val="00812ACC"/>
    <w:rsid w:val="00812FD4"/>
    <w:rsid w:val="00813599"/>
    <w:rsid w:val="00814424"/>
    <w:rsid w:val="00814F54"/>
    <w:rsid w:val="00815662"/>
    <w:rsid w:val="008162C2"/>
    <w:rsid w:val="00816D3B"/>
    <w:rsid w:val="00816FAF"/>
    <w:rsid w:val="0081726E"/>
    <w:rsid w:val="008179D2"/>
    <w:rsid w:val="00820137"/>
    <w:rsid w:val="008208E5"/>
    <w:rsid w:val="0082098B"/>
    <w:rsid w:val="00820B0A"/>
    <w:rsid w:val="00820CC3"/>
    <w:rsid w:val="00821116"/>
    <w:rsid w:val="00821B80"/>
    <w:rsid w:val="0082220A"/>
    <w:rsid w:val="00822565"/>
    <w:rsid w:val="00822651"/>
    <w:rsid w:val="0082276A"/>
    <w:rsid w:val="00822BBB"/>
    <w:rsid w:val="00822BF6"/>
    <w:rsid w:val="008237B5"/>
    <w:rsid w:val="00823912"/>
    <w:rsid w:val="00823B68"/>
    <w:rsid w:val="008249E6"/>
    <w:rsid w:val="00824BE1"/>
    <w:rsid w:val="0082516B"/>
    <w:rsid w:val="00825DB6"/>
    <w:rsid w:val="008260E0"/>
    <w:rsid w:val="00826B9B"/>
    <w:rsid w:val="00826FD0"/>
    <w:rsid w:val="00827081"/>
    <w:rsid w:val="0082761C"/>
    <w:rsid w:val="00830328"/>
    <w:rsid w:val="00830375"/>
    <w:rsid w:val="00830604"/>
    <w:rsid w:val="00830A99"/>
    <w:rsid w:val="00831406"/>
    <w:rsid w:val="00831754"/>
    <w:rsid w:val="008321C7"/>
    <w:rsid w:val="008323E4"/>
    <w:rsid w:val="00832A50"/>
    <w:rsid w:val="00832E95"/>
    <w:rsid w:val="00833F85"/>
    <w:rsid w:val="008352F8"/>
    <w:rsid w:val="00835F64"/>
    <w:rsid w:val="00835F8A"/>
    <w:rsid w:val="00836775"/>
    <w:rsid w:val="00836CD3"/>
    <w:rsid w:val="0083744F"/>
    <w:rsid w:val="008375F9"/>
    <w:rsid w:val="00840126"/>
    <w:rsid w:val="00840252"/>
    <w:rsid w:val="00840AC3"/>
    <w:rsid w:val="00840AFF"/>
    <w:rsid w:val="008414C2"/>
    <w:rsid w:val="00842A65"/>
    <w:rsid w:val="00842AB2"/>
    <w:rsid w:val="00843307"/>
    <w:rsid w:val="00843690"/>
    <w:rsid w:val="00843695"/>
    <w:rsid w:val="00844338"/>
    <w:rsid w:val="00844834"/>
    <w:rsid w:val="00844C7C"/>
    <w:rsid w:val="00844E8D"/>
    <w:rsid w:val="00845686"/>
    <w:rsid w:val="00845B75"/>
    <w:rsid w:val="00845DB0"/>
    <w:rsid w:val="00845E43"/>
    <w:rsid w:val="008467CB"/>
    <w:rsid w:val="008472CB"/>
    <w:rsid w:val="0084769C"/>
    <w:rsid w:val="00847CA5"/>
    <w:rsid w:val="008501C4"/>
    <w:rsid w:val="008515A5"/>
    <w:rsid w:val="008519EC"/>
    <w:rsid w:val="0085220F"/>
    <w:rsid w:val="0085332B"/>
    <w:rsid w:val="008533C8"/>
    <w:rsid w:val="0085341B"/>
    <w:rsid w:val="00853723"/>
    <w:rsid w:val="00853C0A"/>
    <w:rsid w:val="00854046"/>
    <w:rsid w:val="008543D1"/>
    <w:rsid w:val="00855511"/>
    <w:rsid w:val="00855BEB"/>
    <w:rsid w:val="00855CEA"/>
    <w:rsid w:val="008562DC"/>
    <w:rsid w:val="00856443"/>
    <w:rsid w:val="00857CE6"/>
    <w:rsid w:val="00860130"/>
    <w:rsid w:val="0086076A"/>
    <w:rsid w:val="00860868"/>
    <w:rsid w:val="00860976"/>
    <w:rsid w:val="00861A46"/>
    <w:rsid w:val="00861D56"/>
    <w:rsid w:val="00862487"/>
    <w:rsid w:val="00862B4A"/>
    <w:rsid w:val="00863076"/>
    <w:rsid w:val="00864A40"/>
    <w:rsid w:val="008659B5"/>
    <w:rsid w:val="00867988"/>
    <w:rsid w:val="00867C04"/>
    <w:rsid w:val="008700E4"/>
    <w:rsid w:val="0087183F"/>
    <w:rsid w:val="00872A6C"/>
    <w:rsid w:val="00872C08"/>
    <w:rsid w:val="00872D3D"/>
    <w:rsid w:val="00872D97"/>
    <w:rsid w:val="00872ECD"/>
    <w:rsid w:val="00874518"/>
    <w:rsid w:val="008749B6"/>
    <w:rsid w:val="008750DA"/>
    <w:rsid w:val="008751CA"/>
    <w:rsid w:val="00875BA2"/>
    <w:rsid w:val="00875C8F"/>
    <w:rsid w:val="00876531"/>
    <w:rsid w:val="0087665B"/>
    <w:rsid w:val="00876AFC"/>
    <w:rsid w:val="00877BC1"/>
    <w:rsid w:val="00877DE0"/>
    <w:rsid w:val="0088086A"/>
    <w:rsid w:val="00880B9A"/>
    <w:rsid w:val="00882E5F"/>
    <w:rsid w:val="00883AE7"/>
    <w:rsid w:val="00883D36"/>
    <w:rsid w:val="00884D76"/>
    <w:rsid w:val="0088576F"/>
    <w:rsid w:val="00885D50"/>
    <w:rsid w:val="00885D9F"/>
    <w:rsid w:val="00886123"/>
    <w:rsid w:val="00886AEC"/>
    <w:rsid w:val="00886EE0"/>
    <w:rsid w:val="008870C8"/>
    <w:rsid w:val="00887638"/>
    <w:rsid w:val="00887F63"/>
    <w:rsid w:val="00890BF2"/>
    <w:rsid w:val="008914FC"/>
    <w:rsid w:val="00892005"/>
    <w:rsid w:val="0089300A"/>
    <w:rsid w:val="008933FA"/>
    <w:rsid w:val="00893798"/>
    <w:rsid w:val="00893F7A"/>
    <w:rsid w:val="0089539C"/>
    <w:rsid w:val="008956F6"/>
    <w:rsid w:val="00896216"/>
    <w:rsid w:val="00896CEC"/>
    <w:rsid w:val="008975C2"/>
    <w:rsid w:val="00897603"/>
    <w:rsid w:val="00897BE4"/>
    <w:rsid w:val="00897D63"/>
    <w:rsid w:val="008A06E1"/>
    <w:rsid w:val="008A077D"/>
    <w:rsid w:val="008A0924"/>
    <w:rsid w:val="008A103B"/>
    <w:rsid w:val="008A11E6"/>
    <w:rsid w:val="008A1349"/>
    <w:rsid w:val="008A1B78"/>
    <w:rsid w:val="008A24CE"/>
    <w:rsid w:val="008A2E39"/>
    <w:rsid w:val="008A36E6"/>
    <w:rsid w:val="008A3904"/>
    <w:rsid w:val="008A3C84"/>
    <w:rsid w:val="008A4243"/>
    <w:rsid w:val="008A42F8"/>
    <w:rsid w:val="008A484C"/>
    <w:rsid w:val="008A4AE4"/>
    <w:rsid w:val="008A4B14"/>
    <w:rsid w:val="008A5A3A"/>
    <w:rsid w:val="008A65E9"/>
    <w:rsid w:val="008A6646"/>
    <w:rsid w:val="008A6694"/>
    <w:rsid w:val="008A7575"/>
    <w:rsid w:val="008A757A"/>
    <w:rsid w:val="008A7868"/>
    <w:rsid w:val="008A7CF8"/>
    <w:rsid w:val="008B0896"/>
    <w:rsid w:val="008B1603"/>
    <w:rsid w:val="008B16FA"/>
    <w:rsid w:val="008B199F"/>
    <w:rsid w:val="008B1B03"/>
    <w:rsid w:val="008B1CAF"/>
    <w:rsid w:val="008B1E7E"/>
    <w:rsid w:val="008B2821"/>
    <w:rsid w:val="008B2B2D"/>
    <w:rsid w:val="008B34D4"/>
    <w:rsid w:val="008B35BA"/>
    <w:rsid w:val="008B3B26"/>
    <w:rsid w:val="008B4027"/>
    <w:rsid w:val="008B4031"/>
    <w:rsid w:val="008B4549"/>
    <w:rsid w:val="008B5356"/>
    <w:rsid w:val="008B573B"/>
    <w:rsid w:val="008B58D6"/>
    <w:rsid w:val="008B5A38"/>
    <w:rsid w:val="008B6490"/>
    <w:rsid w:val="008C05E1"/>
    <w:rsid w:val="008C116F"/>
    <w:rsid w:val="008C1202"/>
    <w:rsid w:val="008C12B0"/>
    <w:rsid w:val="008C1515"/>
    <w:rsid w:val="008C25E2"/>
    <w:rsid w:val="008C2792"/>
    <w:rsid w:val="008C2869"/>
    <w:rsid w:val="008C2963"/>
    <w:rsid w:val="008C2A7F"/>
    <w:rsid w:val="008C2B5D"/>
    <w:rsid w:val="008C3272"/>
    <w:rsid w:val="008C32BD"/>
    <w:rsid w:val="008C33BD"/>
    <w:rsid w:val="008C387E"/>
    <w:rsid w:val="008C3B8F"/>
    <w:rsid w:val="008C3F69"/>
    <w:rsid w:val="008C41A5"/>
    <w:rsid w:val="008C4830"/>
    <w:rsid w:val="008C5447"/>
    <w:rsid w:val="008C5538"/>
    <w:rsid w:val="008C5607"/>
    <w:rsid w:val="008C5735"/>
    <w:rsid w:val="008C59B8"/>
    <w:rsid w:val="008C5E42"/>
    <w:rsid w:val="008C68C2"/>
    <w:rsid w:val="008C6D13"/>
    <w:rsid w:val="008C75E3"/>
    <w:rsid w:val="008D071F"/>
    <w:rsid w:val="008D07E1"/>
    <w:rsid w:val="008D0E9D"/>
    <w:rsid w:val="008D1058"/>
    <w:rsid w:val="008D229A"/>
    <w:rsid w:val="008D29AC"/>
    <w:rsid w:val="008D29E7"/>
    <w:rsid w:val="008D3105"/>
    <w:rsid w:val="008D3322"/>
    <w:rsid w:val="008D3EA7"/>
    <w:rsid w:val="008D40D4"/>
    <w:rsid w:val="008D44D2"/>
    <w:rsid w:val="008D5A1C"/>
    <w:rsid w:val="008D5A40"/>
    <w:rsid w:val="008D5B75"/>
    <w:rsid w:val="008D5BA5"/>
    <w:rsid w:val="008D6D6E"/>
    <w:rsid w:val="008D7221"/>
    <w:rsid w:val="008D73E2"/>
    <w:rsid w:val="008D7AF6"/>
    <w:rsid w:val="008E0429"/>
    <w:rsid w:val="008E057B"/>
    <w:rsid w:val="008E060F"/>
    <w:rsid w:val="008E1B1A"/>
    <w:rsid w:val="008E2510"/>
    <w:rsid w:val="008E2AB6"/>
    <w:rsid w:val="008E2D2D"/>
    <w:rsid w:val="008E2E74"/>
    <w:rsid w:val="008E3F6F"/>
    <w:rsid w:val="008E4830"/>
    <w:rsid w:val="008E4D39"/>
    <w:rsid w:val="008E4DDC"/>
    <w:rsid w:val="008E5B5A"/>
    <w:rsid w:val="008E6B9B"/>
    <w:rsid w:val="008E724F"/>
    <w:rsid w:val="008E73A4"/>
    <w:rsid w:val="008E73AC"/>
    <w:rsid w:val="008E7563"/>
    <w:rsid w:val="008E7B93"/>
    <w:rsid w:val="008E7E73"/>
    <w:rsid w:val="008E7F02"/>
    <w:rsid w:val="008F00F4"/>
    <w:rsid w:val="008F0252"/>
    <w:rsid w:val="008F0AB2"/>
    <w:rsid w:val="008F0BB1"/>
    <w:rsid w:val="008F0E1D"/>
    <w:rsid w:val="008F1DE6"/>
    <w:rsid w:val="008F22EE"/>
    <w:rsid w:val="008F2522"/>
    <w:rsid w:val="008F3F4A"/>
    <w:rsid w:val="008F414B"/>
    <w:rsid w:val="008F419E"/>
    <w:rsid w:val="008F470C"/>
    <w:rsid w:val="008F482B"/>
    <w:rsid w:val="008F4833"/>
    <w:rsid w:val="008F4D4F"/>
    <w:rsid w:val="008F4E3B"/>
    <w:rsid w:val="008F532A"/>
    <w:rsid w:val="008F58FE"/>
    <w:rsid w:val="008F5CE0"/>
    <w:rsid w:val="008F5F87"/>
    <w:rsid w:val="008F6BC2"/>
    <w:rsid w:val="008F7069"/>
    <w:rsid w:val="00900626"/>
    <w:rsid w:val="00900C1B"/>
    <w:rsid w:val="00900D39"/>
    <w:rsid w:val="00900DFD"/>
    <w:rsid w:val="00900F40"/>
    <w:rsid w:val="00901A91"/>
    <w:rsid w:val="00902A97"/>
    <w:rsid w:val="00902EE2"/>
    <w:rsid w:val="00903080"/>
    <w:rsid w:val="009031B8"/>
    <w:rsid w:val="009037DF"/>
    <w:rsid w:val="00903B66"/>
    <w:rsid w:val="00903C18"/>
    <w:rsid w:val="00904A0D"/>
    <w:rsid w:val="00904C77"/>
    <w:rsid w:val="0090500D"/>
    <w:rsid w:val="0090525A"/>
    <w:rsid w:val="00905445"/>
    <w:rsid w:val="00905842"/>
    <w:rsid w:val="009065DB"/>
    <w:rsid w:val="00906774"/>
    <w:rsid w:val="00907BC0"/>
    <w:rsid w:val="00910619"/>
    <w:rsid w:val="00911331"/>
    <w:rsid w:val="0091264B"/>
    <w:rsid w:val="009130E5"/>
    <w:rsid w:val="00913487"/>
    <w:rsid w:val="009147A6"/>
    <w:rsid w:val="00914C2B"/>
    <w:rsid w:val="00914DE5"/>
    <w:rsid w:val="00915B04"/>
    <w:rsid w:val="00915DBD"/>
    <w:rsid w:val="00915FC1"/>
    <w:rsid w:val="009165B9"/>
    <w:rsid w:val="00917867"/>
    <w:rsid w:val="00917B88"/>
    <w:rsid w:val="00917DEC"/>
    <w:rsid w:val="009200B0"/>
    <w:rsid w:val="009202D6"/>
    <w:rsid w:val="00920540"/>
    <w:rsid w:val="00920A7D"/>
    <w:rsid w:val="00920ADA"/>
    <w:rsid w:val="00920BC5"/>
    <w:rsid w:val="009216F5"/>
    <w:rsid w:val="00921777"/>
    <w:rsid w:val="009220C2"/>
    <w:rsid w:val="009220EF"/>
    <w:rsid w:val="00922706"/>
    <w:rsid w:val="00922A3B"/>
    <w:rsid w:val="00922EA5"/>
    <w:rsid w:val="00922FCE"/>
    <w:rsid w:val="009237D0"/>
    <w:rsid w:val="00923E56"/>
    <w:rsid w:val="00924AB0"/>
    <w:rsid w:val="00924BD7"/>
    <w:rsid w:val="00924E67"/>
    <w:rsid w:val="0092719A"/>
    <w:rsid w:val="00927C9B"/>
    <w:rsid w:val="00930927"/>
    <w:rsid w:val="00930C60"/>
    <w:rsid w:val="009317CB"/>
    <w:rsid w:val="00931C72"/>
    <w:rsid w:val="00931D2B"/>
    <w:rsid w:val="00931D66"/>
    <w:rsid w:val="00931D6E"/>
    <w:rsid w:val="00931EE8"/>
    <w:rsid w:val="009325C8"/>
    <w:rsid w:val="00932CEE"/>
    <w:rsid w:val="00932DFC"/>
    <w:rsid w:val="0093378D"/>
    <w:rsid w:val="009341CE"/>
    <w:rsid w:val="009349D5"/>
    <w:rsid w:val="00934E37"/>
    <w:rsid w:val="009356FF"/>
    <w:rsid w:val="00936A70"/>
    <w:rsid w:val="00936AB7"/>
    <w:rsid w:val="00936CE7"/>
    <w:rsid w:val="00936D1C"/>
    <w:rsid w:val="00936F4C"/>
    <w:rsid w:val="00937D60"/>
    <w:rsid w:val="00937FE3"/>
    <w:rsid w:val="009400AE"/>
    <w:rsid w:val="009401F8"/>
    <w:rsid w:val="009403B1"/>
    <w:rsid w:val="0094126F"/>
    <w:rsid w:val="009419D8"/>
    <w:rsid w:val="00941E08"/>
    <w:rsid w:val="00941E89"/>
    <w:rsid w:val="0094206F"/>
    <w:rsid w:val="00942520"/>
    <w:rsid w:val="00942A22"/>
    <w:rsid w:val="00942A83"/>
    <w:rsid w:val="00942FC1"/>
    <w:rsid w:val="00943001"/>
    <w:rsid w:val="00943170"/>
    <w:rsid w:val="00943199"/>
    <w:rsid w:val="009434FC"/>
    <w:rsid w:val="00943A6D"/>
    <w:rsid w:val="00943D5B"/>
    <w:rsid w:val="009442A0"/>
    <w:rsid w:val="009446F8"/>
    <w:rsid w:val="00945475"/>
    <w:rsid w:val="00945523"/>
    <w:rsid w:val="00945962"/>
    <w:rsid w:val="009463F5"/>
    <w:rsid w:val="0094665D"/>
    <w:rsid w:val="0094674D"/>
    <w:rsid w:val="00946860"/>
    <w:rsid w:val="00946B21"/>
    <w:rsid w:val="00946C86"/>
    <w:rsid w:val="00946C9F"/>
    <w:rsid w:val="00946F27"/>
    <w:rsid w:val="00947560"/>
    <w:rsid w:val="009475C6"/>
    <w:rsid w:val="009475FF"/>
    <w:rsid w:val="009477CD"/>
    <w:rsid w:val="00950D84"/>
    <w:rsid w:val="00951648"/>
    <w:rsid w:val="009523DB"/>
    <w:rsid w:val="00952890"/>
    <w:rsid w:val="00952D09"/>
    <w:rsid w:val="0095301A"/>
    <w:rsid w:val="009533CE"/>
    <w:rsid w:val="00953D97"/>
    <w:rsid w:val="0095502F"/>
    <w:rsid w:val="009550B0"/>
    <w:rsid w:val="009554CB"/>
    <w:rsid w:val="009556E5"/>
    <w:rsid w:val="00956335"/>
    <w:rsid w:val="009564BB"/>
    <w:rsid w:val="009564CD"/>
    <w:rsid w:val="009576D0"/>
    <w:rsid w:val="00957F9B"/>
    <w:rsid w:val="00961238"/>
    <w:rsid w:val="00961546"/>
    <w:rsid w:val="00961819"/>
    <w:rsid w:val="00961842"/>
    <w:rsid w:val="0096271E"/>
    <w:rsid w:val="00962C43"/>
    <w:rsid w:val="00963507"/>
    <w:rsid w:val="00963866"/>
    <w:rsid w:val="0096471C"/>
    <w:rsid w:val="00964885"/>
    <w:rsid w:val="009648DA"/>
    <w:rsid w:val="00964B60"/>
    <w:rsid w:val="00964CAA"/>
    <w:rsid w:val="00965046"/>
    <w:rsid w:val="00965836"/>
    <w:rsid w:val="00965EAA"/>
    <w:rsid w:val="009667FD"/>
    <w:rsid w:val="0096785A"/>
    <w:rsid w:val="00967A68"/>
    <w:rsid w:val="00970575"/>
    <w:rsid w:val="0097060D"/>
    <w:rsid w:val="00970AB5"/>
    <w:rsid w:val="00970B94"/>
    <w:rsid w:val="00970F62"/>
    <w:rsid w:val="009718A6"/>
    <w:rsid w:val="0097243B"/>
    <w:rsid w:val="00972678"/>
    <w:rsid w:val="009728DA"/>
    <w:rsid w:val="00972E41"/>
    <w:rsid w:val="00973736"/>
    <w:rsid w:val="00974AE3"/>
    <w:rsid w:val="009754D5"/>
    <w:rsid w:val="0097576E"/>
    <w:rsid w:val="00975BEC"/>
    <w:rsid w:val="00975E19"/>
    <w:rsid w:val="00975E9A"/>
    <w:rsid w:val="0098027C"/>
    <w:rsid w:val="00980923"/>
    <w:rsid w:val="00980C1E"/>
    <w:rsid w:val="009810F3"/>
    <w:rsid w:val="0098129B"/>
    <w:rsid w:val="009820C1"/>
    <w:rsid w:val="0098227A"/>
    <w:rsid w:val="0098389C"/>
    <w:rsid w:val="00983A08"/>
    <w:rsid w:val="00983BD8"/>
    <w:rsid w:val="00983F41"/>
    <w:rsid w:val="00984050"/>
    <w:rsid w:val="0098440B"/>
    <w:rsid w:val="00984772"/>
    <w:rsid w:val="00984CBB"/>
    <w:rsid w:val="00984E65"/>
    <w:rsid w:val="009850FD"/>
    <w:rsid w:val="00985124"/>
    <w:rsid w:val="009868BE"/>
    <w:rsid w:val="00986FFE"/>
    <w:rsid w:val="0098706B"/>
    <w:rsid w:val="00987354"/>
    <w:rsid w:val="00990910"/>
    <w:rsid w:val="009910A0"/>
    <w:rsid w:val="00991365"/>
    <w:rsid w:val="009913E0"/>
    <w:rsid w:val="009919B1"/>
    <w:rsid w:val="00991B43"/>
    <w:rsid w:val="00992977"/>
    <w:rsid w:val="009936BD"/>
    <w:rsid w:val="00994C66"/>
    <w:rsid w:val="00994FC8"/>
    <w:rsid w:val="009952CB"/>
    <w:rsid w:val="009960E5"/>
    <w:rsid w:val="00996266"/>
    <w:rsid w:val="009968DD"/>
    <w:rsid w:val="009977A7"/>
    <w:rsid w:val="009A06DF"/>
    <w:rsid w:val="009A07CE"/>
    <w:rsid w:val="009A0D79"/>
    <w:rsid w:val="009A0F33"/>
    <w:rsid w:val="009A101F"/>
    <w:rsid w:val="009A1112"/>
    <w:rsid w:val="009A121D"/>
    <w:rsid w:val="009A1BE4"/>
    <w:rsid w:val="009A1CEF"/>
    <w:rsid w:val="009A229A"/>
    <w:rsid w:val="009A3164"/>
    <w:rsid w:val="009A56BE"/>
    <w:rsid w:val="009A59A8"/>
    <w:rsid w:val="009A6201"/>
    <w:rsid w:val="009A6241"/>
    <w:rsid w:val="009A66B5"/>
    <w:rsid w:val="009A6721"/>
    <w:rsid w:val="009A7609"/>
    <w:rsid w:val="009A78B3"/>
    <w:rsid w:val="009B036C"/>
    <w:rsid w:val="009B1356"/>
    <w:rsid w:val="009B13D3"/>
    <w:rsid w:val="009B1ECA"/>
    <w:rsid w:val="009B23A9"/>
    <w:rsid w:val="009B2BCF"/>
    <w:rsid w:val="009B2E4B"/>
    <w:rsid w:val="009B3467"/>
    <w:rsid w:val="009B4373"/>
    <w:rsid w:val="009B4935"/>
    <w:rsid w:val="009B4B69"/>
    <w:rsid w:val="009B5A87"/>
    <w:rsid w:val="009B604C"/>
    <w:rsid w:val="009B6842"/>
    <w:rsid w:val="009B6995"/>
    <w:rsid w:val="009B6B5D"/>
    <w:rsid w:val="009B7751"/>
    <w:rsid w:val="009B79D9"/>
    <w:rsid w:val="009C028A"/>
    <w:rsid w:val="009C07A5"/>
    <w:rsid w:val="009C0A5E"/>
    <w:rsid w:val="009C1C99"/>
    <w:rsid w:val="009C1DC7"/>
    <w:rsid w:val="009C1F11"/>
    <w:rsid w:val="009C2140"/>
    <w:rsid w:val="009C2DFB"/>
    <w:rsid w:val="009C2FC6"/>
    <w:rsid w:val="009C334C"/>
    <w:rsid w:val="009C349D"/>
    <w:rsid w:val="009C3818"/>
    <w:rsid w:val="009C3DAB"/>
    <w:rsid w:val="009C3F17"/>
    <w:rsid w:val="009C52A7"/>
    <w:rsid w:val="009C5327"/>
    <w:rsid w:val="009C60CB"/>
    <w:rsid w:val="009C660C"/>
    <w:rsid w:val="009C6A5E"/>
    <w:rsid w:val="009D01C1"/>
    <w:rsid w:val="009D0292"/>
    <w:rsid w:val="009D0B0D"/>
    <w:rsid w:val="009D10D5"/>
    <w:rsid w:val="009D15D7"/>
    <w:rsid w:val="009D1844"/>
    <w:rsid w:val="009D2243"/>
    <w:rsid w:val="009D236C"/>
    <w:rsid w:val="009D2524"/>
    <w:rsid w:val="009D2F72"/>
    <w:rsid w:val="009D3534"/>
    <w:rsid w:val="009D37D7"/>
    <w:rsid w:val="009D39A1"/>
    <w:rsid w:val="009D39DC"/>
    <w:rsid w:val="009D42EB"/>
    <w:rsid w:val="009D43E2"/>
    <w:rsid w:val="009D4504"/>
    <w:rsid w:val="009D4A1A"/>
    <w:rsid w:val="009D5439"/>
    <w:rsid w:val="009D594B"/>
    <w:rsid w:val="009D5B73"/>
    <w:rsid w:val="009D6BDE"/>
    <w:rsid w:val="009D6E43"/>
    <w:rsid w:val="009D71F3"/>
    <w:rsid w:val="009D7244"/>
    <w:rsid w:val="009D7637"/>
    <w:rsid w:val="009D7BE5"/>
    <w:rsid w:val="009E00B2"/>
    <w:rsid w:val="009E00C6"/>
    <w:rsid w:val="009E05EF"/>
    <w:rsid w:val="009E06B2"/>
    <w:rsid w:val="009E09BC"/>
    <w:rsid w:val="009E114E"/>
    <w:rsid w:val="009E16A1"/>
    <w:rsid w:val="009E1E4E"/>
    <w:rsid w:val="009E1FB2"/>
    <w:rsid w:val="009E30E9"/>
    <w:rsid w:val="009E393F"/>
    <w:rsid w:val="009E3A90"/>
    <w:rsid w:val="009E3AF6"/>
    <w:rsid w:val="009E41D3"/>
    <w:rsid w:val="009E477D"/>
    <w:rsid w:val="009E4F23"/>
    <w:rsid w:val="009E56D2"/>
    <w:rsid w:val="009E5DD1"/>
    <w:rsid w:val="009E5DD2"/>
    <w:rsid w:val="009E6373"/>
    <w:rsid w:val="009E6D56"/>
    <w:rsid w:val="009E7554"/>
    <w:rsid w:val="009E783B"/>
    <w:rsid w:val="009E7C69"/>
    <w:rsid w:val="009E7D88"/>
    <w:rsid w:val="009F0EEB"/>
    <w:rsid w:val="009F0F52"/>
    <w:rsid w:val="009F14A1"/>
    <w:rsid w:val="009F1584"/>
    <w:rsid w:val="009F16EC"/>
    <w:rsid w:val="009F20F7"/>
    <w:rsid w:val="009F2A7E"/>
    <w:rsid w:val="009F2E47"/>
    <w:rsid w:val="009F2F6E"/>
    <w:rsid w:val="009F3C79"/>
    <w:rsid w:val="009F48CB"/>
    <w:rsid w:val="009F5E6D"/>
    <w:rsid w:val="009F6AE1"/>
    <w:rsid w:val="009F6DB1"/>
    <w:rsid w:val="009F74A6"/>
    <w:rsid w:val="009F759E"/>
    <w:rsid w:val="009F7677"/>
    <w:rsid w:val="00A009F9"/>
    <w:rsid w:val="00A00A85"/>
    <w:rsid w:val="00A00BC8"/>
    <w:rsid w:val="00A00FAC"/>
    <w:rsid w:val="00A0140F"/>
    <w:rsid w:val="00A014D9"/>
    <w:rsid w:val="00A01C59"/>
    <w:rsid w:val="00A038BE"/>
    <w:rsid w:val="00A03D2F"/>
    <w:rsid w:val="00A03E1B"/>
    <w:rsid w:val="00A04DD8"/>
    <w:rsid w:val="00A05BEC"/>
    <w:rsid w:val="00A0613D"/>
    <w:rsid w:val="00A061FD"/>
    <w:rsid w:val="00A070BE"/>
    <w:rsid w:val="00A07190"/>
    <w:rsid w:val="00A10831"/>
    <w:rsid w:val="00A11051"/>
    <w:rsid w:val="00A112CD"/>
    <w:rsid w:val="00A113BB"/>
    <w:rsid w:val="00A11A42"/>
    <w:rsid w:val="00A122B4"/>
    <w:rsid w:val="00A122FD"/>
    <w:rsid w:val="00A129C9"/>
    <w:rsid w:val="00A129D0"/>
    <w:rsid w:val="00A12F3B"/>
    <w:rsid w:val="00A13156"/>
    <w:rsid w:val="00A13A46"/>
    <w:rsid w:val="00A14854"/>
    <w:rsid w:val="00A14E4C"/>
    <w:rsid w:val="00A151FA"/>
    <w:rsid w:val="00A157C9"/>
    <w:rsid w:val="00A15BDE"/>
    <w:rsid w:val="00A167DE"/>
    <w:rsid w:val="00A16C3F"/>
    <w:rsid w:val="00A2007D"/>
    <w:rsid w:val="00A20561"/>
    <w:rsid w:val="00A20BA0"/>
    <w:rsid w:val="00A20D10"/>
    <w:rsid w:val="00A20E02"/>
    <w:rsid w:val="00A20F72"/>
    <w:rsid w:val="00A21725"/>
    <w:rsid w:val="00A21AE0"/>
    <w:rsid w:val="00A21DE9"/>
    <w:rsid w:val="00A23EC9"/>
    <w:rsid w:val="00A246F2"/>
    <w:rsid w:val="00A266FC"/>
    <w:rsid w:val="00A26B4A"/>
    <w:rsid w:val="00A2701E"/>
    <w:rsid w:val="00A27C11"/>
    <w:rsid w:val="00A27F46"/>
    <w:rsid w:val="00A27F4F"/>
    <w:rsid w:val="00A30030"/>
    <w:rsid w:val="00A30A10"/>
    <w:rsid w:val="00A31281"/>
    <w:rsid w:val="00A31BA8"/>
    <w:rsid w:val="00A31E6C"/>
    <w:rsid w:val="00A328CF"/>
    <w:rsid w:val="00A32929"/>
    <w:rsid w:val="00A331AA"/>
    <w:rsid w:val="00A33655"/>
    <w:rsid w:val="00A342FD"/>
    <w:rsid w:val="00A34929"/>
    <w:rsid w:val="00A34A3A"/>
    <w:rsid w:val="00A34C03"/>
    <w:rsid w:val="00A34E2B"/>
    <w:rsid w:val="00A35798"/>
    <w:rsid w:val="00A358DE"/>
    <w:rsid w:val="00A362B6"/>
    <w:rsid w:val="00A37756"/>
    <w:rsid w:val="00A40213"/>
    <w:rsid w:val="00A41382"/>
    <w:rsid w:val="00A42034"/>
    <w:rsid w:val="00A4283C"/>
    <w:rsid w:val="00A42BB6"/>
    <w:rsid w:val="00A43500"/>
    <w:rsid w:val="00A44C61"/>
    <w:rsid w:val="00A45679"/>
    <w:rsid w:val="00A45C09"/>
    <w:rsid w:val="00A45D95"/>
    <w:rsid w:val="00A46A81"/>
    <w:rsid w:val="00A46ABA"/>
    <w:rsid w:val="00A46AEF"/>
    <w:rsid w:val="00A474FB"/>
    <w:rsid w:val="00A4750A"/>
    <w:rsid w:val="00A47A90"/>
    <w:rsid w:val="00A47ADA"/>
    <w:rsid w:val="00A501CA"/>
    <w:rsid w:val="00A50C1A"/>
    <w:rsid w:val="00A50ED4"/>
    <w:rsid w:val="00A518C2"/>
    <w:rsid w:val="00A519BF"/>
    <w:rsid w:val="00A519EC"/>
    <w:rsid w:val="00A51CF2"/>
    <w:rsid w:val="00A520D7"/>
    <w:rsid w:val="00A5318B"/>
    <w:rsid w:val="00A53260"/>
    <w:rsid w:val="00A538A0"/>
    <w:rsid w:val="00A53BF4"/>
    <w:rsid w:val="00A54904"/>
    <w:rsid w:val="00A54BE1"/>
    <w:rsid w:val="00A55061"/>
    <w:rsid w:val="00A559DB"/>
    <w:rsid w:val="00A55C6F"/>
    <w:rsid w:val="00A55DDB"/>
    <w:rsid w:val="00A560F2"/>
    <w:rsid w:val="00A569CF"/>
    <w:rsid w:val="00A56D42"/>
    <w:rsid w:val="00A57860"/>
    <w:rsid w:val="00A57F09"/>
    <w:rsid w:val="00A602D5"/>
    <w:rsid w:val="00A60A45"/>
    <w:rsid w:val="00A60EBE"/>
    <w:rsid w:val="00A6161C"/>
    <w:rsid w:val="00A619BF"/>
    <w:rsid w:val="00A61B8E"/>
    <w:rsid w:val="00A62BBE"/>
    <w:rsid w:val="00A62E96"/>
    <w:rsid w:val="00A62FAD"/>
    <w:rsid w:val="00A637F8"/>
    <w:rsid w:val="00A638C3"/>
    <w:rsid w:val="00A63C0C"/>
    <w:rsid w:val="00A6488B"/>
    <w:rsid w:val="00A65733"/>
    <w:rsid w:val="00A65D31"/>
    <w:rsid w:val="00A65EF9"/>
    <w:rsid w:val="00A66A43"/>
    <w:rsid w:val="00A67184"/>
    <w:rsid w:val="00A704D9"/>
    <w:rsid w:val="00A709B8"/>
    <w:rsid w:val="00A71B1E"/>
    <w:rsid w:val="00A71C59"/>
    <w:rsid w:val="00A72942"/>
    <w:rsid w:val="00A72A54"/>
    <w:rsid w:val="00A72EB6"/>
    <w:rsid w:val="00A72EE7"/>
    <w:rsid w:val="00A7332C"/>
    <w:rsid w:val="00A7352E"/>
    <w:rsid w:val="00A73BA5"/>
    <w:rsid w:val="00A73BD6"/>
    <w:rsid w:val="00A74311"/>
    <w:rsid w:val="00A74765"/>
    <w:rsid w:val="00A75192"/>
    <w:rsid w:val="00A75714"/>
    <w:rsid w:val="00A75B84"/>
    <w:rsid w:val="00A75DAC"/>
    <w:rsid w:val="00A76B29"/>
    <w:rsid w:val="00A76F92"/>
    <w:rsid w:val="00A77E64"/>
    <w:rsid w:val="00A803F5"/>
    <w:rsid w:val="00A806A0"/>
    <w:rsid w:val="00A809FB"/>
    <w:rsid w:val="00A810F7"/>
    <w:rsid w:val="00A81B16"/>
    <w:rsid w:val="00A823D1"/>
    <w:rsid w:val="00A83429"/>
    <w:rsid w:val="00A83674"/>
    <w:rsid w:val="00A83B76"/>
    <w:rsid w:val="00A83DDC"/>
    <w:rsid w:val="00A843AA"/>
    <w:rsid w:val="00A85254"/>
    <w:rsid w:val="00A855FB"/>
    <w:rsid w:val="00A8593E"/>
    <w:rsid w:val="00A85D7D"/>
    <w:rsid w:val="00A860CF"/>
    <w:rsid w:val="00A90C02"/>
    <w:rsid w:val="00A90DFF"/>
    <w:rsid w:val="00A90F3F"/>
    <w:rsid w:val="00A90F42"/>
    <w:rsid w:val="00A91759"/>
    <w:rsid w:val="00A922F4"/>
    <w:rsid w:val="00A92A2E"/>
    <w:rsid w:val="00A92E8B"/>
    <w:rsid w:val="00A932C8"/>
    <w:rsid w:val="00A933EB"/>
    <w:rsid w:val="00A9369D"/>
    <w:rsid w:val="00A93760"/>
    <w:rsid w:val="00A94BA0"/>
    <w:rsid w:val="00A94D37"/>
    <w:rsid w:val="00A955ED"/>
    <w:rsid w:val="00A96138"/>
    <w:rsid w:val="00A961C7"/>
    <w:rsid w:val="00A965AD"/>
    <w:rsid w:val="00A9692C"/>
    <w:rsid w:val="00A96E3C"/>
    <w:rsid w:val="00A9739F"/>
    <w:rsid w:val="00A97603"/>
    <w:rsid w:val="00A977E0"/>
    <w:rsid w:val="00A978BE"/>
    <w:rsid w:val="00A97B07"/>
    <w:rsid w:val="00A97FBB"/>
    <w:rsid w:val="00AA101E"/>
    <w:rsid w:val="00AA14AA"/>
    <w:rsid w:val="00AA1791"/>
    <w:rsid w:val="00AA1C7C"/>
    <w:rsid w:val="00AA1D88"/>
    <w:rsid w:val="00AA292C"/>
    <w:rsid w:val="00AA29A4"/>
    <w:rsid w:val="00AA2B39"/>
    <w:rsid w:val="00AA2C4A"/>
    <w:rsid w:val="00AA2DED"/>
    <w:rsid w:val="00AA33CF"/>
    <w:rsid w:val="00AA3506"/>
    <w:rsid w:val="00AA4110"/>
    <w:rsid w:val="00AA4440"/>
    <w:rsid w:val="00AA4478"/>
    <w:rsid w:val="00AA49E5"/>
    <w:rsid w:val="00AA4B0C"/>
    <w:rsid w:val="00AA4CAB"/>
    <w:rsid w:val="00AA6058"/>
    <w:rsid w:val="00AA62D6"/>
    <w:rsid w:val="00AA71A3"/>
    <w:rsid w:val="00AB01FB"/>
    <w:rsid w:val="00AB054D"/>
    <w:rsid w:val="00AB13BD"/>
    <w:rsid w:val="00AB35EB"/>
    <w:rsid w:val="00AB3FBE"/>
    <w:rsid w:val="00AB40BF"/>
    <w:rsid w:val="00AB497D"/>
    <w:rsid w:val="00AB4BF6"/>
    <w:rsid w:val="00AB4C64"/>
    <w:rsid w:val="00AB4F19"/>
    <w:rsid w:val="00AB57B9"/>
    <w:rsid w:val="00AB621C"/>
    <w:rsid w:val="00AB69B0"/>
    <w:rsid w:val="00AB7BDB"/>
    <w:rsid w:val="00AB7D7E"/>
    <w:rsid w:val="00AC08A8"/>
    <w:rsid w:val="00AC08D8"/>
    <w:rsid w:val="00AC1949"/>
    <w:rsid w:val="00AC1FAF"/>
    <w:rsid w:val="00AC2365"/>
    <w:rsid w:val="00AC28FC"/>
    <w:rsid w:val="00AC2AC0"/>
    <w:rsid w:val="00AC30F3"/>
    <w:rsid w:val="00AC31DF"/>
    <w:rsid w:val="00AC3AFE"/>
    <w:rsid w:val="00AC4C72"/>
    <w:rsid w:val="00AC4D3A"/>
    <w:rsid w:val="00AC5119"/>
    <w:rsid w:val="00AC511B"/>
    <w:rsid w:val="00AC55FC"/>
    <w:rsid w:val="00AC6393"/>
    <w:rsid w:val="00AC6A37"/>
    <w:rsid w:val="00AC7A46"/>
    <w:rsid w:val="00AC7AE2"/>
    <w:rsid w:val="00AC7AFB"/>
    <w:rsid w:val="00AC7EAB"/>
    <w:rsid w:val="00AD0369"/>
    <w:rsid w:val="00AD05BA"/>
    <w:rsid w:val="00AD0EBD"/>
    <w:rsid w:val="00AD11B0"/>
    <w:rsid w:val="00AD18E8"/>
    <w:rsid w:val="00AD245D"/>
    <w:rsid w:val="00AD25BF"/>
    <w:rsid w:val="00AD33BD"/>
    <w:rsid w:val="00AD3431"/>
    <w:rsid w:val="00AD3A53"/>
    <w:rsid w:val="00AD3C6A"/>
    <w:rsid w:val="00AD496F"/>
    <w:rsid w:val="00AD5088"/>
    <w:rsid w:val="00AD5CE8"/>
    <w:rsid w:val="00AD6414"/>
    <w:rsid w:val="00AD764B"/>
    <w:rsid w:val="00AD7EA8"/>
    <w:rsid w:val="00AD7EF8"/>
    <w:rsid w:val="00AE13C3"/>
    <w:rsid w:val="00AE2437"/>
    <w:rsid w:val="00AE24BA"/>
    <w:rsid w:val="00AE284E"/>
    <w:rsid w:val="00AE2D81"/>
    <w:rsid w:val="00AE2EC3"/>
    <w:rsid w:val="00AE313B"/>
    <w:rsid w:val="00AE34DE"/>
    <w:rsid w:val="00AE35D1"/>
    <w:rsid w:val="00AE415A"/>
    <w:rsid w:val="00AE4BC8"/>
    <w:rsid w:val="00AE523E"/>
    <w:rsid w:val="00AE53FD"/>
    <w:rsid w:val="00AE544E"/>
    <w:rsid w:val="00AE6A05"/>
    <w:rsid w:val="00AE6FE2"/>
    <w:rsid w:val="00AE702A"/>
    <w:rsid w:val="00AE7326"/>
    <w:rsid w:val="00AF05AE"/>
    <w:rsid w:val="00AF05F3"/>
    <w:rsid w:val="00AF06CD"/>
    <w:rsid w:val="00AF0916"/>
    <w:rsid w:val="00AF0AD4"/>
    <w:rsid w:val="00AF0CC1"/>
    <w:rsid w:val="00AF0F34"/>
    <w:rsid w:val="00AF1388"/>
    <w:rsid w:val="00AF1747"/>
    <w:rsid w:val="00AF1823"/>
    <w:rsid w:val="00AF1E5C"/>
    <w:rsid w:val="00AF1F91"/>
    <w:rsid w:val="00AF2018"/>
    <w:rsid w:val="00AF205C"/>
    <w:rsid w:val="00AF267F"/>
    <w:rsid w:val="00AF2C08"/>
    <w:rsid w:val="00AF3BED"/>
    <w:rsid w:val="00AF42D0"/>
    <w:rsid w:val="00AF5124"/>
    <w:rsid w:val="00AF5551"/>
    <w:rsid w:val="00AF6A64"/>
    <w:rsid w:val="00AF7213"/>
    <w:rsid w:val="00AF7B2C"/>
    <w:rsid w:val="00B00207"/>
    <w:rsid w:val="00B00773"/>
    <w:rsid w:val="00B008D8"/>
    <w:rsid w:val="00B0118D"/>
    <w:rsid w:val="00B015C1"/>
    <w:rsid w:val="00B015EF"/>
    <w:rsid w:val="00B01CE8"/>
    <w:rsid w:val="00B02150"/>
    <w:rsid w:val="00B021C2"/>
    <w:rsid w:val="00B021E7"/>
    <w:rsid w:val="00B027A4"/>
    <w:rsid w:val="00B02803"/>
    <w:rsid w:val="00B02846"/>
    <w:rsid w:val="00B03234"/>
    <w:rsid w:val="00B0360B"/>
    <w:rsid w:val="00B03995"/>
    <w:rsid w:val="00B03EC2"/>
    <w:rsid w:val="00B041FF"/>
    <w:rsid w:val="00B043B9"/>
    <w:rsid w:val="00B049E3"/>
    <w:rsid w:val="00B04EF0"/>
    <w:rsid w:val="00B0525A"/>
    <w:rsid w:val="00B053F1"/>
    <w:rsid w:val="00B058C5"/>
    <w:rsid w:val="00B061A9"/>
    <w:rsid w:val="00B068B7"/>
    <w:rsid w:val="00B06C29"/>
    <w:rsid w:val="00B06DF9"/>
    <w:rsid w:val="00B07305"/>
    <w:rsid w:val="00B074DB"/>
    <w:rsid w:val="00B07E98"/>
    <w:rsid w:val="00B10121"/>
    <w:rsid w:val="00B102AD"/>
    <w:rsid w:val="00B10765"/>
    <w:rsid w:val="00B111BF"/>
    <w:rsid w:val="00B11281"/>
    <w:rsid w:val="00B11B2F"/>
    <w:rsid w:val="00B12D76"/>
    <w:rsid w:val="00B13A31"/>
    <w:rsid w:val="00B13C94"/>
    <w:rsid w:val="00B14317"/>
    <w:rsid w:val="00B143BF"/>
    <w:rsid w:val="00B14A84"/>
    <w:rsid w:val="00B14FFB"/>
    <w:rsid w:val="00B1514E"/>
    <w:rsid w:val="00B159D7"/>
    <w:rsid w:val="00B15C94"/>
    <w:rsid w:val="00B16AD6"/>
    <w:rsid w:val="00B17377"/>
    <w:rsid w:val="00B203E5"/>
    <w:rsid w:val="00B208C2"/>
    <w:rsid w:val="00B20C0E"/>
    <w:rsid w:val="00B213EF"/>
    <w:rsid w:val="00B21BB2"/>
    <w:rsid w:val="00B21DBC"/>
    <w:rsid w:val="00B22BC0"/>
    <w:rsid w:val="00B23A31"/>
    <w:rsid w:val="00B23F9D"/>
    <w:rsid w:val="00B23FED"/>
    <w:rsid w:val="00B241C8"/>
    <w:rsid w:val="00B2427C"/>
    <w:rsid w:val="00B24E5D"/>
    <w:rsid w:val="00B252B2"/>
    <w:rsid w:val="00B2552E"/>
    <w:rsid w:val="00B25BC6"/>
    <w:rsid w:val="00B25FE0"/>
    <w:rsid w:val="00B26896"/>
    <w:rsid w:val="00B26DBB"/>
    <w:rsid w:val="00B271E6"/>
    <w:rsid w:val="00B2791E"/>
    <w:rsid w:val="00B301C5"/>
    <w:rsid w:val="00B30C37"/>
    <w:rsid w:val="00B3157A"/>
    <w:rsid w:val="00B31647"/>
    <w:rsid w:val="00B31988"/>
    <w:rsid w:val="00B31E7E"/>
    <w:rsid w:val="00B32014"/>
    <w:rsid w:val="00B320D8"/>
    <w:rsid w:val="00B324F2"/>
    <w:rsid w:val="00B3251E"/>
    <w:rsid w:val="00B33A6C"/>
    <w:rsid w:val="00B33CAB"/>
    <w:rsid w:val="00B345E7"/>
    <w:rsid w:val="00B34608"/>
    <w:rsid w:val="00B3493C"/>
    <w:rsid w:val="00B34973"/>
    <w:rsid w:val="00B34CE9"/>
    <w:rsid w:val="00B35551"/>
    <w:rsid w:val="00B35B45"/>
    <w:rsid w:val="00B3629A"/>
    <w:rsid w:val="00B36756"/>
    <w:rsid w:val="00B36C24"/>
    <w:rsid w:val="00B36F7E"/>
    <w:rsid w:val="00B3785E"/>
    <w:rsid w:val="00B37A0A"/>
    <w:rsid w:val="00B40335"/>
    <w:rsid w:val="00B40521"/>
    <w:rsid w:val="00B40765"/>
    <w:rsid w:val="00B40BD3"/>
    <w:rsid w:val="00B40D0C"/>
    <w:rsid w:val="00B40D1E"/>
    <w:rsid w:val="00B40D6E"/>
    <w:rsid w:val="00B4212E"/>
    <w:rsid w:val="00B421C0"/>
    <w:rsid w:val="00B42230"/>
    <w:rsid w:val="00B42425"/>
    <w:rsid w:val="00B4286F"/>
    <w:rsid w:val="00B428F6"/>
    <w:rsid w:val="00B4344D"/>
    <w:rsid w:val="00B43F2C"/>
    <w:rsid w:val="00B44B35"/>
    <w:rsid w:val="00B4510A"/>
    <w:rsid w:val="00B454C8"/>
    <w:rsid w:val="00B4562A"/>
    <w:rsid w:val="00B4590F"/>
    <w:rsid w:val="00B45E28"/>
    <w:rsid w:val="00B45FF7"/>
    <w:rsid w:val="00B46B6F"/>
    <w:rsid w:val="00B47527"/>
    <w:rsid w:val="00B475B9"/>
    <w:rsid w:val="00B47D09"/>
    <w:rsid w:val="00B47F14"/>
    <w:rsid w:val="00B50A7D"/>
    <w:rsid w:val="00B50CE6"/>
    <w:rsid w:val="00B51783"/>
    <w:rsid w:val="00B527F9"/>
    <w:rsid w:val="00B52A44"/>
    <w:rsid w:val="00B53081"/>
    <w:rsid w:val="00B530AA"/>
    <w:rsid w:val="00B53A56"/>
    <w:rsid w:val="00B53E38"/>
    <w:rsid w:val="00B544EE"/>
    <w:rsid w:val="00B547EC"/>
    <w:rsid w:val="00B548FE"/>
    <w:rsid w:val="00B54DBD"/>
    <w:rsid w:val="00B556A0"/>
    <w:rsid w:val="00B558F5"/>
    <w:rsid w:val="00B558FA"/>
    <w:rsid w:val="00B55B61"/>
    <w:rsid w:val="00B5621C"/>
    <w:rsid w:val="00B5625D"/>
    <w:rsid w:val="00B565FF"/>
    <w:rsid w:val="00B5674A"/>
    <w:rsid w:val="00B56C6E"/>
    <w:rsid w:val="00B56CCC"/>
    <w:rsid w:val="00B56EA8"/>
    <w:rsid w:val="00B57007"/>
    <w:rsid w:val="00B60169"/>
    <w:rsid w:val="00B60AC4"/>
    <w:rsid w:val="00B61001"/>
    <w:rsid w:val="00B614AE"/>
    <w:rsid w:val="00B61CB7"/>
    <w:rsid w:val="00B62A90"/>
    <w:rsid w:val="00B62B4F"/>
    <w:rsid w:val="00B62D1D"/>
    <w:rsid w:val="00B6337A"/>
    <w:rsid w:val="00B633B2"/>
    <w:rsid w:val="00B640A8"/>
    <w:rsid w:val="00B64116"/>
    <w:rsid w:val="00B643AF"/>
    <w:rsid w:val="00B6514E"/>
    <w:rsid w:val="00B6752C"/>
    <w:rsid w:val="00B67A73"/>
    <w:rsid w:val="00B70FB4"/>
    <w:rsid w:val="00B71273"/>
    <w:rsid w:val="00B71450"/>
    <w:rsid w:val="00B7291B"/>
    <w:rsid w:val="00B72C98"/>
    <w:rsid w:val="00B72DCB"/>
    <w:rsid w:val="00B7365D"/>
    <w:rsid w:val="00B73FC5"/>
    <w:rsid w:val="00B7407C"/>
    <w:rsid w:val="00B74C6A"/>
    <w:rsid w:val="00B74C93"/>
    <w:rsid w:val="00B74EAB"/>
    <w:rsid w:val="00B74ED3"/>
    <w:rsid w:val="00B75556"/>
    <w:rsid w:val="00B75827"/>
    <w:rsid w:val="00B758B7"/>
    <w:rsid w:val="00B762E8"/>
    <w:rsid w:val="00B76368"/>
    <w:rsid w:val="00B766CF"/>
    <w:rsid w:val="00B768DA"/>
    <w:rsid w:val="00B76EDF"/>
    <w:rsid w:val="00B770EC"/>
    <w:rsid w:val="00B77E5F"/>
    <w:rsid w:val="00B77F63"/>
    <w:rsid w:val="00B80200"/>
    <w:rsid w:val="00B806C8"/>
    <w:rsid w:val="00B80AD3"/>
    <w:rsid w:val="00B80F31"/>
    <w:rsid w:val="00B812A2"/>
    <w:rsid w:val="00B81550"/>
    <w:rsid w:val="00B817C7"/>
    <w:rsid w:val="00B81E36"/>
    <w:rsid w:val="00B81E38"/>
    <w:rsid w:val="00B83748"/>
    <w:rsid w:val="00B844AD"/>
    <w:rsid w:val="00B84CEC"/>
    <w:rsid w:val="00B84F4B"/>
    <w:rsid w:val="00B85244"/>
    <w:rsid w:val="00B85BBC"/>
    <w:rsid w:val="00B8615A"/>
    <w:rsid w:val="00B86FA4"/>
    <w:rsid w:val="00B8753A"/>
    <w:rsid w:val="00B87965"/>
    <w:rsid w:val="00B87DC7"/>
    <w:rsid w:val="00B87F5F"/>
    <w:rsid w:val="00B9054B"/>
    <w:rsid w:val="00B91331"/>
    <w:rsid w:val="00B91DC1"/>
    <w:rsid w:val="00B92F80"/>
    <w:rsid w:val="00B9306C"/>
    <w:rsid w:val="00B93BA1"/>
    <w:rsid w:val="00B94376"/>
    <w:rsid w:val="00B94B78"/>
    <w:rsid w:val="00B94E0D"/>
    <w:rsid w:val="00B951EE"/>
    <w:rsid w:val="00B9551A"/>
    <w:rsid w:val="00B95856"/>
    <w:rsid w:val="00B95A8D"/>
    <w:rsid w:val="00B965F9"/>
    <w:rsid w:val="00B96AA9"/>
    <w:rsid w:val="00B96C81"/>
    <w:rsid w:val="00B971DC"/>
    <w:rsid w:val="00B97810"/>
    <w:rsid w:val="00B97916"/>
    <w:rsid w:val="00B97B9E"/>
    <w:rsid w:val="00B97BCF"/>
    <w:rsid w:val="00B97BF2"/>
    <w:rsid w:val="00BA18DD"/>
    <w:rsid w:val="00BA1A78"/>
    <w:rsid w:val="00BA1F30"/>
    <w:rsid w:val="00BA2F28"/>
    <w:rsid w:val="00BA3046"/>
    <w:rsid w:val="00BA33FB"/>
    <w:rsid w:val="00BA39EC"/>
    <w:rsid w:val="00BA3E17"/>
    <w:rsid w:val="00BA3FC3"/>
    <w:rsid w:val="00BA4022"/>
    <w:rsid w:val="00BA4BEC"/>
    <w:rsid w:val="00BA50FF"/>
    <w:rsid w:val="00BA5503"/>
    <w:rsid w:val="00BA567C"/>
    <w:rsid w:val="00BA5C12"/>
    <w:rsid w:val="00BA612E"/>
    <w:rsid w:val="00BA66F9"/>
    <w:rsid w:val="00BA68D5"/>
    <w:rsid w:val="00BA6AEB"/>
    <w:rsid w:val="00BA7140"/>
    <w:rsid w:val="00BA7A5C"/>
    <w:rsid w:val="00BA7EED"/>
    <w:rsid w:val="00BB10A6"/>
    <w:rsid w:val="00BB1E88"/>
    <w:rsid w:val="00BB1FB9"/>
    <w:rsid w:val="00BB25D9"/>
    <w:rsid w:val="00BB3052"/>
    <w:rsid w:val="00BB31D0"/>
    <w:rsid w:val="00BB349A"/>
    <w:rsid w:val="00BB3D26"/>
    <w:rsid w:val="00BB4584"/>
    <w:rsid w:val="00BB49E4"/>
    <w:rsid w:val="00BB584D"/>
    <w:rsid w:val="00BB5919"/>
    <w:rsid w:val="00BB5955"/>
    <w:rsid w:val="00BC0087"/>
    <w:rsid w:val="00BC03D9"/>
    <w:rsid w:val="00BC0601"/>
    <w:rsid w:val="00BC0FAA"/>
    <w:rsid w:val="00BC180E"/>
    <w:rsid w:val="00BC2611"/>
    <w:rsid w:val="00BC2B88"/>
    <w:rsid w:val="00BC30B2"/>
    <w:rsid w:val="00BC31E7"/>
    <w:rsid w:val="00BC34F2"/>
    <w:rsid w:val="00BC3529"/>
    <w:rsid w:val="00BC39F2"/>
    <w:rsid w:val="00BC3E50"/>
    <w:rsid w:val="00BC4048"/>
    <w:rsid w:val="00BC49FE"/>
    <w:rsid w:val="00BC4A7B"/>
    <w:rsid w:val="00BC4E2D"/>
    <w:rsid w:val="00BC5085"/>
    <w:rsid w:val="00BC5AF9"/>
    <w:rsid w:val="00BC5BD8"/>
    <w:rsid w:val="00BC5F82"/>
    <w:rsid w:val="00BC603E"/>
    <w:rsid w:val="00BC62FE"/>
    <w:rsid w:val="00BC6E7A"/>
    <w:rsid w:val="00BC774F"/>
    <w:rsid w:val="00BC77EA"/>
    <w:rsid w:val="00BC7E31"/>
    <w:rsid w:val="00BD09F3"/>
    <w:rsid w:val="00BD0BBB"/>
    <w:rsid w:val="00BD0FD7"/>
    <w:rsid w:val="00BD1485"/>
    <w:rsid w:val="00BD153C"/>
    <w:rsid w:val="00BD1603"/>
    <w:rsid w:val="00BD17D8"/>
    <w:rsid w:val="00BD1B0E"/>
    <w:rsid w:val="00BD2221"/>
    <w:rsid w:val="00BD28C4"/>
    <w:rsid w:val="00BD3D8E"/>
    <w:rsid w:val="00BD3F22"/>
    <w:rsid w:val="00BD4330"/>
    <w:rsid w:val="00BD4588"/>
    <w:rsid w:val="00BD484C"/>
    <w:rsid w:val="00BD4D9B"/>
    <w:rsid w:val="00BD510C"/>
    <w:rsid w:val="00BD5E1F"/>
    <w:rsid w:val="00BD6925"/>
    <w:rsid w:val="00BD6C5E"/>
    <w:rsid w:val="00BD6D13"/>
    <w:rsid w:val="00BD73F6"/>
    <w:rsid w:val="00BD7894"/>
    <w:rsid w:val="00BD7917"/>
    <w:rsid w:val="00BD7BBC"/>
    <w:rsid w:val="00BD7CB1"/>
    <w:rsid w:val="00BD7E6B"/>
    <w:rsid w:val="00BE008F"/>
    <w:rsid w:val="00BE00C5"/>
    <w:rsid w:val="00BE11AB"/>
    <w:rsid w:val="00BE1C61"/>
    <w:rsid w:val="00BE273B"/>
    <w:rsid w:val="00BE2D6A"/>
    <w:rsid w:val="00BE3016"/>
    <w:rsid w:val="00BE4767"/>
    <w:rsid w:val="00BE4AE1"/>
    <w:rsid w:val="00BE50CD"/>
    <w:rsid w:val="00BE55ED"/>
    <w:rsid w:val="00BE57F0"/>
    <w:rsid w:val="00BE5BBD"/>
    <w:rsid w:val="00BE5CEF"/>
    <w:rsid w:val="00BE5F4E"/>
    <w:rsid w:val="00BE6095"/>
    <w:rsid w:val="00BE6099"/>
    <w:rsid w:val="00BE6B15"/>
    <w:rsid w:val="00BE709A"/>
    <w:rsid w:val="00BE7382"/>
    <w:rsid w:val="00BE7DEF"/>
    <w:rsid w:val="00BE7F42"/>
    <w:rsid w:val="00BE7F96"/>
    <w:rsid w:val="00BF08EF"/>
    <w:rsid w:val="00BF1343"/>
    <w:rsid w:val="00BF1603"/>
    <w:rsid w:val="00BF1654"/>
    <w:rsid w:val="00BF28A7"/>
    <w:rsid w:val="00BF2E9B"/>
    <w:rsid w:val="00BF2F5B"/>
    <w:rsid w:val="00BF3077"/>
    <w:rsid w:val="00BF3D15"/>
    <w:rsid w:val="00BF4306"/>
    <w:rsid w:val="00BF436F"/>
    <w:rsid w:val="00BF4C81"/>
    <w:rsid w:val="00BF592B"/>
    <w:rsid w:val="00BF5931"/>
    <w:rsid w:val="00BF5968"/>
    <w:rsid w:val="00BF5B98"/>
    <w:rsid w:val="00BF5C45"/>
    <w:rsid w:val="00BF5EB2"/>
    <w:rsid w:val="00BF634F"/>
    <w:rsid w:val="00BF6612"/>
    <w:rsid w:val="00BF6B5F"/>
    <w:rsid w:val="00BF6C1A"/>
    <w:rsid w:val="00BF7875"/>
    <w:rsid w:val="00BF7B18"/>
    <w:rsid w:val="00C00B57"/>
    <w:rsid w:val="00C00F27"/>
    <w:rsid w:val="00C01AD2"/>
    <w:rsid w:val="00C0361D"/>
    <w:rsid w:val="00C03D44"/>
    <w:rsid w:val="00C03FDF"/>
    <w:rsid w:val="00C06DC5"/>
    <w:rsid w:val="00C06F8C"/>
    <w:rsid w:val="00C071BC"/>
    <w:rsid w:val="00C07320"/>
    <w:rsid w:val="00C100B0"/>
    <w:rsid w:val="00C101F0"/>
    <w:rsid w:val="00C11158"/>
    <w:rsid w:val="00C1141B"/>
    <w:rsid w:val="00C114C7"/>
    <w:rsid w:val="00C11856"/>
    <w:rsid w:val="00C12CBD"/>
    <w:rsid w:val="00C13658"/>
    <w:rsid w:val="00C139E3"/>
    <w:rsid w:val="00C13C3F"/>
    <w:rsid w:val="00C14776"/>
    <w:rsid w:val="00C153DD"/>
    <w:rsid w:val="00C15A05"/>
    <w:rsid w:val="00C15C3E"/>
    <w:rsid w:val="00C1665E"/>
    <w:rsid w:val="00C16B52"/>
    <w:rsid w:val="00C201C8"/>
    <w:rsid w:val="00C20556"/>
    <w:rsid w:val="00C205A4"/>
    <w:rsid w:val="00C20859"/>
    <w:rsid w:val="00C20B39"/>
    <w:rsid w:val="00C210E3"/>
    <w:rsid w:val="00C21A4E"/>
    <w:rsid w:val="00C221FF"/>
    <w:rsid w:val="00C222B1"/>
    <w:rsid w:val="00C223F1"/>
    <w:rsid w:val="00C22567"/>
    <w:rsid w:val="00C226F1"/>
    <w:rsid w:val="00C228A1"/>
    <w:rsid w:val="00C22AB7"/>
    <w:rsid w:val="00C24886"/>
    <w:rsid w:val="00C25393"/>
    <w:rsid w:val="00C2553E"/>
    <w:rsid w:val="00C25E14"/>
    <w:rsid w:val="00C2678B"/>
    <w:rsid w:val="00C269B4"/>
    <w:rsid w:val="00C26A54"/>
    <w:rsid w:val="00C26B82"/>
    <w:rsid w:val="00C26C3A"/>
    <w:rsid w:val="00C26F9E"/>
    <w:rsid w:val="00C2734D"/>
    <w:rsid w:val="00C277BD"/>
    <w:rsid w:val="00C2784A"/>
    <w:rsid w:val="00C27FF1"/>
    <w:rsid w:val="00C30FBD"/>
    <w:rsid w:val="00C31DAF"/>
    <w:rsid w:val="00C3238B"/>
    <w:rsid w:val="00C3294A"/>
    <w:rsid w:val="00C33B32"/>
    <w:rsid w:val="00C34901"/>
    <w:rsid w:val="00C35500"/>
    <w:rsid w:val="00C3576A"/>
    <w:rsid w:val="00C35C49"/>
    <w:rsid w:val="00C35C96"/>
    <w:rsid w:val="00C35F59"/>
    <w:rsid w:val="00C366F2"/>
    <w:rsid w:val="00C36C5A"/>
    <w:rsid w:val="00C37203"/>
    <w:rsid w:val="00C37643"/>
    <w:rsid w:val="00C40B14"/>
    <w:rsid w:val="00C40BB3"/>
    <w:rsid w:val="00C41B3F"/>
    <w:rsid w:val="00C42270"/>
    <w:rsid w:val="00C425D9"/>
    <w:rsid w:val="00C42964"/>
    <w:rsid w:val="00C42A03"/>
    <w:rsid w:val="00C42CEA"/>
    <w:rsid w:val="00C430A4"/>
    <w:rsid w:val="00C436C6"/>
    <w:rsid w:val="00C43F50"/>
    <w:rsid w:val="00C4425B"/>
    <w:rsid w:val="00C443B2"/>
    <w:rsid w:val="00C445E9"/>
    <w:rsid w:val="00C4635D"/>
    <w:rsid w:val="00C46BFF"/>
    <w:rsid w:val="00C46F11"/>
    <w:rsid w:val="00C477E6"/>
    <w:rsid w:val="00C50816"/>
    <w:rsid w:val="00C50963"/>
    <w:rsid w:val="00C50C65"/>
    <w:rsid w:val="00C50EA8"/>
    <w:rsid w:val="00C50FD0"/>
    <w:rsid w:val="00C514B6"/>
    <w:rsid w:val="00C51620"/>
    <w:rsid w:val="00C51930"/>
    <w:rsid w:val="00C52067"/>
    <w:rsid w:val="00C525A4"/>
    <w:rsid w:val="00C52DF2"/>
    <w:rsid w:val="00C52E29"/>
    <w:rsid w:val="00C532A0"/>
    <w:rsid w:val="00C53ADE"/>
    <w:rsid w:val="00C53B57"/>
    <w:rsid w:val="00C54321"/>
    <w:rsid w:val="00C54A67"/>
    <w:rsid w:val="00C54A98"/>
    <w:rsid w:val="00C54FE1"/>
    <w:rsid w:val="00C5571A"/>
    <w:rsid w:val="00C55CE1"/>
    <w:rsid w:val="00C56263"/>
    <w:rsid w:val="00C56FEA"/>
    <w:rsid w:val="00C57001"/>
    <w:rsid w:val="00C57456"/>
    <w:rsid w:val="00C57459"/>
    <w:rsid w:val="00C57988"/>
    <w:rsid w:val="00C57ADF"/>
    <w:rsid w:val="00C57E16"/>
    <w:rsid w:val="00C60458"/>
    <w:rsid w:val="00C607D7"/>
    <w:rsid w:val="00C6090F"/>
    <w:rsid w:val="00C62BDE"/>
    <w:rsid w:val="00C6328E"/>
    <w:rsid w:val="00C63483"/>
    <w:rsid w:val="00C63500"/>
    <w:rsid w:val="00C63B17"/>
    <w:rsid w:val="00C63BAF"/>
    <w:rsid w:val="00C64301"/>
    <w:rsid w:val="00C64B20"/>
    <w:rsid w:val="00C6508E"/>
    <w:rsid w:val="00C65273"/>
    <w:rsid w:val="00C65505"/>
    <w:rsid w:val="00C65807"/>
    <w:rsid w:val="00C65820"/>
    <w:rsid w:val="00C66067"/>
    <w:rsid w:val="00C66191"/>
    <w:rsid w:val="00C66883"/>
    <w:rsid w:val="00C670A7"/>
    <w:rsid w:val="00C676C1"/>
    <w:rsid w:val="00C67970"/>
    <w:rsid w:val="00C67D6C"/>
    <w:rsid w:val="00C70883"/>
    <w:rsid w:val="00C708B0"/>
    <w:rsid w:val="00C70EDF"/>
    <w:rsid w:val="00C71706"/>
    <w:rsid w:val="00C71DF9"/>
    <w:rsid w:val="00C722C4"/>
    <w:rsid w:val="00C724A5"/>
    <w:rsid w:val="00C729E2"/>
    <w:rsid w:val="00C7414A"/>
    <w:rsid w:val="00C744E5"/>
    <w:rsid w:val="00C74A84"/>
    <w:rsid w:val="00C754E4"/>
    <w:rsid w:val="00C75A02"/>
    <w:rsid w:val="00C75C39"/>
    <w:rsid w:val="00C75CFD"/>
    <w:rsid w:val="00C76284"/>
    <w:rsid w:val="00C764FE"/>
    <w:rsid w:val="00C76679"/>
    <w:rsid w:val="00C7672A"/>
    <w:rsid w:val="00C76EA7"/>
    <w:rsid w:val="00C770A7"/>
    <w:rsid w:val="00C77A2A"/>
    <w:rsid w:val="00C77E65"/>
    <w:rsid w:val="00C77F7E"/>
    <w:rsid w:val="00C80ADF"/>
    <w:rsid w:val="00C8166D"/>
    <w:rsid w:val="00C81724"/>
    <w:rsid w:val="00C8186D"/>
    <w:rsid w:val="00C81B0D"/>
    <w:rsid w:val="00C81FAF"/>
    <w:rsid w:val="00C8294D"/>
    <w:rsid w:val="00C82AA2"/>
    <w:rsid w:val="00C839D9"/>
    <w:rsid w:val="00C84BAC"/>
    <w:rsid w:val="00C84EEA"/>
    <w:rsid w:val="00C85530"/>
    <w:rsid w:val="00C85DB1"/>
    <w:rsid w:val="00C8604B"/>
    <w:rsid w:val="00C86A43"/>
    <w:rsid w:val="00C86ECE"/>
    <w:rsid w:val="00C86EEB"/>
    <w:rsid w:val="00C8712E"/>
    <w:rsid w:val="00C87605"/>
    <w:rsid w:val="00C8774C"/>
    <w:rsid w:val="00C878B3"/>
    <w:rsid w:val="00C90136"/>
    <w:rsid w:val="00C9045B"/>
    <w:rsid w:val="00C905B0"/>
    <w:rsid w:val="00C91573"/>
    <w:rsid w:val="00C9218B"/>
    <w:rsid w:val="00C92192"/>
    <w:rsid w:val="00C9300E"/>
    <w:rsid w:val="00C9301F"/>
    <w:rsid w:val="00C93815"/>
    <w:rsid w:val="00C93F8A"/>
    <w:rsid w:val="00C93FF2"/>
    <w:rsid w:val="00C942A0"/>
    <w:rsid w:val="00C942CB"/>
    <w:rsid w:val="00C94E06"/>
    <w:rsid w:val="00C95743"/>
    <w:rsid w:val="00C95C75"/>
    <w:rsid w:val="00C96004"/>
    <w:rsid w:val="00C96A42"/>
    <w:rsid w:val="00C97EB1"/>
    <w:rsid w:val="00CA0023"/>
    <w:rsid w:val="00CA0D2B"/>
    <w:rsid w:val="00CA1450"/>
    <w:rsid w:val="00CA161D"/>
    <w:rsid w:val="00CA2093"/>
    <w:rsid w:val="00CA2960"/>
    <w:rsid w:val="00CA2D08"/>
    <w:rsid w:val="00CA2E3C"/>
    <w:rsid w:val="00CA2F2B"/>
    <w:rsid w:val="00CA3640"/>
    <w:rsid w:val="00CA3DDC"/>
    <w:rsid w:val="00CA3ECA"/>
    <w:rsid w:val="00CA3F67"/>
    <w:rsid w:val="00CA4083"/>
    <w:rsid w:val="00CA4170"/>
    <w:rsid w:val="00CA4840"/>
    <w:rsid w:val="00CA4F0B"/>
    <w:rsid w:val="00CA50FD"/>
    <w:rsid w:val="00CA51A0"/>
    <w:rsid w:val="00CA5402"/>
    <w:rsid w:val="00CA55A3"/>
    <w:rsid w:val="00CA5C83"/>
    <w:rsid w:val="00CA656E"/>
    <w:rsid w:val="00CA6820"/>
    <w:rsid w:val="00CA771C"/>
    <w:rsid w:val="00CA7A8C"/>
    <w:rsid w:val="00CB2511"/>
    <w:rsid w:val="00CB2C89"/>
    <w:rsid w:val="00CB35F5"/>
    <w:rsid w:val="00CB3D98"/>
    <w:rsid w:val="00CB476D"/>
    <w:rsid w:val="00CB4A97"/>
    <w:rsid w:val="00CB5043"/>
    <w:rsid w:val="00CB554C"/>
    <w:rsid w:val="00CB62A0"/>
    <w:rsid w:val="00CB6476"/>
    <w:rsid w:val="00CB6636"/>
    <w:rsid w:val="00CB692E"/>
    <w:rsid w:val="00CB6A43"/>
    <w:rsid w:val="00CB6A48"/>
    <w:rsid w:val="00CB7439"/>
    <w:rsid w:val="00CC0151"/>
    <w:rsid w:val="00CC02C9"/>
    <w:rsid w:val="00CC0C79"/>
    <w:rsid w:val="00CC13D6"/>
    <w:rsid w:val="00CC25AD"/>
    <w:rsid w:val="00CC28BA"/>
    <w:rsid w:val="00CC29D8"/>
    <w:rsid w:val="00CC2D06"/>
    <w:rsid w:val="00CC35CC"/>
    <w:rsid w:val="00CC3A82"/>
    <w:rsid w:val="00CC3EA6"/>
    <w:rsid w:val="00CC44FA"/>
    <w:rsid w:val="00CC469F"/>
    <w:rsid w:val="00CC4DBD"/>
    <w:rsid w:val="00CC4E62"/>
    <w:rsid w:val="00CD023B"/>
    <w:rsid w:val="00CD0602"/>
    <w:rsid w:val="00CD068C"/>
    <w:rsid w:val="00CD09CB"/>
    <w:rsid w:val="00CD0BBD"/>
    <w:rsid w:val="00CD0C4E"/>
    <w:rsid w:val="00CD1B55"/>
    <w:rsid w:val="00CD1E50"/>
    <w:rsid w:val="00CD24EE"/>
    <w:rsid w:val="00CD3212"/>
    <w:rsid w:val="00CD3879"/>
    <w:rsid w:val="00CD3B44"/>
    <w:rsid w:val="00CD3C09"/>
    <w:rsid w:val="00CD4B19"/>
    <w:rsid w:val="00CD506B"/>
    <w:rsid w:val="00CD5AFB"/>
    <w:rsid w:val="00CD608D"/>
    <w:rsid w:val="00CD610C"/>
    <w:rsid w:val="00CD7FE5"/>
    <w:rsid w:val="00CE072A"/>
    <w:rsid w:val="00CE0B5A"/>
    <w:rsid w:val="00CE0FA8"/>
    <w:rsid w:val="00CE0FC2"/>
    <w:rsid w:val="00CE12FA"/>
    <w:rsid w:val="00CE17C9"/>
    <w:rsid w:val="00CE26A7"/>
    <w:rsid w:val="00CE2891"/>
    <w:rsid w:val="00CE2CB1"/>
    <w:rsid w:val="00CE2F63"/>
    <w:rsid w:val="00CE31B9"/>
    <w:rsid w:val="00CE3404"/>
    <w:rsid w:val="00CE4430"/>
    <w:rsid w:val="00CE466B"/>
    <w:rsid w:val="00CE487E"/>
    <w:rsid w:val="00CE5F7B"/>
    <w:rsid w:val="00CE6293"/>
    <w:rsid w:val="00CE651C"/>
    <w:rsid w:val="00CE737D"/>
    <w:rsid w:val="00CE77A8"/>
    <w:rsid w:val="00CF0C3A"/>
    <w:rsid w:val="00CF0D88"/>
    <w:rsid w:val="00CF1051"/>
    <w:rsid w:val="00CF1117"/>
    <w:rsid w:val="00CF11C4"/>
    <w:rsid w:val="00CF182C"/>
    <w:rsid w:val="00CF251C"/>
    <w:rsid w:val="00CF29A2"/>
    <w:rsid w:val="00CF2A11"/>
    <w:rsid w:val="00CF34D9"/>
    <w:rsid w:val="00CF46D2"/>
    <w:rsid w:val="00CF52A1"/>
    <w:rsid w:val="00CF56A0"/>
    <w:rsid w:val="00CF6108"/>
    <w:rsid w:val="00CF62E7"/>
    <w:rsid w:val="00CF67A0"/>
    <w:rsid w:val="00CF7435"/>
    <w:rsid w:val="00CF749D"/>
    <w:rsid w:val="00CF7ABB"/>
    <w:rsid w:val="00D004E5"/>
    <w:rsid w:val="00D01532"/>
    <w:rsid w:val="00D015F1"/>
    <w:rsid w:val="00D01CE3"/>
    <w:rsid w:val="00D01DCB"/>
    <w:rsid w:val="00D02661"/>
    <w:rsid w:val="00D02C26"/>
    <w:rsid w:val="00D03698"/>
    <w:rsid w:val="00D036CD"/>
    <w:rsid w:val="00D03D2B"/>
    <w:rsid w:val="00D04C50"/>
    <w:rsid w:val="00D04CDE"/>
    <w:rsid w:val="00D058C3"/>
    <w:rsid w:val="00D064EC"/>
    <w:rsid w:val="00D065E5"/>
    <w:rsid w:val="00D069AA"/>
    <w:rsid w:val="00D06FBE"/>
    <w:rsid w:val="00D0792D"/>
    <w:rsid w:val="00D07E3B"/>
    <w:rsid w:val="00D102AA"/>
    <w:rsid w:val="00D102E7"/>
    <w:rsid w:val="00D106FC"/>
    <w:rsid w:val="00D10ADF"/>
    <w:rsid w:val="00D13009"/>
    <w:rsid w:val="00D1360D"/>
    <w:rsid w:val="00D14EAE"/>
    <w:rsid w:val="00D14F66"/>
    <w:rsid w:val="00D1515C"/>
    <w:rsid w:val="00D156F0"/>
    <w:rsid w:val="00D159A6"/>
    <w:rsid w:val="00D159DB"/>
    <w:rsid w:val="00D15D5B"/>
    <w:rsid w:val="00D15E05"/>
    <w:rsid w:val="00D161E9"/>
    <w:rsid w:val="00D16AFC"/>
    <w:rsid w:val="00D16E96"/>
    <w:rsid w:val="00D2128F"/>
    <w:rsid w:val="00D21558"/>
    <w:rsid w:val="00D21B7C"/>
    <w:rsid w:val="00D22268"/>
    <w:rsid w:val="00D22766"/>
    <w:rsid w:val="00D22B62"/>
    <w:rsid w:val="00D2315C"/>
    <w:rsid w:val="00D23496"/>
    <w:rsid w:val="00D23684"/>
    <w:rsid w:val="00D239EF"/>
    <w:rsid w:val="00D23DEA"/>
    <w:rsid w:val="00D23F52"/>
    <w:rsid w:val="00D24131"/>
    <w:rsid w:val="00D24917"/>
    <w:rsid w:val="00D249FC"/>
    <w:rsid w:val="00D24E08"/>
    <w:rsid w:val="00D2511A"/>
    <w:rsid w:val="00D2539C"/>
    <w:rsid w:val="00D2545D"/>
    <w:rsid w:val="00D2553D"/>
    <w:rsid w:val="00D25949"/>
    <w:rsid w:val="00D2619F"/>
    <w:rsid w:val="00D26921"/>
    <w:rsid w:val="00D26A4E"/>
    <w:rsid w:val="00D27612"/>
    <w:rsid w:val="00D30190"/>
    <w:rsid w:val="00D31BCD"/>
    <w:rsid w:val="00D321DA"/>
    <w:rsid w:val="00D3228C"/>
    <w:rsid w:val="00D323AE"/>
    <w:rsid w:val="00D32860"/>
    <w:rsid w:val="00D33D8C"/>
    <w:rsid w:val="00D34191"/>
    <w:rsid w:val="00D3616E"/>
    <w:rsid w:val="00D362D4"/>
    <w:rsid w:val="00D36876"/>
    <w:rsid w:val="00D36A20"/>
    <w:rsid w:val="00D36CD3"/>
    <w:rsid w:val="00D36D9C"/>
    <w:rsid w:val="00D37057"/>
    <w:rsid w:val="00D40445"/>
    <w:rsid w:val="00D4053F"/>
    <w:rsid w:val="00D40C5D"/>
    <w:rsid w:val="00D40F0E"/>
    <w:rsid w:val="00D40FEE"/>
    <w:rsid w:val="00D4102A"/>
    <w:rsid w:val="00D41751"/>
    <w:rsid w:val="00D41BEE"/>
    <w:rsid w:val="00D41D6D"/>
    <w:rsid w:val="00D41F2E"/>
    <w:rsid w:val="00D422DE"/>
    <w:rsid w:val="00D42DE9"/>
    <w:rsid w:val="00D43105"/>
    <w:rsid w:val="00D4346A"/>
    <w:rsid w:val="00D43A6A"/>
    <w:rsid w:val="00D43F3F"/>
    <w:rsid w:val="00D44F27"/>
    <w:rsid w:val="00D45961"/>
    <w:rsid w:val="00D45AA4"/>
    <w:rsid w:val="00D45F33"/>
    <w:rsid w:val="00D462E8"/>
    <w:rsid w:val="00D4791F"/>
    <w:rsid w:val="00D47DAB"/>
    <w:rsid w:val="00D50D42"/>
    <w:rsid w:val="00D50EF9"/>
    <w:rsid w:val="00D514DD"/>
    <w:rsid w:val="00D5159B"/>
    <w:rsid w:val="00D51624"/>
    <w:rsid w:val="00D52614"/>
    <w:rsid w:val="00D54628"/>
    <w:rsid w:val="00D54913"/>
    <w:rsid w:val="00D54A7A"/>
    <w:rsid w:val="00D54A83"/>
    <w:rsid w:val="00D55EA0"/>
    <w:rsid w:val="00D563E4"/>
    <w:rsid w:val="00D5659A"/>
    <w:rsid w:val="00D5672A"/>
    <w:rsid w:val="00D56906"/>
    <w:rsid w:val="00D56BC6"/>
    <w:rsid w:val="00D56D03"/>
    <w:rsid w:val="00D57D47"/>
    <w:rsid w:val="00D604FE"/>
    <w:rsid w:val="00D60C60"/>
    <w:rsid w:val="00D611E8"/>
    <w:rsid w:val="00D6155B"/>
    <w:rsid w:val="00D615E8"/>
    <w:rsid w:val="00D61601"/>
    <w:rsid w:val="00D61A12"/>
    <w:rsid w:val="00D61F10"/>
    <w:rsid w:val="00D6277E"/>
    <w:rsid w:val="00D62A23"/>
    <w:rsid w:val="00D62DD8"/>
    <w:rsid w:val="00D6308F"/>
    <w:rsid w:val="00D63E15"/>
    <w:rsid w:val="00D64276"/>
    <w:rsid w:val="00D6469A"/>
    <w:rsid w:val="00D64EFA"/>
    <w:rsid w:val="00D6545F"/>
    <w:rsid w:val="00D6582A"/>
    <w:rsid w:val="00D659EA"/>
    <w:rsid w:val="00D65EF6"/>
    <w:rsid w:val="00D6610F"/>
    <w:rsid w:val="00D66966"/>
    <w:rsid w:val="00D67581"/>
    <w:rsid w:val="00D70A23"/>
    <w:rsid w:val="00D70C9A"/>
    <w:rsid w:val="00D715D2"/>
    <w:rsid w:val="00D723BA"/>
    <w:rsid w:val="00D72D47"/>
    <w:rsid w:val="00D73A01"/>
    <w:rsid w:val="00D74D54"/>
    <w:rsid w:val="00D74D5D"/>
    <w:rsid w:val="00D753AF"/>
    <w:rsid w:val="00D75939"/>
    <w:rsid w:val="00D75A2A"/>
    <w:rsid w:val="00D75A89"/>
    <w:rsid w:val="00D75C53"/>
    <w:rsid w:val="00D765BA"/>
    <w:rsid w:val="00D76DA5"/>
    <w:rsid w:val="00D76EC5"/>
    <w:rsid w:val="00D77176"/>
    <w:rsid w:val="00D7743D"/>
    <w:rsid w:val="00D77B76"/>
    <w:rsid w:val="00D77D10"/>
    <w:rsid w:val="00D807E3"/>
    <w:rsid w:val="00D81144"/>
    <w:rsid w:val="00D81418"/>
    <w:rsid w:val="00D81A40"/>
    <w:rsid w:val="00D824FB"/>
    <w:rsid w:val="00D826FC"/>
    <w:rsid w:val="00D82A91"/>
    <w:rsid w:val="00D82BDC"/>
    <w:rsid w:val="00D83876"/>
    <w:rsid w:val="00D83DD6"/>
    <w:rsid w:val="00D84883"/>
    <w:rsid w:val="00D84ACD"/>
    <w:rsid w:val="00D85C36"/>
    <w:rsid w:val="00D85C61"/>
    <w:rsid w:val="00D85E09"/>
    <w:rsid w:val="00D862FD"/>
    <w:rsid w:val="00D86636"/>
    <w:rsid w:val="00D8668B"/>
    <w:rsid w:val="00D86B9C"/>
    <w:rsid w:val="00D87365"/>
    <w:rsid w:val="00D87AAC"/>
    <w:rsid w:val="00D87ACB"/>
    <w:rsid w:val="00D87FF3"/>
    <w:rsid w:val="00D9048A"/>
    <w:rsid w:val="00D90618"/>
    <w:rsid w:val="00D90F71"/>
    <w:rsid w:val="00D916DC"/>
    <w:rsid w:val="00D91F7D"/>
    <w:rsid w:val="00D92B79"/>
    <w:rsid w:val="00D93195"/>
    <w:rsid w:val="00D93E6D"/>
    <w:rsid w:val="00D9412B"/>
    <w:rsid w:val="00D94582"/>
    <w:rsid w:val="00D94A23"/>
    <w:rsid w:val="00D94E90"/>
    <w:rsid w:val="00D94EDF"/>
    <w:rsid w:val="00D94EFA"/>
    <w:rsid w:val="00D94FC8"/>
    <w:rsid w:val="00D95B8A"/>
    <w:rsid w:val="00D966B2"/>
    <w:rsid w:val="00D96831"/>
    <w:rsid w:val="00D96CFB"/>
    <w:rsid w:val="00D96DBE"/>
    <w:rsid w:val="00D96F27"/>
    <w:rsid w:val="00D97036"/>
    <w:rsid w:val="00D972CC"/>
    <w:rsid w:val="00D9742E"/>
    <w:rsid w:val="00D97B0F"/>
    <w:rsid w:val="00D97E1B"/>
    <w:rsid w:val="00DA011F"/>
    <w:rsid w:val="00DA0620"/>
    <w:rsid w:val="00DA0FDC"/>
    <w:rsid w:val="00DA1769"/>
    <w:rsid w:val="00DA1782"/>
    <w:rsid w:val="00DA1B61"/>
    <w:rsid w:val="00DA21DA"/>
    <w:rsid w:val="00DA2369"/>
    <w:rsid w:val="00DA23E7"/>
    <w:rsid w:val="00DA23FA"/>
    <w:rsid w:val="00DA2B0A"/>
    <w:rsid w:val="00DA2B83"/>
    <w:rsid w:val="00DA2F06"/>
    <w:rsid w:val="00DA3133"/>
    <w:rsid w:val="00DA348A"/>
    <w:rsid w:val="00DA42B2"/>
    <w:rsid w:val="00DA47E4"/>
    <w:rsid w:val="00DA4F29"/>
    <w:rsid w:val="00DA569E"/>
    <w:rsid w:val="00DA5838"/>
    <w:rsid w:val="00DA5EF8"/>
    <w:rsid w:val="00DA64EA"/>
    <w:rsid w:val="00DA6886"/>
    <w:rsid w:val="00DA6E30"/>
    <w:rsid w:val="00DA6FAA"/>
    <w:rsid w:val="00DA7306"/>
    <w:rsid w:val="00DA73E5"/>
    <w:rsid w:val="00DA7559"/>
    <w:rsid w:val="00DA76B9"/>
    <w:rsid w:val="00DA76CB"/>
    <w:rsid w:val="00DA7B9C"/>
    <w:rsid w:val="00DB1FED"/>
    <w:rsid w:val="00DB2D41"/>
    <w:rsid w:val="00DB3FB8"/>
    <w:rsid w:val="00DB4F19"/>
    <w:rsid w:val="00DB5103"/>
    <w:rsid w:val="00DB5153"/>
    <w:rsid w:val="00DB5229"/>
    <w:rsid w:val="00DB52D6"/>
    <w:rsid w:val="00DB57F8"/>
    <w:rsid w:val="00DB585E"/>
    <w:rsid w:val="00DB61B3"/>
    <w:rsid w:val="00DB6241"/>
    <w:rsid w:val="00DB6724"/>
    <w:rsid w:val="00DB683C"/>
    <w:rsid w:val="00DB7375"/>
    <w:rsid w:val="00DB7656"/>
    <w:rsid w:val="00DB76B4"/>
    <w:rsid w:val="00DB7F44"/>
    <w:rsid w:val="00DC052A"/>
    <w:rsid w:val="00DC0FA5"/>
    <w:rsid w:val="00DC1875"/>
    <w:rsid w:val="00DC1C0C"/>
    <w:rsid w:val="00DC1D8C"/>
    <w:rsid w:val="00DC249B"/>
    <w:rsid w:val="00DC26FF"/>
    <w:rsid w:val="00DC2871"/>
    <w:rsid w:val="00DC3885"/>
    <w:rsid w:val="00DC3A8C"/>
    <w:rsid w:val="00DC4467"/>
    <w:rsid w:val="00DC44EB"/>
    <w:rsid w:val="00DC461D"/>
    <w:rsid w:val="00DC4E6D"/>
    <w:rsid w:val="00DC5158"/>
    <w:rsid w:val="00DC589D"/>
    <w:rsid w:val="00DC5D4C"/>
    <w:rsid w:val="00DC5EB0"/>
    <w:rsid w:val="00DC72C2"/>
    <w:rsid w:val="00DC768F"/>
    <w:rsid w:val="00DC7D41"/>
    <w:rsid w:val="00DC7FAF"/>
    <w:rsid w:val="00DD0046"/>
    <w:rsid w:val="00DD0727"/>
    <w:rsid w:val="00DD07F2"/>
    <w:rsid w:val="00DD085C"/>
    <w:rsid w:val="00DD096A"/>
    <w:rsid w:val="00DD1616"/>
    <w:rsid w:val="00DD1C86"/>
    <w:rsid w:val="00DD23D1"/>
    <w:rsid w:val="00DD293E"/>
    <w:rsid w:val="00DD31EC"/>
    <w:rsid w:val="00DD33AB"/>
    <w:rsid w:val="00DD3EA7"/>
    <w:rsid w:val="00DD4372"/>
    <w:rsid w:val="00DD53E8"/>
    <w:rsid w:val="00DD66B9"/>
    <w:rsid w:val="00DD78F2"/>
    <w:rsid w:val="00DD7ECA"/>
    <w:rsid w:val="00DE0293"/>
    <w:rsid w:val="00DE0D5E"/>
    <w:rsid w:val="00DE0EA8"/>
    <w:rsid w:val="00DE0F07"/>
    <w:rsid w:val="00DE17E2"/>
    <w:rsid w:val="00DE1B37"/>
    <w:rsid w:val="00DE1D6C"/>
    <w:rsid w:val="00DE245E"/>
    <w:rsid w:val="00DE25B5"/>
    <w:rsid w:val="00DE262A"/>
    <w:rsid w:val="00DE31BE"/>
    <w:rsid w:val="00DE3AEC"/>
    <w:rsid w:val="00DE3C16"/>
    <w:rsid w:val="00DE4950"/>
    <w:rsid w:val="00DE4DF2"/>
    <w:rsid w:val="00DE5113"/>
    <w:rsid w:val="00DE5B13"/>
    <w:rsid w:val="00DE5D2E"/>
    <w:rsid w:val="00DE5D5A"/>
    <w:rsid w:val="00DE779F"/>
    <w:rsid w:val="00DF00CA"/>
    <w:rsid w:val="00DF0548"/>
    <w:rsid w:val="00DF05B6"/>
    <w:rsid w:val="00DF0E2F"/>
    <w:rsid w:val="00DF11C0"/>
    <w:rsid w:val="00DF202E"/>
    <w:rsid w:val="00DF2D1E"/>
    <w:rsid w:val="00DF35F1"/>
    <w:rsid w:val="00DF369E"/>
    <w:rsid w:val="00DF39AE"/>
    <w:rsid w:val="00DF4010"/>
    <w:rsid w:val="00DF40BC"/>
    <w:rsid w:val="00DF42BC"/>
    <w:rsid w:val="00DF43A1"/>
    <w:rsid w:val="00DF4631"/>
    <w:rsid w:val="00DF4748"/>
    <w:rsid w:val="00DF4E0C"/>
    <w:rsid w:val="00DF5307"/>
    <w:rsid w:val="00DF5B8D"/>
    <w:rsid w:val="00DF5CDC"/>
    <w:rsid w:val="00DF5FE5"/>
    <w:rsid w:val="00DF6985"/>
    <w:rsid w:val="00DF75D1"/>
    <w:rsid w:val="00DF7C1B"/>
    <w:rsid w:val="00E00A28"/>
    <w:rsid w:val="00E00DA8"/>
    <w:rsid w:val="00E00FE8"/>
    <w:rsid w:val="00E0105B"/>
    <w:rsid w:val="00E01078"/>
    <w:rsid w:val="00E01580"/>
    <w:rsid w:val="00E01751"/>
    <w:rsid w:val="00E01C7F"/>
    <w:rsid w:val="00E01D42"/>
    <w:rsid w:val="00E01DCD"/>
    <w:rsid w:val="00E01F04"/>
    <w:rsid w:val="00E028A4"/>
    <w:rsid w:val="00E02B60"/>
    <w:rsid w:val="00E0302C"/>
    <w:rsid w:val="00E034BE"/>
    <w:rsid w:val="00E04435"/>
    <w:rsid w:val="00E04492"/>
    <w:rsid w:val="00E044F8"/>
    <w:rsid w:val="00E04E39"/>
    <w:rsid w:val="00E0543E"/>
    <w:rsid w:val="00E0572A"/>
    <w:rsid w:val="00E05DCB"/>
    <w:rsid w:val="00E07420"/>
    <w:rsid w:val="00E07FE4"/>
    <w:rsid w:val="00E1193B"/>
    <w:rsid w:val="00E11B59"/>
    <w:rsid w:val="00E127FF"/>
    <w:rsid w:val="00E12924"/>
    <w:rsid w:val="00E13621"/>
    <w:rsid w:val="00E13857"/>
    <w:rsid w:val="00E13D25"/>
    <w:rsid w:val="00E13FA1"/>
    <w:rsid w:val="00E142CA"/>
    <w:rsid w:val="00E14538"/>
    <w:rsid w:val="00E14649"/>
    <w:rsid w:val="00E154BE"/>
    <w:rsid w:val="00E16158"/>
    <w:rsid w:val="00E20130"/>
    <w:rsid w:val="00E202F2"/>
    <w:rsid w:val="00E20F96"/>
    <w:rsid w:val="00E21C74"/>
    <w:rsid w:val="00E21E6A"/>
    <w:rsid w:val="00E224A9"/>
    <w:rsid w:val="00E22C62"/>
    <w:rsid w:val="00E23DF2"/>
    <w:rsid w:val="00E240D9"/>
    <w:rsid w:val="00E25418"/>
    <w:rsid w:val="00E258C5"/>
    <w:rsid w:val="00E26C18"/>
    <w:rsid w:val="00E26FC3"/>
    <w:rsid w:val="00E270B4"/>
    <w:rsid w:val="00E279B7"/>
    <w:rsid w:val="00E31160"/>
    <w:rsid w:val="00E317E1"/>
    <w:rsid w:val="00E31C28"/>
    <w:rsid w:val="00E31FEC"/>
    <w:rsid w:val="00E327C1"/>
    <w:rsid w:val="00E328CE"/>
    <w:rsid w:val="00E32B0B"/>
    <w:rsid w:val="00E32CD0"/>
    <w:rsid w:val="00E33198"/>
    <w:rsid w:val="00E33B90"/>
    <w:rsid w:val="00E33C8D"/>
    <w:rsid w:val="00E34395"/>
    <w:rsid w:val="00E34833"/>
    <w:rsid w:val="00E3483C"/>
    <w:rsid w:val="00E34E41"/>
    <w:rsid w:val="00E35121"/>
    <w:rsid w:val="00E354C7"/>
    <w:rsid w:val="00E354D4"/>
    <w:rsid w:val="00E35748"/>
    <w:rsid w:val="00E35EC5"/>
    <w:rsid w:val="00E363A1"/>
    <w:rsid w:val="00E3643D"/>
    <w:rsid w:val="00E36C12"/>
    <w:rsid w:val="00E379D0"/>
    <w:rsid w:val="00E40C85"/>
    <w:rsid w:val="00E40E53"/>
    <w:rsid w:val="00E40FC8"/>
    <w:rsid w:val="00E417B7"/>
    <w:rsid w:val="00E41D46"/>
    <w:rsid w:val="00E429AD"/>
    <w:rsid w:val="00E42BAC"/>
    <w:rsid w:val="00E42FC6"/>
    <w:rsid w:val="00E43394"/>
    <w:rsid w:val="00E45824"/>
    <w:rsid w:val="00E45BF6"/>
    <w:rsid w:val="00E45E5F"/>
    <w:rsid w:val="00E46136"/>
    <w:rsid w:val="00E46685"/>
    <w:rsid w:val="00E469B7"/>
    <w:rsid w:val="00E46A67"/>
    <w:rsid w:val="00E47189"/>
    <w:rsid w:val="00E47428"/>
    <w:rsid w:val="00E47ACB"/>
    <w:rsid w:val="00E47D4F"/>
    <w:rsid w:val="00E47DBA"/>
    <w:rsid w:val="00E50FDD"/>
    <w:rsid w:val="00E523BB"/>
    <w:rsid w:val="00E52AA2"/>
    <w:rsid w:val="00E53404"/>
    <w:rsid w:val="00E53B64"/>
    <w:rsid w:val="00E54606"/>
    <w:rsid w:val="00E5607F"/>
    <w:rsid w:val="00E560CF"/>
    <w:rsid w:val="00E56F63"/>
    <w:rsid w:val="00E5782A"/>
    <w:rsid w:val="00E57C45"/>
    <w:rsid w:val="00E57C5B"/>
    <w:rsid w:val="00E601A6"/>
    <w:rsid w:val="00E60257"/>
    <w:rsid w:val="00E6069E"/>
    <w:rsid w:val="00E60D99"/>
    <w:rsid w:val="00E60F45"/>
    <w:rsid w:val="00E6193B"/>
    <w:rsid w:val="00E619C1"/>
    <w:rsid w:val="00E61F41"/>
    <w:rsid w:val="00E628EF"/>
    <w:rsid w:val="00E62E1C"/>
    <w:rsid w:val="00E6385D"/>
    <w:rsid w:val="00E63D89"/>
    <w:rsid w:val="00E63F2D"/>
    <w:rsid w:val="00E643E1"/>
    <w:rsid w:val="00E645D0"/>
    <w:rsid w:val="00E6463F"/>
    <w:rsid w:val="00E655B3"/>
    <w:rsid w:val="00E65D76"/>
    <w:rsid w:val="00E6635D"/>
    <w:rsid w:val="00E66A53"/>
    <w:rsid w:val="00E66D0B"/>
    <w:rsid w:val="00E670E1"/>
    <w:rsid w:val="00E67604"/>
    <w:rsid w:val="00E67B86"/>
    <w:rsid w:val="00E701F1"/>
    <w:rsid w:val="00E70220"/>
    <w:rsid w:val="00E704A3"/>
    <w:rsid w:val="00E70B39"/>
    <w:rsid w:val="00E70CA9"/>
    <w:rsid w:val="00E710CD"/>
    <w:rsid w:val="00E71462"/>
    <w:rsid w:val="00E714D5"/>
    <w:rsid w:val="00E717BF"/>
    <w:rsid w:val="00E71823"/>
    <w:rsid w:val="00E71ED6"/>
    <w:rsid w:val="00E71F03"/>
    <w:rsid w:val="00E723F9"/>
    <w:rsid w:val="00E726FA"/>
    <w:rsid w:val="00E72C1E"/>
    <w:rsid w:val="00E73C09"/>
    <w:rsid w:val="00E73DE5"/>
    <w:rsid w:val="00E7477C"/>
    <w:rsid w:val="00E7599F"/>
    <w:rsid w:val="00E759AB"/>
    <w:rsid w:val="00E75C70"/>
    <w:rsid w:val="00E75D96"/>
    <w:rsid w:val="00E76136"/>
    <w:rsid w:val="00E767D6"/>
    <w:rsid w:val="00E7719D"/>
    <w:rsid w:val="00E77EE6"/>
    <w:rsid w:val="00E807EF"/>
    <w:rsid w:val="00E80A0D"/>
    <w:rsid w:val="00E82124"/>
    <w:rsid w:val="00E82494"/>
    <w:rsid w:val="00E82FB0"/>
    <w:rsid w:val="00E83195"/>
    <w:rsid w:val="00E83F98"/>
    <w:rsid w:val="00E84310"/>
    <w:rsid w:val="00E84F37"/>
    <w:rsid w:val="00E85A66"/>
    <w:rsid w:val="00E85A73"/>
    <w:rsid w:val="00E85C56"/>
    <w:rsid w:val="00E861C7"/>
    <w:rsid w:val="00E8764A"/>
    <w:rsid w:val="00E87BD4"/>
    <w:rsid w:val="00E87EE9"/>
    <w:rsid w:val="00E87FE8"/>
    <w:rsid w:val="00E90C75"/>
    <w:rsid w:val="00E91451"/>
    <w:rsid w:val="00E914ED"/>
    <w:rsid w:val="00E923B8"/>
    <w:rsid w:val="00E9299D"/>
    <w:rsid w:val="00E929F5"/>
    <w:rsid w:val="00E9416D"/>
    <w:rsid w:val="00E949D4"/>
    <w:rsid w:val="00E94CC8"/>
    <w:rsid w:val="00E95F60"/>
    <w:rsid w:val="00E96778"/>
    <w:rsid w:val="00E96841"/>
    <w:rsid w:val="00E96BA5"/>
    <w:rsid w:val="00E96D41"/>
    <w:rsid w:val="00E96F11"/>
    <w:rsid w:val="00E973A4"/>
    <w:rsid w:val="00E9757A"/>
    <w:rsid w:val="00E97881"/>
    <w:rsid w:val="00E97F33"/>
    <w:rsid w:val="00EA000D"/>
    <w:rsid w:val="00EA0243"/>
    <w:rsid w:val="00EA0E51"/>
    <w:rsid w:val="00EA0EEB"/>
    <w:rsid w:val="00EA0F3F"/>
    <w:rsid w:val="00EA1AA0"/>
    <w:rsid w:val="00EA1FA5"/>
    <w:rsid w:val="00EA215E"/>
    <w:rsid w:val="00EA24B4"/>
    <w:rsid w:val="00EA2814"/>
    <w:rsid w:val="00EA36E6"/>
    <w:rsid w:val="00EA3FB9"/>
    <w:rsid w:val="00EA4108"/>
    <w:rsid w:val="00EA413B"/>
    <w:rsid w:val="00EA4581"/>
    <w:rsid w:val="00EA4936"/>
    <w:rsid w:val="00EA499E"/>
    <w:rsid w:val="00EA538E"/>
    <w:rsid w:val="00EA53BC"/>
    <w:rsid w:val="00EA5DCB"/>
    <w:rsid w:val="00EA5DE4"/>
    <w:rsid w:val="00EA6676"/>
    <w:rsid w:val="00EA68FB"/>
    <w:rsid w:val="00EA69D5"/>
    <w:rsid w:val="00EB13C0"/>
    <w:rsid w:val="00EB226C"/>
    <w:rsid w:val="00EB2D67"/>
    <w:rsid w:val="00EB2F8E"/>
    <w:rsid w:val="00EB2FED"/>
    <w:rsid w:val="00EB3CF1"/>
    <w:rsid w:val="00EB3D63"/>
    <w:rsid w:val="00EB40DC"/>
    <w:rsid w:val="00EB4C9A"/>
    <w:rsid w:val="00EB5AC1"/>
    <w:rsid w:val="00EB5D35"/>
    <w:rsid w:val="00EB64E7"/>
    <w:rsid w:val="00EB6E4C"/>
    <w:rsid w:val="00EB72FF"/>
    <w:rsid w:val="00EB78B6"/>
    <w:rsid w:val="00EB7E23"/>
    <w:rsid w:val="00EC03DF"/>
    <w:rsid w:val="00EC0476"/>
    <w:rsid w:val="00EC1F97"/>
    <w:rsid w:val="00EC2720"/>
    <w:rsid w:val="00EC2B77"/>
    <w:rsid w:val="00EC2BE6"/>
    <w:rsid w:val="00EC2E43"/>
    <w:rsid w:val="00EC357B"/>
    <w:rsid w:val="00EC395F"/>
    <w:rsid w:val="00EC3DB4"/>
    <w:rsid w:val="00EC555B"/>
    <w:rsid w:val="00EC58F5"/>
    <w:rsid w:val="00EC5BD8"/>
    <w:rsid w:val="00EC5DB3"/>
    <w:rsid w:val="00EC5E5F"/>
    <w:rsid w:val="00EC637D"/>
    <w:rsid w:val="00EC73C9"/>
    <w:rsid w:val="00EC7B4D"/>
    <w:rsid w:val="00EC7D7C"/>
    <w:rsid w:val="00ED0B36"/>
    <w:rsid w:val="00ED1286"/>
    <w:rsid w:val="00ED1BAC"/>
    <w:rsid w:val="00ED28B8"/>
    <w:rsid w:val="00ED2CE2"/>
    <w:rsid w:val="00ED2F1E"/>
    <w:rsid w:val="00ED3ED7"/>
    <w:rsid w:val="00ED436A"/>
    <w:rsid w:val="00ED4AE3"/>
    <w:rsid w:val="00ED4B85"/>
    <w:rsid w:val="00ED59B8"/>
    <w:rsid w:val="00ED5C7F"/>
    <w:rsid w:val="00ED63D9"/>
    <w:rsid w:val="00ED6A32"/>
    <w:rsid w:val="00ED72AC"/>
    <w:rsid w:val="00ED7411"/>
    <w:rsid w:val="00EE0B2D"/>
    <w:rsid w:val="00EE1237"/>
    <w:rsid w:val="00EE133A"/>
    <w:rsid w:val="00EE1F94"/>
    <w:rsid w:val="00EE2634"/>
    <w:rsid w:val="00EE28CA"/>
    <w:rsid w:val="00EE2A8C"/>
    <w:rsid w:val="00EE31F1"/>
    <w:rsid w:val="00EE3549"/>
    <w:rsid w:val="00EE35CD"/>
    <w:rsid w:val="00EE3982"/>
    <w:rsid w:val="00EE3F22"/>
    <w:rsid w:val="00EE4BAF"/>
    <w:rsid w:val="00EE4F9E"/>
    <w:rsid w:val="00EE6405"/>
    <w:rsid w:val="00EE68AF"/>
    <w:rsid w:val="00EE6D45"/>
    <w:rsid w:val="00EE6DBD"/>
    <w:rsid w:val="00EE794D"/>
    <w:rsid w:val="00EF1126"/>
    <w:rsid w:val="00EF2025"/>
    <w:rsid w:val="00EF2299"/>
    <w:rsid w:val="00EF3072"/>
    <w:rsid w:val="00EF30A6"/>
    <w:rsid w:val="00EF32F2"/>
    <w:rsid w:val="00EF37C5"/>
    <w:rsid w:val="00EF3A06"/>
    <w:rsid w:val="00EF3B3B"/>
    <w:rsid w:val="00EF416F"/>
    <w:rsid w:val="00EF4F44"/>
    <w:rsid w:val="00EF5A4B"/>
    <w:rsid w:val="00EF5A7C"/>
    <w:rsid w:val="00EF5D4A"/>
    <w:rsid w:val="00EF6B91"/>
    <w:rsid w:val="00EF6F8C"/>
    <w:rsid w:val="00EF7147"/>
    <w:rsid w:val="00EF7349"/>
    <w:rsid w:val="00EF742D"/>
    <w:rsid w:val="00EF7628"/>
    <w:rsid w:val="00EF7A9D"/>
    <w:rsid w:val="00EF7B62"/>
    <w:rsid w:val="00F00044"/>
    <w:rsid w:val="00F01054"/>
    <w:rsid w:val="00F01953"/>
    <w:rsid w:val="00F021C2"/>
    <w:rsid w:val="00F031D6"/>
    <w:rsid w:val="00F03388"/>
    <w:rsid w:val="00F04A84"/>
    <w:rsid w:val="00F06563"/>
    <w:rsid w:val="00F10A86"/>
    <w:rsid w:val="00F1107B"/>
    <w:rsid w:val="00F11F41"/>
    <w:rsid w:val="00F12034"/>
    <w:rsid w:val="00F131AB"/>
    <w:rsid w:val="00F13229"/>
    <w:rsid w:val="00F1322C"/>
    <w:rsid w:val="00F132D9"/>
    <w:rsid w:val="00F13F60"/>
    <w:rsid w:val="00F15944"/>
    <w:rsid w:val="00F15CD1"/>
    <w:rsid w:val="00F161A0"/>
    <w:rsid w:val="00F17000"/>
    <w:rsid w:val="00F17750"/>
    <w:rsid w:val="00F17907"/>
    <w:rsid w:val="00F17D14"/>
    <w:rsid w:val="00F21D46"/>
    <w:rsid w:val="00F22CC5"/>
    <w:rsid w:val="00F230B9"/>
    <w:rsid w:val="00F23496"/>
    <w:rsid w:val="00F23528"/>
    <w:rsid w:val="00F23934"/>
    <w:rsid w:val="00F23ABF"/>
    <w:rsid w:val="00F23B29"/>
    <w:rsid w:val="00F23DD6"/>
    <w:rsid w:val="00F246D7"/>
    <w:rsid w:val="00F24734"/>
    <w:rsid w:val="00F24E16"/>
    <w:rsid w:val="00F24EC1"/>
    <w:rsid w:val="00F25931"/>
    <w:rsid w:val="00F25BDE"/>
    <w:rsid w:val="00F267E9"/>
    <w:rsid w:val="00F268EA"/>
    <w:rsid w:val="00F2725F"/>
    <w:rsid w:val="00F275A6"/>
    <w:rsid w:val="00F277C3"/>
    <w:rsid w:val="00F27A04"/>
    <w:rsid w:val="00F27D87"/>
    <w:rsid w:val="00F303D6"/>
    <w:rsid w:val="00F3061B"/>
    <w:rsid w:val="00F3061D"/>
    <w:rsid w:val="00F316D2"/>
    <w:rsid w:val="00F3192D"/>
    <w:rsid w:val="00F31A27"/>
    <w:rsid w:val="00F31B5F"/>
    <w:rsid w:val="00F32131"/>
    <w:rsid w:val="00F32646"/>
    <w:rsid w:val="00F327C9"/>
    <w:rsid w:val="00F32E11"/>
    <w:rsid w:val="00F33547"/>
    <w:rsid w:val="00F337AA"/>
    <w:rsid w:val="00F33C77"/>
    <w:rsid w:val="00F3466B"/>
    <w:rsid w:val="00F34731"/>
    <w:rsid w:val="00F34850"/>
    <w:rsid w:val="00F35792"/>
    <w:rsid w:val="00F35BDD"/>
    <w:rsid w:val="00F35E29"/>
    <w:rsid w:val="00F36188"/>
    <w:rsid w:val="00F36C43"/>
    <w:rsid w:val="00F36F3A"/>
    <w:rsid w:val="00F371D9"/>
    <w:rsid w:val="00F37435"/>
    <w:rsid w:val="00F37976"/>
    <w:rsid w:val="00F37FCA"/>
    <w:rsid w:val="00F409A4"/>
    <w:rsid w:val="00F411BB"/>
    <w:rsid w:val="00F416E0"/>
    <w:rsid w:val="00F4200C"/>
    <w:rsid w:val="00F435C7"/>
    <w:rsid w:val="00F43A08"/>
    <w:rsid w:val="00F43E1F"/>
    <w:rsid w:val="00F43E63"/>
    <w:rsid w:val="00F4440B"/>
    <w:rsid w:val="00F444CB"/>
    <w:rsid w:val="00F445C2"/>
    <w:rsid w:val="00F44F0A"/>
    <w:rsid w:val="00F4581B"/>
    <w:rsid w:val="00F45FBA"/>
    <w:rsid w:val="00F46094"/>
    <w:rsid w:val="00F465FB"/>
    <w:rsid w:val="00F4670D"/>
    <w:rsid w:val="00F46828"/>
    <w:rsid w:val="00F46940"/>
    <w:rsid w:val="00F475B8"/>
    <w:rsid w:val="00F5051D"/>
    <w:rsid w:val="00F50F96"/>
    <w:rsid w:val="00F519C5"/>
    <w:rsid w:val="00F51A59"/>
    <w:rsid w:val="00F52BC4"/>
    <w:rsid w:val="00F52C89"/>
    <w:rsid w:val="00F52F8C"/>
    <w:rsid w:val="00F52F92"/>
    <w:rsid w:val="00F53B55"/>
    <w:rsid w:val="00F53F1A"/>
    <w:rsid w:val="00F558A9"/>
    <w:rsid w:val="00F55A9C"/>
    <w:rsid w:val="00F55BC9"/>
    <w:rsid w:val="00F55C57"/>
    <w:rsid w:val="00F55C95"/>
    <w:rsid w:val="00F56061"/>
    <w:rsid w:val="00F5655B"/>
    <w:rsid w:val="00F56CB2"/>
    <w:rsid w:val="00F56CE0"/>
    <w:rsid w:val="00F5748B"/>
    <w:rsid w:val="00F57529"/>
    <w:rsid w:val="00F5797B"/>
    <w:rsid w:val="00F57E40"/>
    <w:rsid w:val="00F6052C"/>
    <w:rsid w:val="00F609AA"/>
    <w:rsid w:val="00F60D60"/>
    <w:rsid w:val="00F61310"/>
    <w:rsid w:val="00F614A4"/>
    <w:rsid w:val="00F61679"/>
    <w:rsid w:val="00F61A21"/>
    <w:rsid w:val="00F61C70"/>
    <w:rsid w:val="00F61E44"/>
    <w:rsid w:val="00F629C0"/>
    <w:rsid w:val="00F62DA1"/>
    <w:rsid w:val="00F62E4F"/>
    <w:rsid w:val="00F6337A"/>
    <w:rsid w:val="00F63658"/>
    <w:rsid w:val="00F63CF2"/>
    <w:rsid w:val="00F64211"/>
    <w:rsid w:val="00F646E7"/>
    <w:rsid w:val="00F650CE"/>
    <w:rsid w:val="00F65218"/>
    <w:rsid w:val="00F659F0"/>
    <w:rsid w:val="00F666A0"/>
    <w:rsid w:val="00F66708"/>
    <w:rsid w:val="00F66969"/>
    <w:rsid w:val="00F66E9C"/>
    <w:rsid w:val="00F66EDE"/>
    <w:rsid w:val="00F67306"/>
    <w:rsid w:val="00F677AE"/>
    <w:rsid w:val="00F677EA"/>
    <w:rsid w:val="00F67BA2"/>
    <w:rsid w:val="00F67C58"/>
    <w:rsid w:val="00F70631"/>
    <w:rsid w:val="00F70E03"/>
    <w:rsid w:val="00F71474"/>
    <w:rsid w:val="00F72670"/>
    <w:rsid w:val="00F73919"/>
    <w:rsid w:val="00F73A96"/>
    <w:rsid w:val="00F73F77"/>
    <w:rsid w:val="00F7467E"/>
    <w:rsid w:val="00F746A9"/>
    <w:rsid w:val="00F75048"/>
    <w:rsid w:val="00F755C3"/>
    <w:rsid w:val="00F75670"/>
    <w:rsid w:val="00F75B4B"/>
    <w:rsid w:val="00F75FB8"/>
    <w:rsid w:val="00F76688"/>
    <w:rsid w:val="00F769F0"/>
    <w:rsid w:val="00F76CEF"/>
    <w:rsid w:val="00F76E7B"/>
    <w:rsid w:val="00F770A4"/>
    <w:rsid w:val="00F80071"/>
    <w:rsid w:val="00F818A8"/>
    <w:rsid w:val="00F81EF3"/>
    <w:rsid w:val="00F82CD5"/>
    <w:rsid w:val="00F831AF"/>
    <w:rsid w:val="00F840E5"/>
    <w:rsid w:val="00F8472A"/>
    <w:rsid w:val="00F84760"/>
    <w:rsid w:val="00F84930"/>
    <w:rsid w:val="00F8628E"/>
    <w:rsid w:val="00F862C3"/>
    <w:rsid w:val="00F86F7D"/>
    <w:rsid w:val="00F86FDA"/>
    <w:rsid w:val="00F90F8C"/>
    <w:rsid w:val="00F91DF3"/>
    <w:rsid w:val="00F91DF4"/>
    <w:rsid w:val="00F9228E"/>
    <w:rsid w:val="00F925E7"/>
    <w:rsid w:val="00F92F14"/>
    <w:rsid w:val="00F933D8"/>
    <w:rsid w:val="00F942A8"/>
    <w:rsid w:val="00F943DD"/>
    <w:rsid w:val="00F94415"/>
    <w:rsid w:val="00F944F9"/>
    <w:rsid w:val="00F95132"/>
    <w:rsid w:val="00F95537"/>
    <w:rsid w:val="00F9580B"/>
    <w:rsid w:val="00F9594F"/>
    <w:rsid w:val="00F97753"/>
    <w:rsid w:val="00FA0F12"/>
    <w:rsid w:val="00FA0F8A"/>
    <w:rsid w:val="00FA1454"/>
    <w:rsid w:val="00FA191D"/>
    <w:rsid w:val="00FA1DF7"/>
    <w:rsid w:val="00FA2411"/>
    <w:rsid w:val="00FA26FD"/>
    <w:rsid w:val="00FA2799"/>
    <w:rsid w:val="00FA2D68"/>
    <w:rsid w:val="00FA3447"/>
    <w:rsid w:val="00FA38DE"/>
    <w:rsid w:val="00FA41E1"/>
    <w:rsid w:val="00FA456F"/>
    <w:rsid w:val="00FA60BD"/>
    <w:rsid w:val="00FA673B"/>
    <w:rsid w:val="00FA6962"/>
    <w:rsid w:val="00FA6DCF"/>
    <w:rsid w:val="00FA7729"/>
    <w:rsid w:val="00FA7D4C"/>
    <w:rsid w:val="00FB189A"/>
    <w:rsid w:val="00FB1C8A"/>
    <w:rsid w:val="00FB3072"/>
    <w:rsid w:val="00FB3354"/>
    <w:rsid w:val="00FB3A79"/>
    <w:rsid w:val="00FB3D42"/>
    <w:rsid w:val="00FB485B"/>
    <w:rsid w:val="00FB4AD9"/>
    <w:rsid w:val="00FB56A9"/>
    <w:rsid w:val="00FB58B5"/>
    <w:rsid w:val="00FB62FE"/>
    <w:rsid w:val="00FB7665"/>
    <w:rsid w:val="00FB7D5F"/>
    <w:rsid w:val="00FC008A"/>
    <w:rsid w:val="00FC059C"/>
    <w:rsid w:val="00FC0B58"/>
    <w:rsid w:val="00FC16E3"/>
    <w:rsid w:val="00FC1BC4"/>
    <w:rsid w:val="00FC250E"/>
    <w:rsid w:val="00FC25D5"/>
    <w:rsid w:val="00FC275F"/>
    <w:rsid w:val="00FC2812"/>
    <w:rsid w:val="00FC3DA0"/>
    <w:rsid w:val="00FC3E1A"/>
    <w:rsid w:val="00FC426B"/>
    <w:rsid w:val="00FC443B"/>
    <w:rsid w:val="00FC4A9C"/>
    <w:rsid w:val="00FC4EC6"/>
    <w:rsid w:val="00FC5DC5"/>
    <w:rsid w:val="00FC5F86"/>
    <w:rsid w:val="00FC63C2"/>
    <w:rsid w:val="00FC6A05"/>
    <w:rsid w:val="00FC706D"/>
    <w:rsid w:val="00FD0579"/>
    <w:rsid w:val="00FD08A6"/>
    <w:rsid w:val="00FD0EAF"/>
    <w:rsid w:val="00FD13CD"/>
    <w:rsid w:val="00FD1D83"/>
    <w:rsid w:val="00FD1DE9"/>
    <w:rsid w:val="00FD1E74"/>
    <w:rsid w:val="00FD222A"/>
    <w:rsid w:val="00FD26C5"/>
    <w:rsid w:val="00FD3050"/>
    <w:rsid w:val="00FD3A18"/>
    <w:rsid w:val="00FD40C4"/>
    <w:rsid w:val="00FD4621"/>
    <w:rsid w:val="00FD48F7"/>
    <w:rsid w:val="00FD61E9"/>
    <w:rsid w:val="00FD75B8"/>
    <w:rsid w:val="00FD7C70"/>
    <w:rsid w:val="00FE02DE"/>
    <w:rsid w:val="00FE0903"/>
    <w:rsid w:val="00FE09DD"/>
    <w:rsid w:val="00FE0EC8"/>
    <w:rsid w:val="00FE125D"/>
    <w:rsid w:val="00FE12E6"/>
    <w:rsid w:val="00FE19BB"/>
    <w:rsid w:val="00FE40C6"/>
    <w:rsid w:val="00FE444B"/>
    <w:rsid w:val="00FE4598"/>
    <w:rsid w:val="00FE4A7A"/>
    <w:rsid w:val="00FE4D48"/>
    <w:rsid w:val="00FE53E1"/>
    <w:rsid w:val="00FE5D9B"/>
    <w:rsid w:val="00FE5F83"/>
    <w:rsid w:val="00FE6BAC"/>
    <w:rsid w:val="00FE724F"/>
    <w:rsid w:val="00FE72E1"/>
    <w:rsid w:val="00FE7B53"/>
    <w:rsid w:val="00FE7CAE"/>
    <w:rsid w:val="00FF057A"/>
    <w:rsid w:val="00FF06B1"/>
    <w:rsid w:val="00FF0D71"/>
    <w:rsid w:val="00FF1F55"/>
    <w:rsid w:val="00FF20EE"/>
    <w:rsid w:val="00FF2105"/>
    <w:rsid w:val="00FF2455"/>
    <w:rsid w:val="00FF2F33"/>
    <w:rsid w:val="00FF3BC8"/>
    <w:rsid w:val="00FF4501"/>
    <w:rsid w:val="00FF4AD8"/>
    <w:rsid w:val="00FF4E65"/>
    <w:rsid w:val="00FF5730"/>
    <w:rsid w:val="00FF5A22"/>
    <w:rsid w:val="00FF5DCC"/>
    <w:rsid w:val="00FF5F26"/>
    <w:rsid w:val="00FF5F5D"/>
    <w:rsid w:val="00FF6103"/>
    <w:rsid w:val="00FF6891"/>
    <w:rsid w:val="00FF6FA2"/>
    <w:rsid w:val="00FF7381"/>
    <w:rsid w:val="00FF757C"/>
    <w:rsid w:val="00FF79B2"/>
    <w:rsid w:val="00FF7E5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relative:margin;mso-position-vertical-relative:margin;mso-width-relative:margin;mso-height-relative:margin" o:allowincell="f" fillcolor="none [3206]" strokecolor="none [665]">
      <v:fill color="none [3206]"/>
      <v:stroke color="none [665]" weight="3pt"/>
      <v:imagedata embosscolor="shadow add(51)"/>
      <v:shadow on="t" type="perspective" color="none [1606]" opacity=".5" offset="1pt" offset2="-1pt"/>
      <v:textbox inset="3.6pt,,3.6pt"/>
    </o:shapedefaults>
    <o:shapelayout v:ext="edit">
      <o:idmap v:ext="edit" data="1"/>
    </o:shapelayout>
  </w:shapeDefaults>
  <w:decimalSymbol w:val=","/>
  <w:listSeparator w:val=";"/>
  <w14:docId w14:val="43502810"/>
  <w15:docId w15:val="{6B81D087-F841-472F-80FC-A0916F070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3A4"/>
  </w:style>
  <w:style w:type="paragraph" w:styleId="Titre1">
    <w:name w:val="heading 1"/>
    <w:basedOn w:val="Normal"/>
    <w:next w:val="Normal"/>
    <w:link w:val="Titre1Car"/>
    <w:uiPriority w:val="9"/>
    <w:qFormat/>
    <w:rsid w:val="004A73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4A738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3729F6"/>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3729F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A738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4A7383"/>
    <w:rPr>
      <w:rFonts w:asciiTheme="majorHAnsi" w:eastAsiaTheme="majorEastAsia" w:hAnsiTheme="majorHAnsi" w:cstheme="majorBidi"/>
      <w:b/>
      <w:bCs/>
      <w:color w:val="4F81BD" w:themeColor="accent1"/>
      <w:sz w:val="26"/>
      <w:szCs w:val="26"/>
    </w:rPr>
  </w:style>
  <w:style w:type="paragraph" w:styleId="Paragraphedeliste">
    <w:name w:val="List Paragraph"/>
    <w:aliases w:val="Bullets"/>
    <w:basedOn w:val="Normal"/>
    <w:link w:val="ParagraphedelisteCar"/>
    <w:uiPriority w:val="34"/>
    <w:qFormat/>
    <w:rsid w:val="00D75C53"/>
    <w:pPr>
      <w:ind w:left="720"/>
      <w:contextualSpacing/>
    </w:pPr>
  </w:style>
  <w:style w:type="paragraph" w:styleId="Textedebulles">
    <w:name w:val="Balloon Text"/>
    <w:basedOn w:val="Normal"/>
    <w:link w:val="TextedebullesCar"/>
    <w:uiPriority w:val="99"/>
    <w:semiHidden/>
    <w:unhideWhenUsed/>
    <w:rsid w:val="00212C5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12C59"/>
    <w:rPr>
      <w:rFonts w:ascii="Tahoma" w:hAnsi="Tahoma" w:cs="Tahoma"/>
      <w:sz w:val="16"/>
      <w:szCs w:val="16"/>
    </w:rPr>
  </w:style>
  <w:style w:type="character" w:customStyle="1" w:styleId="ParagraphedelisteCar">
    <w:name w:val="Paragraphe de liste Car"/>
    <w:aliases w:val="Bullets Car"/>
    <w:link w:val="Paragraphedeliste"/>
    <w:uiPriority w:val="34"/>
    <w:rsid w:val="001E3863"/>
  </w:style>
  <w:style w:type="table" w:styleId="Trameclaire-Accent4">
    <w:name w:val="Light Shading Accent 4"/>
    <w:basedOn w:val="TableauNormal"/>
    <w:uiPriority w:val="60"/>
    <w:rsid w:val="001E3863"/>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Grilleclaire-Accent4">
    <w:name w:val="Light Grid Accent 4"/>
    <w:basedOn w:val="TableauNormal"/>
    <w:uiPriority w:val="62"/>
    <w:rsid w:val="001E3863"/>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paragraph" w:styleId="En-ttedetabledesmatires">
    <w:name w:val="TOC Heading"/>
    <w:basedOn w:val="Titre1"/>
    <w:next w:val="Normal"/>
    <w:uiPriority w:val="39"/>
    <w:unhideWhenUsed/>
    <w:qFormat/>
    <w:rsid w:val="002930E5"/>
    <w:pPr>
      <w:outlineLvl w:val="9"/>
    </w:pPr>
  </w:style>
  <w:style w:type="paragraph" w:styleId="TM1">
    <w:name w:val="toc 1"/>
    <w:basedOn w:val="Normal"/>
    <w:next w:val="Normal"/>
    <w:autoRedefine/>
    <w:uiPriority w:val="39"/>
    <w:unhideWhenUsed/>
    <w:rsid w:val="00AA3506"/>
    <w:pPr>
      <w:tabs>
        <w:tab w:val="left" w:pos="284"/>
        <w:tab w:val="right" w:leader="dot" w:pos="9062"/>
      </w:tabs>
      <w:spacing w:after="100"/>
    </w:pPr>
  </w:style>
  <w:style w:type="paragraph" w:styleId="TM2">
    <w:name w:val="toc 2"/>
    <w:basedOn w:val="Normal"/>
    <w:next w:val="Normal"/>
    <w:autoRedefine/>
    <w:uiPriority w:val="39"/>
    <w:unhideWhenUsed/>
    <w:rsid w:val="00AA3506"/>
    <w:pPr>
      <w:tabs>
        <w:tab w:val="left" w:pos="567"/>
        <w:tab w:val="right" w:leader="dot" w:pos="9062"/>
      </w:tabs>
      <w:spacing w:after="100"/>
      <w:ind w:left="220"/>
    </w:pPr>
  </w:style>
  <w:style w:type="character" w:styleId="Lienhypertexte">
    <w:name w:val="Hyperlink"/>
    <w:basedOn w:val="Policepardfaut"/>
    <w:uiPriority w:val="99"/>
    <w:unhideWhenUsed/>
    <w:rsid w:val="002930E5"/>
    <w:rPr>
      <w:color w:val="0000FF" w:themeColor="hyperlink"/>
      <w:u w:val="single"/>
    </w:rPr>
  </w:style>
  <w:style w:type="paragraph" w:styleId="En-tte">
    <w:name w:val="header"/>
    <w:basedOn w:val="Normal"/>
    <w:link w:val="En-tteCar"/>
    <w:uiPriority w:val="99"/>
    <w:unhideWhenUsed/>
    <w:rsid w:val="006B53EB"/>
    <w:pPr>
      <w:tabs>
        <w:tab w:val="center" w:pos="4536"/>
        <w:tab w:val="right" w:pos="9072"/>
      </w:tabs>
      <w:spacing w:after="0" w:line="240" w:lineRule="auto"/>
    </w:pPr>
  </w:style>
  <w:style w:type="character" w:customStyle="1" w:styleId="En-tteCar">
    <w:name w:val="En-tête Car"/>
    <w:basedOn w:val="Policepardfaut"/>
    <w:link w:val="En-tte"/>
    <w:uiPriority w:val="99"/>
    <w:rsid w:val="006B53EB"/>
  </w:style>
  <w:style w:type="paragraph" w:styleId="Pieddepage">
    <w:name w:val="footer"/>
    <w:basedOn w:val="Normal"/>
    <w:link w:val="PieddepageCar"/>
    <w:uiPriority w:val="99"/>
    <w:unhideWhenUsed/>
    <w:rsid w:val="006B53E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B53EB"/>
  </w:style>
  <w:style w:type="table" w:styleId="Grilledutableau">
    <w:name w:val="Table Grid"/>
    <w:basedOn w:val="TableauNormal"/>
    <w:uiPriority w:val="59"/>
    <w:rsid w:val="00E96F1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3729F6"/>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3729F6"/>
    <w:rPr>
      <w:rFonts w:asciiTheme="majorHAnsi" w:eastAsiaTheme="majorEastAsia" w:hAnsiTheme="majorHAnsi" w:cstheme="majorBidi"/>
      <w:b/>
      <w:bCs/>
      <w:i/>
      <w:iCs/>
      <w:color w:val="4F81BD" w:themeColor="accent1"/>
    </w:rPr>
  </w:style>
  <w:style w:type="paragraph" w:styleId="TM3">
    <w:name w:val="toc 3"/>
    <w:basedOn w:val="Normal"/>
    <w:next w:val="Normal"/>
    <w:autoRedefine/>
    <w:uiPriority w:val="39"/>
    <w:unhideWhenUsed/>
    <w:rsid w:val="00F416E0"/>
    <w:pPr>
      <w:tabs>
        <w:tab w:val="left" w:pos="709"/>
        <w:tab w:val="right" w:leader="dot" w:pos="9062"/>
      </w:tabs>
      <w:spacing w:after="100"/>
      <w:ind w:left="440"/>
    </w:pPr>
  </w:style>
  <w:style w:type="paragraph" w:styleId="Tabledesillustrations">
    <w:name w:val="table of figures"/>
    <w:basedOn w:val="Normal"/>
    <w:next w:val="Normal"/>
    <w:uiPriority w:val="99"/>
    <w:unhideWhenUsed/>
    <w:rsid w:val="0068414F"/>
    <w:pPr>
      <w:spacing w:after="0" w:line="240" w:lineRule="auto"/>
    </w:pPr>
    <w:rPr>
      <w:rFonts w:ascii="Calibri" w:eastAsia="Times New Roman" w:hAnsi="Calibri" w:cs="Calibri"/>
      <w:i/>
      <w:iCs/>
      <w:sz w:val="20"/>
      <w:szCs w:val="20"/>
    </w:rPr>
  </w:style>
  <w:style w:type="paragraph" w:customStyle="1" w:styleId="Listedestableaux">
    <w:name w:val="Liste des tableaux"/>
    <w:basedOn w:val="Normal"/>
    <w:qFormat/>
    <w:rsid w:val="009442A0"/>
    <w:pPr>
      <w:spacing w:after="0" w:line="360" w:lineRule="auto"/>
      <w:ind w:left="360"/>
      <w:jc w:val="both"/>
    </w:pPr>
    <w:rPr>
      <w:rFonts w:ascii="Bookman Old Style" w:hAnsi="Bookman Old Style"/>
      <w:b/>
      <w:sz w:val="26"/>
      <w:szCs w:val="26"/>
    </w:rPr>
  </w:style>
  <w:style w:type="character" w:styleId="Marquedecommentaire">
    <w:name w:val="annotation reference"/>
    <w:basedOn w:val="Policepardfaut"/>
    <w:uiPriority w:val="99"/>
    <w:semiHidden/>
    <w:unhideWhenUsed/>
    <w:rsid w:val="00EA1AA0"/>
    <w:rPr>
      <w:sz w:val="16"/>
      <w:szCs w:val="16"/>
    </w:rPr>
  </w:style>
  <w:style w:type="paragraph" w:styleId="Commentaire">
    <w:name w:val="annotation text"/>
    <w:basedOn w:val="Normal"/>
    <w:link w:val="CommentaireCar"/>
    <w:uiPriority w:val="99"/>
    <w:semiHidden/>
    <w:unhideWhenUsed/>
    <w:rsid w:val="00EA1AA0"/>
    <w:pPr>
      <w:spacing w:line="240" w:lineRule="auto"/>
    </w:pPr>
    <w:rPr>
      <w:sz w:val="20"/>
      <w:szCs w:val="20"/>
    </w:rPr>
  </w:style>
  <w:style w:type="character" w:customStyle="1" w:styleId="CommentaireCar">
    <w:name w:val="Commentaire Car"/>
    <w:basedOn w:val="Policepardfaut"/>
    <w:link w:val="Commentaire"/>
    <w:uiPriority w:val="99"/>
    <w:semiHidden/>
    <w:rsid w:val="00EA1AA0"/>
    <w:rPr>
      <w:sz w:val="20"/>
      <w:szCs w:val="20"/>
    </w:rPr>
  </w:style>
  <w:style w:type="paragraph" w:styleId="Objetducommentaire">
    <w:name w:val="annotation subject"/>
    <w:basedOn w:val="Commentaire"/>
    <w:next w:val="Commentaire"/>
    <w:link w:val="ObjetducommentaireCar"/>
    <w:uiPriority w:val="99"/>
    <w:semiHidden/>
    <w:unhideWhenUsed/>
    <w:rsid w:val="00EA1AA0"/>
    <w:rPr>
      <w:b/>
      <w:bCs/>
    </w:rPr>
  </w:style>
  <w:style w:type="character" w:customStyle="1" w:styleId="ObjetducommentaireCar">
    <w:name w:val="Objet du commentaire Car"/>
    <w:basedOn w:val="CommentaireCar"/>
    <w:link w:val="Objetducommentaire"/>
    <w:uiPriority w:val="99"/>
    <w:semiHidden/>
    <w:rsid w:val="00EA1AA0"/>
    <w:rPr>
      <w:b/>
      <w:bCs/>
      <w:sz w:val="20"/>
      <w:szCs w:val="20"/>
    </w:rPr>
  </w:style>
  <w:style w:type="paragraph" w:styleId="Notedebasdepage">
    <w:name w:val="footnote text"/>
    <w:aliases w:val="FOOTNOTES,fn,single space,ALTS FOOTNOTE,Geneva 9,Font: Geneva 9,Boston 10,f,FußnotentextE,ADB,ft,Footnote Text Char Char,Footnote text,DSE note,Footnote,12pt"/>
    <w:basedOn w:val="Normal"/>
    <w:link w:val="NotedebasdepageCar"/>
    <w:uiPriority w:val="99"/>
    <w:unhideWhenUsed/>
    <w:rsid w:val="00252D74"/>
    <w:pPr>
      <w:spacing w:after="0" w:line="240" w:lineRule="auto"/>
    </w:pPr>
    <w:rPr>
      <w:rFonts w:eastAsiaTheme="minorHAnsi"/>
      <w:sz w:val="20"/>
      <w:szCs w:val="20"/>
      <w:lang w:eastAsia="en-US"/>
    </w:rPr>
  </w:style>
  <w:style w:type="character" w:customStyle="1" w:styleId="NotedebasdepageCar">
    <w:name w:val="Note de bas de page Car"/>
    <w:aliases w:val="FOOTNOTES Car,fn Car,single space Car,ALTS FOOTNOTE Car,Geneva 9 Car,Font: Geneva 9 Car,Boston 10 Car,f Car,FußnotentextE Car,ADB Car,ft Car,Footnote Text Char Char Car,Footnote text Car,DSE note Car,Footnote Car,12pt Car"/>
    <w:basedOn w:val="Policepardfaut"/>
    <w:link w:val="Notedebasdepage"/>
    <w:uiPriority w:val="99"/>
    <w:rsid w:val="00252D74"/>
    <w:rPr>
      <w:rFonts w:eastAsiaTheme="minorHAnsi"/>
      <w:sz w:val="20"/>
      <w:szCs w:val="20"/>
      <w:lang w:eastAsia="en-US"/>
    </w:rPr>
  </w:style>
  <w:style w:type="character" w:styleId="Appelnotedebasdep">
    <w:name w:val="footnote reference"/>
    <w:basedOn w:val="Policepardfaut"/>
    <w:uiPriority w:val="99"/>
    <w:unhideWhenUsed/>
    <w:rsid w:val="00252D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036347">
      <w:bodyDiv w:val="1"/>
      <w:marLeft w:val="0"/>
      <w:marRight w:val="0"/>
      <w:marTop w:val="0"/>
      <w:marBottom w:val="0"/>
      <w:divBdr>
        <w:top w:val="none" w:sz="0" w:space="0" w:color="auto"/>
        <w:left w:val="none" w:sz="0" w:space="0" w:color="auto"/>
        <w:bottom w:val="none" w:sz="0" w:space="0" w:color="auto"/>
        <w:right w:val="none" w:sz="0" w:space="0" w:color="auto"/>
      </w:divBdr>
    </w:div>
    <w:div w:id="330529412">
      <w:bodyDiv w:val="1"/>
      <w:marLeft w:val="0"/>
      <w:marRight w:val="0"/>
      <w:marTop w:val="0"/>
      <w:marBottom w:val="0"/>
      <w:divBdr>
        <w:top w:val="none" w:sz="0" w:space="0" w:color="auto"/>
        <w:left w:val="none" w:sz="0" w:space="0" w:color="auto"/>
        <w:bottom w:val="none" w:sz="0" w:space="0" w:color="auto"/>
        <w:right w:val="none" w:sz="0" w:space="0" w:color="auto"/>
      </w:divBdr>
    </w:div>
    <w:div w:id="342781049">
      <w:bodyDiv w:val="1"/>
      <w:marLeft w:val="0"/>
      <w:marRight w:val="0"/>
      <w:marTop w:val="0"/>
      <w:marBottom w:val="0"/>
      <w:divBdr>
        <w:top w:val="none" w:sz="0" w:space="0" w:color="auto"/>
        <w:left w:val="none" w:sz="0" w:space="0" w:color="auto"/>
        <w:bottom w:val="none" w:sz="0" w:space="0" w:color="auto"/>
        <w:right w:val="none" w:sz="0" w:space="0" w:color="auto"/>
      </w:divBdr>
    </w:div>
    <w:div w:id="344136904">
      <w:bodyDiv w:val="1"/>
      <w:marLeft w:val="0"/>
      <w:marRight w:val="0"/>
      <w:marTop w:val="0"/>
      <w:marBottom w:val="0"/>
      <w:divBdr>
        <w:top w:val="none" w:sz="0" w:space="0" w:color="auto"/>
        <w:left w:val="none" w:sz="0" w:space="0" w:color="auto"/>
        <w:bottom w:val="none" w:sz="0" w:space="0" w:color="auto"/>
        <w:right w:val="none" w:sz="0" w:space="0" w:color="auto"/>
      </w:divBdr>
    </w:div>
    <w:div w:id="368456770">
      <w:bodyDiv w:val="1"/>
      <w:marLeft w:val="0"/>
      <w:marRight w:val="0"/>
      <w:marTop w:val="0"/>
      <w:marBottom w:val="0"/>
      <w:divBdr>
        <w:top w:val="none" w:sz="0" w:space="0" w:color="auto"/>
        <w:left w:val="none" w:sz="0" w:space="0" w:color="auto"/>
        <w:bottom w:val="none" w:sz="0" w:space="0" w:color="auto"/>
        <w:right w:val="none" w:sz="0" w:space="0" w:color="auto"/>
      </w:divBdr>
    </w:div>
    <w:div w:id="432627479">
      <w:bodyDiv w:val="1"/>
      <w:marLeft w:val="0"/>
      <w:marRight w:val="0"/>
      <w:marTop w:val="0"/>
      <w:marBottom w:val="0"/>
      <w:divBdr>
        <w:top w:val="none" w:sz="0" w:space="0" w:color="auto"/>
        <w:left w:val="none" w:sz="0" w:space="0" w:color="auto"/>
        <w:bottom w:val="none" w:sz="0" w:space="0" w:color="auto"/>
        <w:right w:val="none" w:sz="0" w:space="0" w:color="auto"/>
      </w:divBdr>
    </w:div>
    <w:div w:id="478882656">
      <w:bodyDiv w:val="1"/>
      <w:marLeft w:val="0"/>
      <w:marRight w:val="0"/>
      <w:marTop w:val="0"/>
      <w:marBottom w:val="0"/>
      <w:divBdr>
        <w:top w:val="none" w:sz="0" w:space="0" w:color="auto"/>
        <w:left w:val="none" w:sz="0" w:space="0" w:color="auto"/>
        <w:bottom w:val="none" w:sz="0" w:space="0" w:color="auto"/>
        <w:right w:val="none" w:sz="0" w:space="0" w:color="auto"/>
      </w:divBdr>
    </w:div>
    <w:div w:id="534974485">
      <w:bodyDiv w:val="1"/>
      <w:marLeft w:val="0"/>
      <w:marRight w:val="0"/>
      <w:marTop w:val="0"/>
      <w:marBottom w:val="0"/>
      <w:divBdr>
        <w:top w:val="none" w:sz="0" w:space="0" w:color="auto"/>
        <w:left w:val="none" w:sz="0" w:space="0" w:color="auto"/>
        <w:bottom w:val="none" w:sz="0" w:space="0" w:color="auto"/>
        <w:right w:val="none" w:sz="0" w:space="0" w:color="auto"/>
      </w:divBdr>
    </w:div>
    <w:div w:id="575700153">
      <w:bodyDiv w:val="1"/>
      <w:marLeft w:val="0"/>
      <w:marRight w:val="0"/>
      <w:marTop w:val="0"/>
      <w:marBottom w:val="0"/>
      <w:divBdr>
        <w:top w:val="none" w:sz="0" w:space="0" w:color="auto"/>
        <w:left w:val="none" w:sz="0" w:space="0" w:color="auto"/>
        <w:bottom w:val="none" w:sz="0" w:space="0" w:color="auto"/>
        <w:right w:val="none" w:sz="0" w:space="0" w:color="auto"/>
      </w:divBdr>
    </w:div>
    <w:div w:id="588924699">
      <w:bodyDiv w:val="1"/>
      <w:marLeft w:val="0"/>
      <w:marRight w:val="0"/>
      <w:marTop w:val="0"/>
      <w:marBottom w:val="0"/>
      <w:divBdr>
        <w:top w:val="none" w:sz="0" w:space="0" w:color="auto"/>
        <w:left w:val="none" w:sz="0" w:space="0" w:color="auto"/>
        <w:bottom w:val="none" w:sz="0" w:space="0" w:color="auto"/>
        <w:right w:val="none" w:sz="0" w:space="0" w:color="auto"/>
      </w:divBdr>
    </w:div>
    <w:div w:id="603391160">
      <w:bodyDiv w:val="1"/>
      <w:marLeft w:val="0"/>
      <w:marRight w:val="0"/>
      <w:marTop w:val="0"/>
      <w:marBottom w:val="0"/>
      <w:divBdr>
        <w:top w:val="none" w:sz="0" w:space="0" w:color="auto"/>
        <w:left w:val="none" w:sz="0" w:space="0" w:color="auto"/>
        <w:bottom w:val="none" w:sz="0" w:space="0" w:color="auto"/>
        <w:right w:val="none" w:sz="0" w:space="0" w:color="auto"/>
      </w:divBdr>
    </w:div>
    <w:div w:id="633947974">
      <w:bodyDiv w:val="1"/>
      <w:marLeft w:val="0"/>
      <w:marRight w:val="0"/>
      <w:marTop w:val="0"/>
      <w:marBottom w:val="0"/>
      <w:divBdr>
        <w:top w:val="none" w:sz="0" w:space="0" w:color="auto"/>
        <w:left w:val="none" w:sz="0" w:space="0" w:color="auto"/>
        <w:bottom w:val="none" w:sz="0" w:space="0" w:color="auto"/>
        <w:right w:val="none" w:sz="0" w:space="0" w:color="auto"/>
      </w:divBdr>
    </w:div>
    <w:div w:id="650718121">
      <w:bodyDiv w:val="1"/>
      <w:marLeft w:val="0"/>
      <w:marRight w:val="0"/>
      <w:marTop w:val="0"/>
      <w:marBottom w:val="0"/>
      <w:divBdr>
        <w:top w:val="none" w:sz="0" w:space="0" w:color="auto"/>
        <w:left w:val="none" w:sz="0" w:space="0" w:color="auto"/>
        <w:bottom w:val="none" w:sz="0" w:space="0" w:color="auto"/>
        <w:right w:val="none" w:sz="0" w:space="0" w:color="auto"/>
      </w:divBdr>
    </w:div>
    <w:div w:id="675227461">
      <w:bodyDiv w:val="1"/>
      <w:marLeft w:val="0"/>
      <w:marRight w:val="0"/>
      <w:marTop w:val="0"/>
      <w:marBottom w:val="0"/>
      <w:divBdr>
        <w:top w:val="none" w:sz="0" w:space="0" w:color="auto"/>
        <w:left w:val="none" w:sz="0" w:space="0" w:color="auto"/>
        <w:bottom w:val="none" w:sz="0" w:space="0" w:color="auto"/>
        <w:right w:val="none" w:sz="0" w:space="0" w:color="auto"/>
      </w:divBdr>
    </w:div>
    <w:div w:id="739249945">
      <w:bodyDiv w:val="1"/>
      <w:marLeft w:val="0"/>
      <w:marRight w:val="0"/>
      <w:marTop w:val="0"/>
      <w:marBottom w:val="0"/>
      <w:divBdr>
        <w:top w:val="none" w:sz="0" w:space="0" w:color="auto"/>
        <w:left w:val="none" w:sz="0" w:space="0" w:color="auto"/>
        <w:bottom w:val="none" w:sz="0" w:space="0" w:color="auto"/>
        <w:right w:val="none" w:sz="0" w:space="0" w:color="auto"/>
      </w:divBdr>
    </w:div>
    <w:div w:id="758136013">
      <w:bodyDiv w:val="1"/>
      <w:marLeft w:val="0"/>
      <w:marRight w:val="0"/>
      <w:marTop w:val="0"/>
      <w:marBottom w:val="0"/>
      <w:divBdr>
        <w:top w:val="none" w:sz="0" w:space="0" w:color="auto"/>
        <w:left w:val="none" w:sz="0" w:space="0" w:color="auto"/>
        <w:bottom w:val="none" w:sz="0" w:space="0" w:color="auto"/>
        <w:right w:val="none" w:sz="0" w:space="0" w:color="auto"/>
      </w:divBdr>
    </w:div>
    <w:div w:id="798761651">
      <w:bodyDiv w:val="1"/>
      <w:marLeft w:val="0"/>
      <w:marRight w:val="0"/>
      <w:marTop w:val="0"/>
      <w:marBottom w:val="0"/>
      <w:divBdr>
        <w:top w:val="none" w:sz="0" w:space="0" w:color="auto"/>
        <w:left w:val="none" w:sz="0" w:space="0" w:color="auto"/>
        <w:bottom w:val="none" w:sz="0" w:space="0" w:color="auto"/>
        <w:right w:val="none" w:sz="0" w:space="0" w:color="auto"/>
      </w:divBdr>
    </w:div>
    <w:div w:id="803085909">
      <w:bodyDiv w:val="1"/>
      <w:marLeft w:val="0"/>
      <w:marRight w:val="0"/>
      <w:marTop w:val="0"/>
      <w:marBottom w:val="0"/>
      <w:divBdr>
        <w:top w:val="none" w:sz="0" w:space="0" w:color="auto"/>
        <w:left w:val="none" w:sz="0" w:space="0" w:color="auto"/>
        <w:bottom w:val="none" w:sz="0" w:space="0" w:color="auto"/>
        <w:right w:val="none" w:sz="0" w:space="0" w:color="auto"/>
      </w:divBdr>
    </w:div>
    <w:div w:id="812409056">
      <w:bodyDiv w:val="1"/>
      <w:marLeft w:val="0"/>
      <w:marRight w:val="0"/>
      <w:marTop w:val="0"/>
      <w:marBottom w:val="0"/>
      <w:divBdr>
        <w:top w:val="none" w:sz="0" w:space="0" w:color="auto"/>
        <w:left w:val="none" w:sz="0" w:space="0" w:color="auto"/>
        <w:bottom w:val="none" w:sz="0" w:space="0" w:color="auto"/>
        <w:right w:val="none" w:sz="0" w:space="0" w:color="auto"/>
      </w:divBdr>
    </w:div>
    <w:div w:id="861630038">
      <w:bodyDiv w:val="1"/>
      <w:marLeft w:val="0"/>
      <w:marRight w:val="0"/>
      <w:marTop w:val="0"/>
      <w:marBottom w:val="0"/>
      <w:divBdr>
        <w:top w:val="none" w:sz="0" w:space="0" w:color="auto"/>
        <w:left w:val="none" w:sz="0" w:space="0" w:color="auto"/>
        <w:bottom w:val="none" w:sz="0" w:space="0" w:color="auto"/>
        <w:right w:val="none" w:sz="0" w:space="0" w:color="auto"/>
      </w:divBdr>
    </w:div>
    <w:div w:id="877549687">
      <w:bodyDiv w:val="1"/>
      <w:marLeft w:val="0"/>
      <w:marRight w:val="0"/>
      <w:marTop w:val="0"/>
      <w:marBottom w:val="0"/>
      <w:divBdr>
        <w:top w:val="none" w:sz="0" w:space="0" w:color="auto"/>
        <w:left w:val="none" w:sz="0" w:space="0" w:color="auto"/>
        <w:bottom w:val="none" w:sz="0" w:space="0" w:color="auto"/>
        <w:right w:val="none" w:sz="0" w:space="0" w:color="auto"/>
      </w:divBdr>
    </w:div>
    <w:div w:id="917444272">
      <w:bodyDiv w:val="1"/>
      <w:marLeft w:val="0"/>
      <w:marRight w:val="0"/>
      <w:marTop w:val="0"/>
      <w:marBottom w:val="0"/>
      <w:divBdr>
        <w:top w:val="none" w:sz="0" w:space="0" w:color="auto"/>
        <w:left w:val="none" w:sz="0" w:space="0" w:color="auto"/>
        <w:bottom w:val="none" w:sz="0" w:space="0" w:color="auto"/>
        <w:right w:val="none" w:sz="0" w:space="0" w:color="auto"/>
      </w:divBdr>
    </w:div>
    <w:div w:id="941106550">
      <w:bodyDiv w:val="1"/>
      <w:marLeft w:val="0"/>
      <w:marRight w:val="0"/>
      <w:marTop w:val="0"/>
      <w:marBottom w:val="0"/>
      <w:divBdr>
        <w:top w:val="none" w:sz="0" w:space="0" w:color="auto"/>
        <w:left w:val="none" w:sz="0" w:space="0" w:color="auto"/>
        <w:bottom w:val="none" w:sz="0" w:space="0" w:color="auto"/>
        <w:right w:val="none" w:sz="0" w:space="0" w:color="auto"/>
      </w:divBdr>
    </w:div>
    <w:div w:id="1149590019">
      <w:bodyDiv w:val="1"/>
      <w:marLeft w:val="0"/>
      <w:marRight w:val="0"/>
      <w:marTop w:val="0"/>
      <w:marBottom w:val="0"/>
      <w:divBdr>
        <w:top w:val="none" w:sz="0" w:space="0" w:color="auto"/>
        <w:left w:val="none" w:sz="0" w:space="0" w:color="auto"/>
        <w:bottom w:val="none" w:sz="0" w:space="0" w:color="auto"/>
        <w:right w:val="none" w:sz="0" w:space="0" w:color="auto"/>
      </w:divBdr>
    </w:div>
    <w:div w:id="1245068360">
      <w:bodyDiv w:val="1"/>
      <w:marLeft w:val="0"/>
      <w:marRight w:val="0"/>
      <w:marTop w:val="0"/>
      <w:marBottom w:val="0"/>
      <w:divBdr>
        <w:top w:val="none" w:sz="0" w:space="0" w:color="auto"/>
        <w:left w:val="none" w:sz="0" w:space="0" w:color="auto"/>
        <w:bottom w:val="none" w:sz="0" w:space="0" w:color="auto"/>
        <w:right w:val="none" w:sz="0" w:space="0" w:color="auto"/>
      </w:divBdr>
    </w:div>
    <w:div w:id="1358846741">
      <w:bodyDiv w:val="1"/>
      <w:marLeft w:val="0"/>
      <w:marRight w:val="0"/>
      <w:marTop w:val="0"/>
      <w:marBottom w:val="0"/>
      <w:divBdr>
        <w:top w:val="none" w:sz="0" w:space="0" w:color="auto"/>
        <w:left w:val="none" w:sz="0" w:space="0" w:color="auto"/>
        <w:bottom w:val="none" w:sz="0" w:space="0" w:color="auto"/>
        <w:right w:val="none" w:sz="0" w:space="0" w:color="auto"/>
      </w:divBdr>
    </w:div>
    <w:div w:id="1427919051">
      <w:bodyDiv w:val="1"/>
      <w:marLeft w:val="0"/>
      <w:marRight w:val="0"/>
      <w:marTop w:val="0"/>
      <w:marBottom w:val="0"/>
      <w:divBdr>
        <w:top w:val="none" w:sz="0" w:space="0" w:color="auto"/>
        <w:left w:val="none" w:sz="0" w:space="0" w:color="auto"/>
        <w:bottom w:val="none" w:sz="0" w:space="0" w:color="auto"/>
        <w:right w:val="none" w:sz="0" w:space="0" w:color="auto"/>
      </w:divBdr>
    </w:div>
    <w:div w:id="1440417032">
      <w:bodyDiv w:val="1"/>
      <w:marLeft w:val="0"/>
      <w:marRight w:val="0"/>
      <w:marTop w:val="0"/>
      <w:marBottom w:val="0"/>
      <w:divBdr>
        <w:top w:val="none" w:sz="0" w:space="0" w:color="auto"/>
        <w:left w:val="none" w:sz="0" w:space="0" w:color="auto"/>
        <w:bottom w:val="none" w:sz="0" w:space="0" w:color="auto"/>
        <w:right w:val="none" w:sz="0" w:space="0" w:color="auto"/>
      </w:divBdr>
    </w:div>
    <w:div w:id="1446735847">
      <w:bodyDiv w:val="1"/>
      <w:marLeft w:val="0"/>
      <w:marRight w:val="0"/>
      <w:marTop w:val="0"/>
      <w:marBottom w:val="0"/>
      <w:divBdr>
        <w:top w:val="none" w:sz="0" w:space="0" w:color="auto"/>
        <w:left w:val="none" w:sz="0" w:space="0" w:color="auto"/>
        <w:bottom w:val="none" w:sz="0" w:space="0" w:color="auto"/>
        <w:right w:val="none" w:sz="0" w:space="0" w:color="auto"/>
      </w:divBdr>
    </w:div>
    <w:div w:id="1685588531">
      <w:bodyDiv w:val="1"/>
      <w:marLeft w:val="0"/>
      <w:marRight w:val="0"/>
      <w:marTop w:val="0"/>
      <w:marBottom w:val="0"/>
      <w:divBdr>
        <w:top w:val="none" w:sz="0" w:space="0" w:color="auto"/>
        <w:left w:val="none" w:sz="0" w:space="0" w:color="auto"/>
        <w:bottom w:val="none" w:sz="0" w:space="0" w:color="auto"/>
        <w:right w:val="none" w:sz="0" w:space="0" w:color="auto"/>
      </w:divBdr>
    </w:div>
    <w:div w:id="1712146878">
      <w:bodyDiv w:val="1"/>
      <w:marLeft w:val="0"/>
      <w:marRight w:val="0"/>
      <w:marTop w:val="0"/>
      <w:marBottom w:val="0"/>
      <w:divBdr>
        <w:top w:val="none" w:sz="0" w:space="0" w:color="auto"/>
        <w:left w:val="none" w:sz="0" w:space="0" w:color="auto"/>
        <w:bottom w:val="none" w:sz="0" w:space="0" w:color="auto"/>
        <w:right w:val="none" w:sz="0" w:space="0" w:color="auto"/>
      </w:divBdr>
    </w:div>
    <w:div w:id="1714387193">
      <w:bodyDiv w:val="1"/>
      <w:marLeft w:val="0"/>
      <w:marRight w:val="0"/>
      <w:marTop w:val="0"/>
      <w:marBottom w:val="0"/>
      <w:divBdr>
        <w:top w:val="none" w:sz="0" w:space="0" w:color="auto"/>
        <w:left w:val="none" w:sz="0" w:space="0" w:color="auto"/>
        <w:bottom w:val="none" w:sz="0" w:space="0" w:color="auto"/>
        <w:right w:val="none" w:sz="0" w:space="0" w:color="auto"/>
      </w:divBdr>
    </w:div>
    <w:div w:id="1718776886">
      <w:bodyDiv w:val="1"/>
      <w:marLeft w:val="0"/>
      <w:marRight w:val="0"/>
      <w:marTop w:val="0"/>
      <w:marBottom w:val="0"/>
      <w:divBdr>
        <w:top w:val="none" w:sz="0" w:space="0" w:color="auto"/>
        <w:left w:val="none" w:sz="0" w:space="0" w:color="auto"/>
        <w:bottom w:val="none" w:sz="0" w:space="0" w:color="auto"/>
        <w:right w:val="none" w:sz="0" w:space="0" w:color="auto"/>
      </w:divBdr>
    </w:div>
    <w:div w:id="1752501573">
      <w:bodyDiv w:val="1"/>
      <w:marLeft w:val="0"/>
      <w:marRight w:val="0"/>
      <w:marTop w:val="0"/>
      <w:marBottom w:val="0"/>
      <w:divBdr>
        <w:top w:val="none" w:sz="0" w:space="0" w:color="auto"/>
        <w:left w:val="none" w:sz="0" w:space="0" w:color="auto"/>
        <w:bottom w:val="none" w:sz="0" w:space="0" w:color="auto"/>
        <w:right w:val="none" w:sz="0" w:space="0" w:color="auto"/>
      </w:divBdr>
    </w:div>
    <w:div w:id="1771000363">
      <w:bodyDiv w:val="1"/>
      <w:marLeft w:val="0"/>
      <w:marRight w:val="0"/>
      <w:marTop w:val="0"/>
      <w:marBottom w:val="0"/>
      <w:divBdr>
        <w:top w:val="none" w:sz="0" w:space="0" w:color="auto"/>
        <w:left w:val="none" w:sz="0" w:space="0" w:color="auto"/>
        <w:bottom w:val="none" w:sz="0" w:space="0" w:color="auto"/>
        <w:right w:val="none" w:sz="0" w:space="0" w:color="auto"/>
      </w:divBdr>
    </w:div>
    <w:div w:id="1783067288">
      <w:bodyDiv w:val="1"/>
      <w:marLeft w:val="0"/>
      <w:marRight w:val="0"/>
      <w:marTop w:val="0"/>
      <w:marBottom w:val="0"/>
      <w:divBdr>
        <w:top w:val="none" w:sz="0" w:space="0" w:color="auto"/>
        <w:left w:val="none" w:sz="0" w:space="0" w:color="auto"/>
        <w:bottom w:val="none" w:sz="0" w:space="0" w:color="auto"/>
        <w:right w:val="none" w:sz="0" w:space="0" w:color="auto"/>
      </w:divBdr>
    </w:div>
    <w:div w:id="1867064319">
      <w:bodyDiv w:val="1"/>
      <w:marLeft w:val="0"/>
      <w:marRight w:val="0"/>
      <w:marTop w:val="0"/>
      <w:marBottom w:val="0"/>
      <w:divBdr>
        <w:top w:val="none" w:sz="0" w:space="0" w:color="auto"/>
        <w:left w:val="none" w:sz="0" w:space="0" w:color="auto"/>
        <w:bottom w:val="none" w:sz="0" w:space="0" w:color="auto"/>
        <w:right w:val="none" w:sz="0" w:space="0" w:color="auto"/>
      </w:divBdr>
    </w:div>
    <w:div w:id="1909144662">
      <w:bodyDiv w:val="1"/>
      <w:marLeft w:val="0"/>
      <w:marRight w:val="0"/>
      <w:marTop w:val="0"/>
      <w:marBottom w:val="0"/>
      <w:divBdr>
        <w:top w:val="none" w:sz="0" w:space="0" w:color="auto"/>
        <w:left w:val="none" w:sz="0" w:space="0" w:color="auto"/>
        <w:bottom w:val="none" w:sz="0" w:space="0" w:color="auto"/>
        <w:right w:val="none" w:sz="0" w:space="0" w:color="auto"/>
      </w:divBdr>
    </w:div>
    <w:div w:id="1945528307">
      <w:bodyDiv w:val="1"/>
      <w:marLeft w:val="0"/>
      <w:marRight w:val="0"/>
      <w:marTop w:val="0"/>
      <w:marBottom w:val="0"/>
      <w:divBdr>
        <w:top w:val="none" w:sz="0" w:space="0" w:color="auto"/>
        <w:left w:val="none" w:sz="0" w:space="0" w:color="auto"/>
        <w:bottom w:val="none" w:sz="0" w:space="0" w:color="auto"/>
        <w:right w:val="none" w:sz="0" w:space="0" w:color="auto"/>
      </w:divBdr>
    </w:div>
    <w:div w:id="2048985624">
      <w:bodyDiv w:val="1"/>
      <w:marLeft w:val="0"/>
      <w:marRight w:val="0"/>
      <w:marTop w:val="0"/>
      <w:marBottom w:val="0"/>
      <w:divBdr>
        <w:top w:val="none" w:sz="0" w:space="0" w:color="auto"/>
        <w:left w:val="none" w:sz="0" w:space="0" w:color="auto"/>
        <w:bottom w:val="none" w:sz="0" w:space="0" w:color="auto"/>
        <w:right w:val="none" w:sz="0" w:space="0" w:color="auto"/>
      </w:divBdr>
    </w:div>
    <w:div w:id="2062942483">
      <w:bodyDiv w:val="1"/>
      <w:marLeft w:val="0"/>
      <w:marRight w:val="0"/>
      <w:marTop w:val="0"/>
      <w:marBottom w:val="0"/>
      <w:divBdr>
        <w:top w:val="none" w:sz="0" w:space="0" w:color="auto"/>
        <w:left w:val="none" w:sz="0" w:space="0" w:color="auto"/>
        <w:bottom w:val="none" w:sz="0" w:space="0" w:color="auto"/>
        <w:right w:val="none" w:sz="0" w:space="0" w:color="auto"/>
      </w:divBdr>
    </w:div>
    <w:div w:id="2079550006">
      <w:bodyDiv w:val="1"/>
      <w:marLeft w:val="0"/>
      <w:marRight w:val="0"/>
      <w:marTop w:val="0"/>
      <w:marBottom w:val="0"/>
      <w:divBdr>
        <w:top w:val="none" w:sz="0" w:space="0" w:color="auto"/>
        <w:left w:val="none" w:sz="0" w:space="0" w:color="auto"/>
        <w:bottom w:val="none" w:sz="0" w:space="0" w:color="auto"/>
        <w:right w:val="none" w:sz="0" w:space="0" w:color="auto"/>
      </w:divBdr>
    </w:div>
    <w:div w:id="2084405217">
      <w:bodyDiv w:val="1"/>
      <w:marLeft w:val="0"/>
      <w:marRight w:val="0"/>
      <w:marTop w:val="0"/>
      <w:marBottom w:val="0"/>
      <w:divBdr>
        <w:top w:val="none" w:sz="0" w:space="0" w:color="auto"/>
        <w:left w:val="none" w:sz="0" w:space="0" w:color="auto"/>
        <w:bottom w:val="none" w:sz="0" w:space="0" w:color="auto"/>
        <w:right w:val="none" w:sz="0" w:space="0" w:color="auto"/>
      </w:divBdr>
    </w:div>
    <w:div w:id="213432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package" Target="embeddings/Document_Microsoft_Word1.doc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ENVY\Desktop\DPSELF%202017\SPSB\RAPEX%20A%20FIN%20Mars%202017\Tableaux%20RAPEX%20Mars.%202017%20BIS.xls"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ENVY\Desktop\DPSELF%202017\SPSB\RAPEX%20A%20FIN%20Mars%202017\Tableaux%20RAPEX%20Mars.%202017%20BIS.xls"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fr-FR" sz="1200"/>
              <a:t>Evolution des réalisations de recettes par régie financière à fin mars 2016 et 2017, en millions de FCFA</a:t>
            </a:r>
          </a:p>
        </c:rich>
      </c:tx>
      <c:layout>
        <c:manualLayout>
          <c:xMode val="edge"/>
          <c:yMode val="edge"/>
          <c:x val="0.11526648743805812"/>
          <c:y val="1.3404825737265416E-2"/>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fr-FR"/>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84491538167104"/>
          <c:y val="0.18810235247170123"/>
          <c:w val="0.84767931840551181"/>
          <c:h val="0.65878032242261431"/>
        </c:manualLayout>
      </c:layout>
      <c:bar3DChart>
        <c:barDir val="col"/>
        <c:grouping val="clustered"/>
        <c:varyColors val="0"/>
        <c:ser>
          <c:idx val="0"/>
          <c:order val="0"/>
          <c:tx>
            <c:strRef>
              <c:f>Graphes!$B$1</c:f>
              <c:strCache>
                <c:ptCount val="1"/>
                <c:pt idx="0">
                  <c:v>2016</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dLbl>
              <c:idx val="0"/>
              <c:layout>
                <c:manualLayout>
                  <c:x val="2.3871527777777776E-2"/>
                  <c:y val="4.6296296296295869E-3"/>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6278951973108543E-2"/>
                  <c:y val="1.8195731565725865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953125E-2"/>
                  <c:y val="0"/>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312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Graphes!$A$2:$A$4</c:f>
              <c:strCache>
                <c:ptCount val="3"/>
                <c:pt idx="0">
                  <c:v>DGDDI</c:v>
                </c:pt>
                <c:pt idx="1">
                  <c:v>DGI</c:v>
                </c:pt>
                <c:pt idx="2">
                  <c:v>DGTCP</c:v>
                </c:pt>
              </c:strCache>
            </c:strRef>
          </c:cat>
          <c:val>
            <c:numRef>
              <c:f>Graphes!$B$2:$B$4</c:f>
              <c:numCache>
                <c:formatCode>_-* #\ ##0.0\ _F_-;\-* #\ ##0.0\ _F_-;_-* "-"??\ _F_-;_-@_-</c:formatCode>
                <c:ptCount val="3"/>
                <c:pt idx="0">
                  <c:v>71922.399999999994</c:v>
                </c:pt>
                <c:pt idx="1">
                  <c:v>102266.2</c:v>
                </c:pt>
                <c:pt idx="2">
                  <c:v>11314.4</c:v>
                </c:pt>
              </c:numCache>
            </c:numRef>
          </c:val>
          <c:shape val="cylinder"/>
        </c:ser>
        <c:ser>
          <c:idx val="1"/>
          <c:order val="1"/>
          <c:tx>
            <c:strRef>
              <c:f>Graphes!$C$1</c:f>
              <c:strCache>
                <c:ptCount val="1"/>
                <c:pt idx="0">
                  <c:v>2017</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dLbl>
              <c:idx val="0"/>
              <c:layout>
                <c:manualLayout>
                  <c:x val="2.170138888888885E-2"/>
                  <c:y val="9.2592592592592587E-3"/>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1701388888888808E-2"/>
                  <c:y val="0"/>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3871527777777776E-2"/>
                  <c:y val="-8.4875562720133283E-17"/>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324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Graphes!$A$2:$A$4</c:f>
              <c:strCache>
                <c:ptCount val="3"/>
                <c:pt idx="0">
                  <c:v>DGDDI</c:v>
                </c:pt>
                <c:pt idx="1">
                  <c:v>DGI</c:v>
                </c:pt>
                <c:pt idx="2">
                  <c:v>DGTCP</c:v>
                </c:pt>
              </c:strCache>
            </c:strRef>
          </c:cat>
          <c:val>
            <c:numRef>
              <c:f>Graphes!$C$2:$C$4</c:f>
              <c:numCache>
                <c:formatCode>_-* #\ ##0.0\ _F_-;\-* #\ ##0.0\ _F_-;_-* "-"??\ _F_-;_-@_-</c:formatCode>
                <c:ptCount val="3"/>
                <c:pt idx="0">
                  <c:v>69591.100000000006</c:v>
                </c:pt>
                <c:pt idx="1">
                  <c:v>92502.3</c:v>
                </c:pt>
                <c:pt idx="2">
                  <c:v>14869.7</c:v>
                </c:pt>
              </c:numCache>
            </c:numRef>
          </c:val>
          <c:shape val="cylinder"/>
        </c:ser>
        <c:dLbls>
          <c:showLegendKey val="0"/>
          <c:showVal val="0"/>
          <c:showCatName val="0"/>
          <c:showSerName val="0"/>
          <c:showPercent val="0"/>
          <c:showBubbleSize val="0"/>
        </c:dLbls>
        <c:gapWidth val="150"/>
        <c:shape val="box"/>
        <c:axId val="-665336864"/>
        <c:axId val="-665333056"/>
        <c:axId val="0"/>
      </c:bar3DChart>
      <c:catAx>
        <c:axId val="-665336864"/>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665333056"/>
        <c:crosses val="autoZero"/>
        <c:auto val="1"/>
        <c:lblAlgn val="ctr"/>
        <c:lblOffset val="100"/>
        <c:noMultiLvlLbl val="0"/>
      </c:catAx>
      <c:valAx>
        <c:axId val="-665333056"/>
        <c:scaling>
          <c:orientation val="minMax"/>
        </c:scaling>
        <c:delete val="0"/>
        <c:axPos val="l"/>
        <c:majorGridlines>
          <c:spPr>
            <a:ln w="9525" cap="flat" cmpd="sng" algn="ctr">
              <a:solidFill>
                <a:schemeClr val="tx1">
                  <a:lumMod val="15000"/>
                  <a:lumOff val="85000"/>
                </a:schemeClr>
              </a:solidFill>
              <a:round/>
            </a:ln>
            <a:effectLst/>
          </c:spPr>
        </c:majorGridlines>
        <c:numFmt formatCode="_-* #\ ##0.0\ _F_-;\-* #\ ##0.0\ _F_-;_-* &quot;-&quot;??\ _F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6653368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25400" cap="flat" cmpd="sng" algn="ctr">
      <a:solidFill>
        <a:schemeClr val="tx1"/>
      </a:solidFill>
      <a:round/>
    </a:ln>
    <a:effectLst/>
  </c:spPr>
  <c:txPr>
    <a:bodyPr/>
    <a:lstStyle/>
    <a:p>
      <a:pPr>
        <a:defRPr/>
      </a:pPr>
      <a:endParaRPr lang="fr-F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fr-FR" sz="1400"/>
              <a:t>Evolution de l'exécution des dépenses budgétaires à fin mars 2016 et 2017, en millions de FCFA</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fr-FR"/>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861662337840105"/>
          <c:y val="0.23224535725974091"/>
          <c:w val="0.84748072560030385"/>
          <c:h val="0.63369134276700889"/>
        </c:manualLayout>
      </c:layout>
      <c:bar3DChart>
        <c:barDir val="col"/>
        <c:grouping val="clustered"/>
        <c:varyColors val="0"/>
        <c:ser>
          <c:idx val="0"/>
          <c:order val="0"/>
          <c:tx>
            <c:strRef>
              <c:f>Graphes!$B$19</c:f>
              <c:strCache>
                <c:ptCount val="1"/>
                <c:pt idx="0">
                  <c:v>2016</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dLbl>
              <c:idx val="0"/>
              <c:layout>
                <c:manualLayout>
                  <c:x val="1.0864841373315949E-2"/>
                  <c:y val="2.244668911335577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5210777922642289E-2"/>
                  <c:y val="1.4964459408903853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1729682746631899E-2"/>
                  <c:y val="1.4964459408903853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1.303780964797906E-2"/>
                  <c:y val="1.496445940890387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1.5210777922642249E-2"/>
                  <c:y val="7.4822297044519264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8.6918730986526808E-3"/>
                  <c:y val="2.6187803965581676E-2"/>
                </c:manualLayout>
              </c:layout>
              <c:spPr>
                <a:noFill/>
                <a:ln>
                  <a:noFill/>
                </a:ln>
                <a:effectLst/>
              </c:spPr>
              <c:txPr>
                <a:bodyPr rot="-372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extLst>
                <c:ext xmlns:c15="http://schemas.microsoft.com/office/drawing/2012/chart" uri="{CE6537A1-D6FC-4f65-9D91-7224C49458BB}"/>
              </c:extLst>
            </c:dLbl>
            <c:dLbl>
              <c:idx val="6"/>
              <c:layout>
                <c:manualLayout>
                  <c:x val="1.303780964797898E-2"/>
                  <c:y val="1.4964459408903716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1.303780964797914E-2"/>
                  <c:y val="1.870557426112981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336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Graphes!$A$20:$A$27</c:f>
              <c:strCache>
                <c:ptCount val="8"/>
                <c:pt idx="0">
                  <c:v>Charges fin.de la dette pub</c:v>
                </c:pt>
                <c:pt idx="1">
                  <c:v>Dép.Personnel</c:v>
                </c:pt>
                <c:pt idx="2">
                  <c:v>Dép d'acquis de biens et services</c:v>
                </c:pt>
                <c:pt idx="3">
                  <c:v>Dép.Transferts</c:v>
                </c:pt>
                <c:pt idx="4">
                  <c:v>Dép.Capital (Fin.Inté)</c:v>
                </c:pt>
                <c:pt idx="5">
                  <c:v>Dép.Capital (Fin.Exté)</c:v>
                </c:pt>
                <c:pt idx="6">
                  <c:v>Autres budgets</c:v>
                </c:pt>
                <c:pt idx="7">
                  <c:v>Comptes d'Affect.Spécial</c:v>
                </c:pt>
              </c:strCache>
            </c:strRef>
          </c:cat>
          <c:val>
            <c:numRef>
              <c:f>Graphes!$B$20:$B$27</c:f>
              <c:numCache>
                <c:formatCode>_-* #\ ##0.0\ _F_-;\-* #\ ##0.0\ _F_-;_-* "-"??\ _F_-;_-@_-</c:formatCode>
                <c:ptCount val="8"/>
                <c:pt idx="0">
                  <c:v>13646.9</c:v>
                </c:pt>
                <c:pt idx="1">
                  <c:v>104687.20000000001</c:v>
                </c:pt>
                <c:pt idx="2">
                  <c:v>48961.1</c:v>
                </c:pt>
                <c:pt idx="3">
                  <c:v>103589.6</c:v>
                </c:pt>
                <c:pt idx="4">
                  <c:v>51531.9</c:v>
                </c:pt>
                <c:pt idx="5">
                  <c:v>25519.199999999997</c:v>
                </c:pt>
                <c:pt idx="6">
                  <c:v>21085</c:v>
                </c:pt>
                <c:pt idx="7">
                  <c:v>15736.6</c:v>
                </c:pt>
              </c:numCache>
            </c:numRef>
          </c:val>
          <c:shape val="cylinder"/>
        </c:ser>
        <c:ser>
          <c:idx val="1"/>
          <c:order val="1"/>
          <c:tx>
            <c:strRef>
              <c:f>Graphes!$C$19</c:f>
              <c:strCache>
                <c:ptCount val="1"/>
                <c:pt idx="0">
                  <c:v>2017</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dLbl>
              <c:idx val="0"/>
              <c:layout>
                <c:manualLayout>
                  <c:x val="1.955671447196871E-2"/>
                  <c:y val="1.870557426112967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8248587570621431E-2"/>
                  <c:y val="1.4964459408903853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3902651021295088E-2"/>
                  <c:y val="2.2446689113355713E-2"/>
                </c:manualLayout>
              </c:layout>
              <c:spPr>
                <a:noFill/>
                <a:ln>
                  <a:noFill/>
                </a:ln>
                <a:effectLst/>
              </c:spPr>
              <c:txPr>
                <a:bodyPr rot="-348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extLst>
                <c:ext xmlns:c15="http://schemas.microsoft.com/office/drawing/2012/chart" uri="{CE6537A1-D6FC-4f65-9D91-7224C49458BB}"/>
              </c:extLst>
            </c:dLbl>
            <c:dLbl>
              <c:idx val="3"/>
              <c:layout>
                <c:manualLayout>
                  <c:x val="1.955671447196871E-2"/>
                  <c:y val="1.4964459408903853E-2"/>
                </c:manualLayout>
              </c:layout>
              <c:spPr>
                <a:noFill/>
                <a:ln>
                  <a:noFill/>
                </a:ln>
                <a:effectLst/>
              </c:spPr>
              <c:txPr>
                <a:bodyPr rot="-402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extLst>
                <c:ext xmlns:c15="http://schemas.microsoft.com/office/drawing/2012/chart" uri="{CE6537A1-D6FC-4f65-9D91-7224C49458BB}"/>
              </c:extLst>
            </c:dLbl>
            <c:dLbl>
              <c:idx val="4"/>
              <c:layout>
                <c:manualLayout>
                  <c:x val="2.1729682746631899E-2"/>
                  <c:y val="2.6187803965581742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3.0421555845284578E-2"/>
                  <c:y val="1.8705574261129884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1.5210777922642169E-2"/>
                  <c:y val="1.8705574261129749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2.1729682746631899E-2"/>
                  <c:y val="2.618780396558174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30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Graphes!$A$20:$A$27</c:f>
              <c:strCache>
                <c:ptCount val="8"/>
                <c:pt idx="0">
                  <c:v>Charges fin.de la dette pub</c:v>
                </c:pt>
                <c:pt idx="1">
                  <c:v>Dép.Personnel</c:v>
                </c:pt>
                <c:pt idx="2">
                  <c:v>Dép d'acquis de biens et services</c:v>
                </c:pt>
                <c:pt idx="3">
                  <c:v>Dép.Transferts</c:v>
                </c:pt>
                <c:pt idx="4">
                  <c:v>Dép.Capital (Fin.Inté)</c:v>
                </c:pt>
                <c:pt idx="5">
                  <c:v>Dép.Capital (Fin.Exté)</c:v>
                </c:pt>
                <c:pt idx="6">
                  <c:v>Autres budgets</c:v>
                </c:pt>
                <c:pt idx="7">
                  <c:v>Comptes d'Affect.Spécial</c:v>
                </c:pt>
              </c:strCache>
            </c:strRef>
          </c:cat>
          <c:val>
            <c:numRef>
              <c:f>Graphes!$C$20:$C$27</c:f>
              <c:numCache>
                <c:formatCode>_-* #\ ##0.0\ _F_-;\-* #\ ##0.0\ _F_-;_-* "-"??\ _F_-;_-@_-</c:formatCode>
                <c:ptCount val="8"/>
                <c:pt idx="0">
                  <c:v>18332.2</c:v>
                </c:pt>
                <c:pt idx="1">
                  <c:v>94331.799999999988</c:v>
                </c:pt>
                <c:pt idx="2">
                  <c:v>23085.200000000001</c:v>
                </c:pt>
                <c:pt idx="3">
                  <c:v>33087.599999999999</c:v>
                </c:pt>
                <c:pt idx="4">
                  <c:v>49794.6</c:v>
                </c:pt>
                <c:pt idx="5">
                  <c:v>35354</c:v>
                </c:pt>
                <c:pt idx="6">
                  <c:v>23139.100000000002</c:v>
                </c:pt>
                <c:pt idx="7">
                  <c:v>13925.5</c:v>
                </c:pt>
              </c:numCache>
            </c:numRef>
          </c:val>
          <c:shape val="cylinder"/>
        </c:ser>
        <c:dLbls>
          <c:showLegendKey val="0"/>
          <c:showVal val="0"/>
          <c:showCatName val="0"/>
          <c:showSerName val="0"/>
          <c:showPercent val="0"/>
          <c:showBubbleSize val="0"/>
        </c:dLbls>
        <c:gapWidth val="150"/>
        <c:shape val="box"/>
        <c:axId val="-665332512"/>
        <c:axId val="-665335232"/>
        <c:axId val="0"/>
      </c:bar3DChart>
      <c:catAx>
        <c:axId val="-665332512"/>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fr-FR"/>
          </a:p>
        </c:txPr>
        <c:crossAx val="-665335232"/>
        <c:crosses val="autoZero"/>
        <c:auto val="1"/>
        <c:lblAlgn val="ctr"/>
        <c:lblOffset val="100"/>
        <c:noMultiLvlLbl val="0"/>
      </c:catAx>
      <c:valAx>
        <c:axId val="-665335232"/>
        <c:scaling>
          <c:orientation val="minMax"/>
        </c:scaling>
        <c:delete val="0"/>
        <c:axPos val="l"/>
        <c:majorGridlines>
          <c:spPr>
            <a:ln w="9525" cap="flat" cmpd="sng" algn="ctr">
              <a:solidFill>
                <a:schemeClr val="tx1">
                  <a:lumMod val="15000"/>
                  <a:lumOff val="85000"/>
                </a:schemeClr>
              </a:solidFill>
              <a:round/>
            </a:ln>
            <a:effectLst/>
          </c:spPr>
        </c:majorGridlines>
        <c:numFmt formatCode="_-* #\ ##0.0\ _F_-;\-* #\ ##0.0\ _F_-;_-* &quot;-&quot;??\ _F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6653325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25400" cap="flat" cmpd="sng" algn="ctr">
      <a:solidFill>
        <a:schemeClr val="tx1"/>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2015-07-14T00:00:00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ACB2F2-61F9-428F-A01C-AB19ACCE1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1453</TotalTime>
  <Pages>29</Pages>
  <Words>7064</Words>
  <Characters>38858</Characters>
  <Application>Microsoft Office Word</Application>
  <DocSecurity>0</DocSecurity>
  <Lines>323</Lines>
  <Paragraphs>91</Paragraphs>
  <ScaleCrop>false</ScaleCrop>
  <HeadingPairs>
    <vt:vector size="2" baseType="variant">
      <vt:variant>
        <vt:lpstr>Titre</vt:lpstr>
      </vt:variant>
      <vt:variant>
        <vt:i4>1</vt:i4>
      </vt:variant>
    </vt:vector>
  </HeadingPairs>
  <TitlesOfParts>
    <vt:vector size="1" baseType="lpstr">
      <vt:lpstr>Rapport de présentation</vt:lpstr>
    </vt:vector>
  </TitlesOfParts>
  <Company>Hewlett-Packard</Company>
  <LinksUpToDate>false</LinksUpToDate>
  <CharactersWithSpaces>45831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de présentation</dc:title>
  <dc:creator>User</dc:creator>
  <cp:lastModifiedBy>ENVY</cp:lastModifiedBy>
  <cp:revision>270</cp:revision>
  <cp:lastPrinted>2017-05-24T14:25:00Z</cp:lastPrinted>
  <dcterms:created xsi:type="dcterms:W3CDTF">2017-05-05T11:23:00Z</dcterms:created>
  <dcterms:modified xsi:type="dcterms:W3CDTF">2017-06-01T21:19:00Z</dcterms:modified>
</cp:coreProperties>
</file>